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900"/>
        <w:jc w:val="center"/>
      </w:pPr>
      <w:r>
        <w:rPr>
          <w:rFonts w:ascii="Times New Roman" w:cs="Times New Roman" w:eastAsia="Times New Roman" w:hAnsi="Times New Roman"/>
          <w:b/>
          <w:bCs/>
          <w:sz w:val="34"/>
          <w:szCs w:val="34"/>
        </w:rPr>
        <w:t xml:space="preserve">Startup Funding Success Prediction and Investor Pattern Analysis</w:t>
      </w:r>
    </w:p>
    <w:p>
      <w:pPr>
        <w:spacing w:after="140" w:before="0"/>
        <w:jc w:val="center"/>
      </w:pPr>
      <w:r>
        <w:rPr>
          <w:rFonts w:ascii="Times New Roman" w:cs="Times New Roman" w:eastAsia="Times New Roman" w:hAnsi="Times New Roman"/>
          <w:b/>
          <w:bCs/>
          <w:sz w:val="22"/>
          <w:szCs w:val="22"/>
        </w:rPr>
        <w:t xml:space="preserve">Case Study report submitted in partial fulfillment of the Requirements for the Award of the Degree of</w:t>
      </w:r>
    </w:p>
    <w:p>
      <w:pPr>
        <w:spacing w:after="60" w:before="0"/>
        <w:jc w:val="center"/>
      </w:pPr>
      <w:r>
        <w:rPr>
          <w:rFonts w:ascii="Times New Roman" w:cs="Times New Roman" w:eastAsia="Times New Roman" w:hAnsi="Times New Roman"/>
          <w:b/>
          <w:bCs/>
          <w:sz w:val="26"/>
          <w:szCs w:val="26"/>
        </w:rPr>
        <w:t xml:space="preserve">BACHELOR OF ENGINEERING</w:t>
      </w:r>
    </w:p>
    <w:p>
      <w:pPr>
        <w:spacing w:after="60" w:before="0"/>
        <w:jc w:val="center"/>
      </w:pPr>
      <w:r>
        <w:rPr>
          <w:rFonts w:ascii="Times New Roman" w:cs="Times New Roman" w:eastAsia="Times New Roman" w:hAnsi="Times New Roman"/>
          <w:b/>
          <w:bCs/>
          <w:sz w:val="22"/>
          <w:szCs w:val="22"/>
        </w:rPr>
        <w:t xml:space="preserve">in</w:t>
      </w:r>
    </w:p>
    <w:p>
      <w:pPr>
        <w:spacing w:after="360" w:before="0"/>
        <w:jc w:val="center"/>
      </w:pPr>
      <w:r>
        <w:rPr>
          <w:rFonts w:ascii="Times New Roman" w:cs="Times New Roman" w:eastAsia="Times New Roman" w:hAnsi="Times New Roman"/>
          <w:b/>
          <w:bCs/>
          <w:sz w:val="26"/>
          <w:szCs w:val="26"/>
        </w:rPr>
        <w:t xml:space="preserve">ARTIFICIAL INTELLIGENCE AND DATA SCIENCE</w:t>
      </w:r>
    </w:p>
    <w:p>
      <w:pPr>
        <w:spacing w:after="80" w:before="0"/>
        <w:jc w:val="center"/>
      </w:pPr>
      <w:r>
        <w:rPr>
          <w:rFonts w:ascii="Times New Roman" w:cs="Times New Roman" w:eastAsia="Times New Roman" w:hAnsi="Times New Roman"/>
          <w:b/>
          <w:bCs/>
          <w:sz w:val="22"/>
          <w:szCs w:val="22"/>
        </w:rPr>
        <w:t xml:space="preserve">By</w:t>
      </w:r>
    </w:p>
    <w:p>
      <w:pPr>
        <w:spacing w:after="300" w:before="0"/>
        <w:jc w:val="center"/>
      </w:pPr>
      <w:r>
        <w:rPr>
          <w:rFonts w:ascii="Times New Roman" w:cs="Times New Roman" w:eastAsia="Times New Roman" w:hAnsi="Times New Roman"/>
          <w:b/>
          <w:bCs/>
          <w:sz w:val="26"/>
          <w:szCs w:val="26"/>
        </w:rPr>
        <w:t xml:space="preserve">Ushasree - 160124771017</w:t>
      </w:r>
    </w:p>
    <w:p>
      <w:pPr>
        <w:spacing w:after="80" w:before="0"/>
        <w:jc w:val="center"/>
      </w:pPr>
      <w:r>
        <w:rPr>
          <w:rFonts w:ascii="Times New Roman" w:cs="Times New Roman" w:eastAsia="Times New Roman" w:hAnsi="Times New Roman"/>
          <w:b/>
          <w:bCs/>
          <w:sz w:val="22"/>
          <w:szCs w:val="22"/>
        </w:rPr>
        <w:t xml:space="preserve">Under the Mentorship of</w:t>
      </w:r>
    </w:p>
    <w:p>
      <w:pPr>
        <w:spacing w:after="120" w:before="0"/>
        <w:jc w:val="center"/>
      </w:pPr>
      <w:r>
        <w:rPr>
          <w:rFonts w:ascii="Times New Roman" w:cs="Times New Roman" w:eastAsia="Times New Roman" w:hAnsi="Times New Roman"/>
          <w:b/>
          <w:bCs/>
          <w:sz w:val="26"/>
          <w:szCs w:val="26"/>
          <w:highlight w:val="yellow"/>
          <w:highlightCs w:val="yellow"/>
        </w:rPr>
        <w:t xml:space="preserve">[Mentor name]</w:t>
      </w:r>
    </w:p>
    <w:p>
      <w:pPr>
        <w:spacing w:after="160" w:before="160"/>
        <w:jc w:val="center"/>
      </w:pPr>
      <w:r>
        <w:drawing>
          <wp:inline distT="0" distB="0" distL="0" distR="0">
            <wp:extent cx="1428750" cy="1866900"/>
            <wp:effectExtent t="0" r="0" b="0" l="0"/>
            <wp:docPr id="1" name="logo" descr="Institute logo" title="CB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866900"/>
                    </a:xfrm>
                    <a:prstGeom prst="rect">
                      <a:avLst/>
                    </a:prstGeom>
                  </pic:spPr>
                </pic:pic>
              </a:graphicData>
            </a:graphic>
          </wp:inline>
        </w:drawing>
      </w:r>
    </w:p>
    <w:p>
      <w:pPr>
        <w:spacing w:after="80" w:before="120"/>
        <w:jc w:val="center"/>
      </w:pPr>
      <w:r>
        <w:rPr>
          <w:rFonts w:ascii="Times New Roman" w:cs="Times New Roman" w:eastAsia="Times New Roman" w:hAnsi="Times New Roman"/>
          <w:b/>
          <w:bCs/>
          <w:sz w:val="26"/>
          <w:szCs w:val="26"/>
        </w:rPr>
        <w:t xml:space="preserve">DEPARTMENT OF ARTIFICIAL INTELLIGENCE AND DATA SCIENCE</w:t>
      </w:r>
    </w:p>
    <w:p>
      <w:pPr>
        <w:spacing w:after="80" w:before="0"/>
        <w:jc w:val="center"/>
      </w:pPr>
      <w:r>
        <w:rPr>
          <w:rFonts w:ascii="Times New Roman" w:cs="Times New Roman" w:eastAsia="Times New Roman" w:hAnsi="Times New Roman"/>
          <w:b/>
          <w:bCs/>
          <w:sz w:val="26"/>
          <w:szCs w:val="26"/>
        </w:rPr>
        <w:t xml:space="preserve">CHAITANYA BHARATHI INSTITUTE OF TECHNOLOGY</w:t>
      </w:r>
    </w:p>
    <w:p>
      <w:pPr>
        <w:spacing w:after="80" w:before="0"/>
        <w:jc w:val="center"/>
      </w:pPr>
      <w:r>
        <w:rPr>
          <w:rFonts w:ascii="Times New Roman" w:cs="Times New Roman" w:eastAsia="Times New Roman" w:hAnsi="Times New Roman"/>
          <w:b/>
          <w:bCs/>
          <w:sz w:val="22"/>
          <w:szCs w:val="22"/>
        </w:rPr>
        <w:t xml:space="preserve">HYDERABAD - 500075</w:t>
      </w:r>
    </w:p>
    <w:p>
      <w:pPr>
        <w:spacing w:after="100" w:before="0"/>
        <w:jc w:val="center"/>
      </w:pPr>
      <w:r>
        <w:rPr>
          <w:rFonts w:ascii="Times New Roman" w:cs="Times New Roman" w:eastAsia="Times New Roman" w:hAnsi="Times New Roman"/>
          <w:b/>
          <w:bCs/>
          <w:sz w:val="22"/>
          <w:szCs w:val="22"/>
        </w:rPr>
        <w:t xml:space="preserve">October 2026</w:t>
      </w:r>
    </w:p>
    <w:p>
      <w:pPr>
        <w:sectPr>
          <w:pgSz w:w="12240" w:h="15840" w:orient="portrait"/>
          <w:pgMar w:top="1080" w:right="1440" w:bottom="1080" w:left="1440" w:header="708" w:footer="708" w:gutter="0"/>
          <w:pgNumType/>
          <w:docGrid w:linePitch="360"/>
        </w:sectPr>
      </w:pPr>
    </w:p>
    <w:p>
      <w:pPr>
        <w:spacing w:after="120" w:before="300"/>
        <w:jc w:val="center"/>
      </w:pPr>
      <w:r>
        <w:rPr>
          <w:rFonts w:ascii="Times New Roman" w:cs="Times New Roman" w:eastAsia="Times New Roman" w:hAnsi="Times New Roman"/>
          <w:b/>
          <w:bCs/>
          <w:sz w:val="28"/>
          <w:szCs w:val="28"/>
        </w:rPr>
        <w:t xml:space="preserve">CHAITANYA BHARATHI INSTITUTE OF TECHNOLOGY</w:t>
      </w:r>
    </w:p>
    <w:p>
      <w:pPr>
        <w:spacing w:after="20" w:before="0"/>
        <w:jc w:val="center"/>
      </w:pPr>
      <w:r>
        <w:rPr>
          <w:rFonts w:ascii="Times New Roman" w:cs="Times New Roman" w:eastAsia="Times New Roman" w:hAnsi="Times New Roman"/>
          <w:b/>
          <w:bCs/>
          <w:sz w:val="22"/>
          <w:szCs w:val="22"/>
        </w:rPr>
        <w:t xml:space="preserve">(AUTONOMOUS)</w:t>
      </w:r>
    </w:p>
    <w:p>
      <w:pPr>
        <w:spacing w:after="100" w:before="0"/>
        <w:jc w:val="center"/>
      </w:pPr>
      <w:r>
        <w:rPr>
          <w:rFonts w:ascii="Times New Roman" w:cs="Times New Roman" w:eastAsia="Times New Roman" w:hAnsi="Times New Roman"/>
          <w:b/>
          <w:bCs/>
          <w:sz w:val="26"/>
          <w:szCs w:val="26"/>
        </w:rPr>
        <w:t xml:space="preserve">DEPARTMENT OF ARTIFICIAL INTELLIGENCE AND DATA SCIENCE</w:t>
      </w:r>
    </w:p>
    <w:p>
      <w:pPr>
        <w:spacing w:after="160" w:before="160"/>
        <w:jc w:val="center"/>
      </w:pPr>
      <w:r>
        <w:drawing>
          <wp:inline distT="0" distB="0" distL="0" distR="0">
            <wp:extent cx="952500" cy="1247775"/>
            <wp:effectExtent t="0" r="0" b="0" l="0"/>
            <wp:docPr id="1" name="logo" descr="Institute logo" title="CB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1247775"/>
                    </a:xfrm>
                    <a:prstGeom prst="rect">
                      <a:avLst/>
                    </a:prstGeom>
                  </pic:spPr>
                </pic:pic>
              </a:graphicData>
            </a:graphic>
          </wp:inline>
        </w:drawing>
      </w:r>
    </w:p>
    <w:p>
      <w:pPr>
        <w:spacing w:after="200" w:before="200"/>
        <w:jc w:val="center"/>
      </w:pPr>
      <w:r>
        <w:rPr>
          <w:rFonts w:ascii="Times New Roman" w:cs="Times New Roman" w:eastAsia="Times New Roman" w:hAnsi="Times New Roman"/>
          <w:b/>
          <w:bCs/>
          <w:sz w:val="28"/>
          <w:szCs w:val="28"/>
        </w:rPr>
        <w:t xml:space="preserve">CERTIFICATE</w:t>
      </w:r>
    </w:p>
    <w:p>
      <w:pPr>
        <w:spacing w:after="140" w:line="300"/>
        <w:jc w:val="both"/>
      </w:pPr>
      <w:r>
        <w:rPr>
          <w:rFonts w:ascii="Times New Roman" w:cs="Times New Roman" w:eastAsia="Times New Roman" w:hAnsi="Times New Roman"/>
          <w:sz w:val="24"/>
          <w:szCs w:val="24"/>
        </w:rPr>
        <w:t xml:space="preserve">This is to certify that the course case study report entitled </w:t>
      </w:r>
      <w:r>
        <w:rPr>
          <w:rFonts w:ascii="Times New Roman" w:cs="Times New Roman" w:eastAsia="Times New Roman" w:hAnsi="Times New Roman"/>
          <w:b/>
          <w:bCs/>
          <w:sz w:val="24"/>
          <w:szCs w:val="24"/>
        </w:rPr>
        <w:t xml:space="preserve">Startup Funding Success Prediction and Investor Pattern Analysis</w:t>
      </w:r>
      <w:r>
        <w:rPr>
          <w:rFonts w:ascii="Times New Roman" w:cs="Times New Roman" w:eastAsia="Times New Roman" w:hAnsi="Times New Roman"/>
          <w:sz w:val="24"/>
          <w:szCs w:val="24"/>
        </w:rPr>
        <w:t xml:space="preserve"> being submitted by</w:t>
      </w:r>
    </w:p>
    <w:p>
      <w:pPr>
        <w:spacing w:after="140" w:before="0"/>
        <w:jc w:val="center"/>
      </w:pPr>
      <w:r>
        <w:rPr>
          <w:rFonts w:ascii="Times New Roman" w:cs="Times New Roman" w:eastAsia="Times New Roman" w:hAnsi="Times New Roman"/>
          <w:b w:val="false"/>
          <w:bCs w:val="false"/>
          <w:sz w:val="24"/>
          <w:szCs w:val="24"/>
        </w:rPr>
        <w:t xml:space="preserve">Ushasree          160124771017</w:t>
      </w:r>
    </w:p>
    <w:p>
      <w:pPr>
        <w:spacing w:after="140" w:line="340"/>
        <w:ind w:left="300"/>
        <w:jc w:val="both"/>
      </w:pPr>
      <w:r>
        <w:rPr>
          <w:rFonts w:ascii="Times New Roman" w:cs="Times New Roman" w:eastAsia="Times New Roman" w:hAnsi="Times New Roman"/>
          <w:sz w:val="24"/>
          <w:szCs w:val="24"/>
        </w:rPr>
        <w:t xml:space="preserve">in partial fulfillment for the award of the Degree of Bachelor of Engineering in Artificial Intelligence and Data Science to the CHAITANYA BHARATHI INSTITUTE OF TECHNOLOGY, HYDERABAD carried out under my mentorship and supervision during the year 2026-27. The results presented in this case study report have not been submitted to any other university or Institute for the award of any degree.</w:t>
      </w:r>
    </w:p>
    <w:p>
      <w:pPr>
        <w:spacing w:after="60" w:before="700"/>
        <w:jc w:val="right"/>
      </w:pPr>
      <w:r>
        <w:rPr>
          <w:rFonts w:ascii="Times New Roman" w:cs="Times New Roman" w:eastAsia="Times New Roman" w:hAnsi="Times New Roman"/>
          <w:b/>
          <w:bCs/>
          <w:sz w:val="26"/>
          <w:szCs w:val="26"/>
          <w:highlight w:val="yellow"/>
          <w:highlightCs w:val="yellow"/>
        </w:rPr>
        <w:t xml:space="preserve">[Mentor name]</w:t>
      </w:r>
    </w:p>
    <w:p>
      <w:pPr>
        <w:jc w:val="right"/>
      </w:pPr>
      <w:r>
        <w:rPr>
          <w:rFonts w:ascii="Times New Roman" w:cs="Times New Roman" w:eastAsia="Times New Roman" w:hAnsi="Times New Roman"/>
          <w:b/>
          <w:bCs/>
          <w:sz w:val="26"/>
          <w:szCs w:val="26"/>
          <w:highlight w:val="yellow"/>
          <w:highlightCs w:val="yellow"/>
        </w:rPr>
        <w:t xml:space="preserve">[Designation]</w:t>
      </w:r>
    </w:p>
    <w:p>
      <w:pPr>
        <w:sectPr>
          <w:footerReference w:type="default" r:id="rId7"/>
          <w:type w:val="nextPage"/>
          <w:pgSz w:w="12240" w:h="15840" w:orient="portrait"/>
          <w:pgMar w:top="1080" w:right="1440" w:bottom="1080" w:left="1440" w:header="708" w:footer="708" w:gutter="0"/>
          <w:pgNumType w:start="2" w:fmt="lowerRoman"/>
          <w:docGrid w:linePitch="360"/>
        </w:sectPr>
      </w:pPr>
    </w:p>
    <w:p>
      <w:pPr>
        <w:spacing w:after="40"/>
        <w:jc w:val="center"/>
      </w:pPr>
      <w:r>
        <w:rPr>
          <w:rFonts w:ascii="Calibri" w:cs="Calibri" w:eastAsia="Calibri" w:hAnsi="Calibri"/>
          <w:b/>
          <w:bCs/>
          <w:color w:val="2D6A2E"/>
          <w:sz w:val="30"/>
          <w:szCs w:val="30"/>
        </w:rPr>
        <w:t xml:space="preserve">Startup Funding Success Prediction and Investor Pattern Analysis</w:t>
      </w:r>
    </w:p>
    <w:p>
      <w:pPr>
        <w:spacing w:after="140"/>
        <w:jc w:val="center"/>
      </w:pPr>
      <w:r>
        <w:rPr>
          <w:rFonts w:ascii="Calibri" w:cs="Calibri" w:eastAsia="Calibri" w:hAnsi="Calibri"/>
          <w:sz w:val="22"/>
          <w:szCs w:val="22"/>
        </w:rPr>
        <w:t xml:space="preserve">Indian Startup Funding Analysis and Funding-Amount Prediction Using R</w:t>
      </w:r>
    </w:p>
    <w:p>
      <w:pPr>
        <w:pStyle w:val="Heading1"/>
        <w:keepNext/>
        <w:spacing w:after="80" w:before="200"/>
      </w:pPr>
      <w:r>
        <w:rPr>
          <w:rFonts w:ascii="Calibri" w:cs="Calibri" w:eastAsia="Calibri" w:hAnsi="Calibri"/>
          <w:b/>
          <w:bCs/>
          <w:color w:val="2D6A2E"/>
          <w:sz w:val="25"/>
          <w:szCs w:val="25"/>
        </w:rPr>
        <w:t xml:space="preserve">1. Introduction and Problem Statement</w:t>
      </w:r>
    </w:p>
    <w:p>
      <w:pPr>
        <w:spacing w:after="90" w:line="264"/>
      </w:pPr>
      <w:r>
        <w:rPr>
          <w:rFonts w:ascii="Calibri" w:cs="Calibri" w:eastAsia="Calibri" w:hAnsi="Calibri"/>
          <w:sz w:val="20"/>
          <w:szCs w:val="20"/>
        </w:rPr>
        <w:t xml:space="preserve">Startups depend on external funding, and investors want to understand where capital flows: which industries, cities and funding stages attract the most money, and which investors are most active. This project analyses a public Kaggle dataset of Indian startup funding records (January 2015 to January 2020) and presents the findings through an interactive R Shiny dashboard and a Random Forest model.</w:t>
      </w:r>
    </w:p>
    <w:p>
      <w:pPr>
        <w:spacing w:after="90" w:line="264"/>
      </w:pPr>
      <w:r>
        <w:rPr>
          <w:rFonts w:ascii="Calibri" w:cs="Calibri" w:eastAsia="Calibri" w:hAnsi="Calibri"/>
          <w:b/>
          <w:bCs/>
          <w:sz w:val="20"/>
          <w:szCs w:val="20"/>
        </w:rPr>
        <w:t xml:space="preserve">Problem: </w:t>
      </w:r>
      <w:r>
        <w:rPr>
          <w:rFonts w:ascii="Calibri" w:cs="Calibri" w:eastAsia="Calibri" w:hAnsi="Calibri"/>
          <w:sz w:val="20"/>
          <w:szCs w:val="20"/>
        </w:rPr>
        <w:t xml:space="preserve">Given a record of a funding event (industry, city, investment type, year), can we estimate whether the amount raised is higher or lower than the median recorded amount, and what patterns do investors and sectors show?</w:t>
      </w:r>
    </w:p>
    <w:p>
      <w:pPr>
        <w:spacing w:after="90" w:line="264"/>
      </w:pPr>
      <w:r>
        <w:rPr>
          <w:rFonts w:ascii="Calibri" w:cs="Calibri" w:eastAsia="Calibri" w:hAnsi="Calibri"/>
          <w:b/>
          <w:bCs/>
          <w:sz w:val="20"/>
          <w:szCs w:val="20"/>
        </w:rPr>
        <w:t xml:space="preserve">Important scope note: </w:t>
      </w:r>
      <w:r>
        <w:rPr>
          <w:rFonts w:ascii="Calibri" w:cs="Calibri" w:eastAsia="Calibri" w:hAnsi="Calibri"/>
          <w:sz w:val="20"/>
          <w:szCs w:val="20"/>
        </w:rPr>
        <w:t xml:space="preserve">the dataset contains only funding events that took place. It has no information about startups that were rejected. The model therefore predicts the funding-amount category of a recorded deal, not whether a startup will actually succeed in getting funded.</w:t>
      </w:r>
    </w:p>
    <w:p>
      <w:pPr>
        <w:pStyle w:val="Heading1"/>
        <w:keepNext/>
        <w:spacing w:after="80" w:before="200"/>
      </w:pPr>
      <w:r>
        <w:rPr>
          <w:rFonts w:ascii="Calibri" w:cs="Calibri" w:eastAsia="Calibri" w:hAnsi="Calibri"/>
          <w:b/>
          <w:bCs/>
          <w:color w:val="2D6A2E"/>
          <w:sz w:val="25"/>
          <w:szCs w:val="25"/>
        </w:rPr>
        <w:t xml:space="preserve">2. Objectives</w:t>
      </w:r>
    </w:p>
    <w:p>
      <w:pPr>
        <w:pStyle w:val="ListParagraph"/>
        <w:numPr>
          <w:ilvl w:val="0"/>
          <w:numId w:val="2"/>
        </w:numPr>
        <w:spacing w:after="40" w:line="260"/>
      </w:pPr>
      <w:r>
        <w:rPr>
          <w:rFonts w:ascii="Calibri" w:cs="Calibri" w:eastAsia="Calibri" w:hAnsi="Calibri"/>
          <w:sz w:val="20"/>
          <w:szCs w:val="20"/>
        </w:rPr>
        <w:t xml:space="preserve">Clean and standardise the raw Kaggle funding data using R.</w:t>
      </w:r>
    </w:p>
    <w:p>
      <w:pPr>
        <w:pStyle w:val="ListParagraph"/>
        <w:numPr>
          <w:ilvl w:val="0"/>
          <w:numId w:val="2"/>
        </w:numPr>
        <w:spacing w:after="40" w:line="260"/>
      </w:pPr>
      <w:r>
        <w:rPr>
          <w:rFonts w:ascii="Calibri" w:cs="Calibri" w:eastAsia="Calibri" w:hAnsi="Calibri"/>
          <w:sz w:val="20"/>
          <w:szCs w:val="20"/>
        </w:rPr>
        <w:t xml:space="preserve">Analyse funding by year, industry, city, investment type and investor.</w:t>
      </w:r>
    </w:p>
    <w:p>
      <w:pPr>
        <w:pStyle w:val="ListParagraph"/>
        <w:numPr>
          <w:ilvl w:val="0"/>
          <w:numId w:val="2"/>
        </w:numPr>
        <w:spacing w:after="40" w:line="260"/>
      </w:pPr>
      <w:r>
        <w:rPr>
          <w:rFonts w:ascii="Calibri" w:cs="Calibri" w:eastAsia="Calibri" w:hAnsi="Calibri"/>
          <w:sz w:val="20"/>
          <w:szCs w:val="20"/>
        </w:rPr>
        <w:t xml:space="preserve">Visualise the patterns with ggplot2 charts inside a Shiny dashboard.</w:t>
      </w:r>
    </w:p>
    <w:p>
      <w:pPr>
        <w:pStyle w:val="ListParagraph"/>
        <w:numPr>
          <w:ilvl w:val="0"/>
          <w:numId w:val="2"/>
        </w:numPr>
        <w:spacing w:after="40" w:line="260"/>
      </w:pPr>
      <w:r>
        <w:rPr>
          <w:rFonts w:ascii="Calibri" w:cs="Calibri" w:eastAsia="Calibri" w:hAnsi="Calibri"/>
          <w:sz w:val="20"/>
          <w:szCs w:val="20"/>
        </w:rPr>
        <w:t xml:space="preserve">Train and evaluate a Random Forest classifier for the Higher / Lower funding-amount category.</w:t>
      </w:r>
    </w:p>
    <w:p>
      <w:pPr>
        <w:pStyle w:val="ListParagraph"/>
        <w:numPr>
          <w:ilvl w:val="0"/>
          <w:numId w:val="2"/>
        </w:numPr>
        <w:spacing w:after="40" w:line="260"/>
      </w:pPr>
      <w:r>
        <w:rPr>
          <w:rFonts w:ascii="Calibri" w:cs="Calibri" w:eastAsia="Calibri" w:hAnsi="Calibri"/>
          <w:sz w:val="20"/>
          <w:szCs w:val="20"/>
        </w:rPr>
        <w:t xml:space="preserve">Maintain the work in an R Markdown report and under version control.</w:t>
      </w:r>
    </w:p>
    <w:p>
      <w:pPr>
        <w:pStyle w:val="Heading1"/>
        <w:keepNext/>
        <w:spacing w:after="80" w:before="200"/>
      </w:pPr>
      <w:r>
        <w:rPr>
          <w:rFonts w:ascii="Calibri" w:cs="Calibri" w:eastAsia="Calibri" w:hAnsi="Calibri"/>
          <w:b/>
          <w:bCs/>
          <w:color w:val="2D6A2E"/>
          <w:sz w:val="25"/>
          <w:szCs w:val="25"/>
        </w:rPr>
        <w:t xml:space="preserve">3. Dataset</w:t>
      </w:r>
    </w:p>
    <w:p>
      <w:pPr>
        <w:spacing w:after="90" w:line="264"/>
      </w:pPr>
      <w:r>
        <w:rPr>
          <w:rFonts w:ascii="Calibri" w:cs="Calibri" w:eastAsia="Calibri" w:hAnsi="Calibri"/>
          <w:sz w:val="20"/>
          <w:szCs w:val="20"/>
        </w:rPr>
        <w:t xml:space="preserve">Source: Kaggle "Indian Startup Funding" dataset (file startup_funding.csv). It holds 3,044 records and 10 columns covering funding events from 2 January 2015 to 13 January 2020.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4"/>
        <w:gridCol w:w="7176"/>
      </w:tblGrid>
      <w:tr>
        <w:trPr>
          <w:cantSplit/>
          <w:tblHeader/>
        </w:trPr>
        <w:tc>
          <w:tcPr>
            <w:tcW w:type="dxa" w:w="2904"/>
            <w:tcBorders>
              <w:top w:val="single" w:color="BFBFBF" w:sz="4"/>
              <w:left w:val="single" w:color="BFBFBF" w:sz="4"/>
              <w:bottom w:val="single" w:color="BFBFBF" w:sz="4"/>
              <w:right w:val="single" w:color="BFBFBF" w:sz="4"/>
            </w:tcBorders>
            <w:shd w:fill="2D6A2E" w:val="clear"/>
            <w:tcMar>
              <w:top w:type="dxa" w:w="40"/>
              <w:left w:type="dxa" w:w="90"/>
              <w:bottom w:type="dxa" w:w="40"/>
              <w:right w:type="dxa" w:w="90"/>
            </w:tcMar>
          </w:tcPr>
          <w:p>
            <w:pPr>
              <w:jc w:val="left"/>
            </w:pPr>
            <w:r>
              <w:rPr>
                <w:rFonts w:ascii="Calibri" w:cs="Calibri" w:eastAsia="Calibri" w:hAnsi="Calibri"/>
                <w:b/>
                <w:bCs/>
                <w:color w:val="FFFFFF"/>
                <w:sz w:val="18"/>
                <w:szCs w:val="18"/>
              </w:rPr>
              <w:t xml:space="preserve">Column</w:t>
            </w:r>
          </w:p>
        </w:tc>
        <w:tc>
          <w:tcPr>
            <w:tcW w:type="dxa" w:w="7176"/>
            <w:tcBorders>
              <w:top w:val="single" w:color="BFBFBF" w:sz="4"/>
              <w:left w:val="single" w:color="BFBFBF" w:sz="4"/>
              <w:bottom w:val="single" w:color="BFBFBF" w:sz="4"/>
              <w:right w:val="single" w:color="BFBFBF" w:sz="4"/>
            </w:tcBorders>
            <w:shd w:fill="2D6A2E" w:val="clear"/>
            <w:tcMar>
              <w:top w:type="dxa" w:w="40"/>
              <w:left w:type="dxa" w:w="90"/>
              <w:bottom w:type="dxa" w:w="40"/>
              <w:right w:type="dxa" w:w="90"/>
            </w:tcMar>
          </w:tcPr>
          <w:p>
            <w:pPr>
              <w:jc w:val="left"/>
            </w:pPr>
            <w:r>
              <w:rPr>
                <w:rFonts w:ascii="Calibri" w:cs="Calibri" w:eastAsia="Calibri" w:hAnsi="Calibri"/>
                <w:b/>
                <w:bCs/>
                <w:color w:val="FFFFFF"/>
                <w:sz w:val="18"/>
                <w:szCs w:val="18"/>
              </w:rPr>
              <w:t xml:space="preserve">Description</w:t>
            </w:r>
          </w:p>
        </w:tc>
      </w:tr>
      <w:tr>
        <w:trPr>
          <w:cantSplit/>
        </w:trPr>
        <w:tc>
          <w:tcPr>
            <w:tcW w:type="dxa" w:w="2904"/>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Sr No</w:t>
            </w:r>
          </w:p>
        </w:tc>
        <w:tc>
          <w:tcPr>
            <w:tcW w:type="dxa" w:w="717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Serial number (not used in analysis)</w:t>
            </w:r>
          </w:p>
        </w:tc>
      </w:tr>
      <w:tr>
        <w:trPr>
          <w:cantSplit/>
        </w:trPr>
        <w:tc>
          <w:tcPr>
            <w:tcW w:type="dxa" w:w="2904"/>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Date dd/mm/yyyy</w:t>
            </w:r>
          </w:p>
        </w:tc>
        <w:tc>
          <w:tcPr>
            <w:tcW w:type="dxa" w:w="717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Date of the funding event</w:t>
            </w:r>
          </w:p>
        </w:tc>
      </w:tr>
      <w:tr>
        <w:trPr>
          <w:cantSplit/>
        </w:trPr>
        <w:tc>
          <w:tcPr>
            <w:tcW w:type="dxa" w:w="2904"/>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Startup Name</w:t>
            </w:r>
          </w:p>
        </w:tc>
        <w:tc>
          <w:tcPr>
            <w:tcW w:type="dxa" w:w="717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Name of the funded startup (some entries are web addresses)</w:t>
            </w:r>
          </w:p>
        </w:tc>
      </w:tr>
      <w:tr>
        <w:trPr>
          <w:cantSplit/>
        </w:trPr>
        <w:tc>
          <w:tcPr>
            <w:tcW w:type="dxa" w:w="2904"/>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Industry Vertical</w:t>
            </w:r>
          </w:p>
        </w:tc>
        <w:tc>
          <w:tcPr>
            <w:tcW w:type="dxa" w:w="717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Sector of the startup</w:t>
            </w:r>
          </w:p>
        </w:tc>
      </w:tr>
      <w:tr>
        <w:trPr>
          <w:cantSplit/>
        </w:trPr>
        <w:tc>
          <w:tcPr>
            <w:tcW w:type="dxa" w:w="2904"/>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SubVertical</w:t>
            </w:r>
          </w:p>
        </w:tc>
        <w:tc>
          <w:tcPr>
            <w:tcW w:type="dxa" w:w="717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More detailed business description (not used)</w:t>
            </w:r>
          </w:p>
        </w:tc>
      </w:tr>
      <w:tr>
        <w:trPr>
          <w:cantSplit/>
        </w:trPr>
        <w:tc>
          <w:tcPr>
            <w:tcW w:type="dxa" w:w="2904"/>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City  Location</w:t>
            </w:r>
          </w:p>
        </w:tc>
        <w:tc>
          <w:tcPr>
            <w:tcW w:type="dxa" w:w="717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City of the startup</w:t>
            </w:r>
          </w:p>
        </w:tc>
      </w:tr>
      <w:tr>
        <w:trPr>
          <w:cantSplit/>
        </w:trPr>
        <w:tc>
          <w:tcPr>
            <w:tcW w:type="dxa" w:w="2904"/>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Investors Name</w:t>
            </w:r>
          </w:p>
        </w:tc>
        <w:tc>
          <w:tcPr>
            <w:tcW w:type="dxa" w:w="717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One or more investors, comma-separated</w:t>
            </w:r>
          </w:p>
        </w:tc>
      </w:tr>
      <w:tr>
        <w:trPr>
          <w:cantSplit/>
        </w:trPr>
        <w:tc>
          <w:tcPr>
            <w:tcW w:type="dxa" w:w="2904"/>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InvestmentnType</w:t>
            </w:r>
          </w:p>
        </w:tc>
        <w:tc>
          <w:tcPr>
            <w:tcW w:type="dxa" w:w="717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Funding type or stage (the column name contains a typo in the source file)</w:t>
            </w:r>
          </w:p>
        </w:tc>
      </w:tr>
      <w:tr>
        <w:trPr>
          <w:cantSplit/>
        </w:trPr>
        <w:tc>
          <w:tcPr>
            <w:tcW w:type="dxa" w:w="2904"/>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Amount in USD</w:t>
            </w:r>
          </w:p>
        </w:tc>
        <w:tc>
          <w:tcPr>
            <w:tcW w:type="dxa" w:w="717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Funding amount; Indian-style digit grouping (e.g. 20,00,00,000), many missing values</w:t>
            </w:r>
          </w:p>
        </w:tc>
      </w:tr>
      <w:tr>
        <w:trPr>
          <w:cantSplit/>
        </w:trPr>
        <w:tc>
          <w:tcPr>
            <w:tcW w:type="dxa" w:w="2904"/>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Remarks</w:t>
            </w:r>
          </w:p>
        </w:tc>
        <w:tc>
          <w:tcPr>
            <w:tcW w:type="dxa" w:w="717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Free text (not used)</w:t>
            </w:r>
          </w:p>
        </w:tc>
      </w:tr>
    </w:tbl>
    <w:p>
      <w:pPr>
        <w:spacing w:after="40"/>
      </w:pPr>
    </w:p>
    <w:p>
      <w:pPr>
        <w:spacing w:after="90" w:line="264"/>
      </w:pPr>
      <w:r>
        <w:rPr>
          <w:rFonts w:ascii="Calibri" w:cs="Calibri" w:eastAsia="Calibri" w:hAnsi="Calibri"/>
          <w:sz w:val="20"/>
          <w:szCs w:val="20"/>
        </w:rPr>
        <w:t xml:space="preserve">The synthetic file StartupFunding_UI_Sample.csv included in the project is only for testing the dashboard interface. All results in this document use the Kaggle file.</w:t>
      </w:r>
    </w:p>
    <w:p>
      <w:pPr>
        <w:pStyle w:val="Heading1"/>
        <w:keepNext/>
        <w:spacing w:after="80" w:before="200"/>
      </w:pPr>
      <w:r>
        <w:rPr>
          <w:rFonts w:ascii="Calibri" w:cs="Calibri" w:eastAsia="Calibri" w:hAnsi="Calibri"/>
          <w:b/>
          <w:bCs/>
          <w:color w:val="2D6A2E"/>
          <w:sz w:val="25"/>
          <w:szCs w:val="25"/>
        </w:rPr>
        <w:t xml:space="preserve">4. Data Preparation</w:t>
      </w:r>
    </w:p>
    <w:p>
      <w:pPr>
        <w:spacing w:after="90" w:line="264"/>
      </w:pPr>
      <w:r>
        <w:rPr>
          <w:rFonts w:ascii="Calibri" w:cs="Calibri" w:eastAsia="Calibri" w:hAnsi="Calibri"/>
          <w:sz w:val="20"/>
          <w:szCs w:val="20"/>
        </w:rPr>
        <w:t xml:space="preserve">All cleaning is done in the prepare_data() function of app.R. Column names are first converted with janitor::make_clean_names(), then the following steps are applied.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8"/>
        <w:gridCol w:w="3350"/>
        <w:gridCol w:w="6172"/>
      </w:tblGrid>
      <w:tr>
        <w:trPr>
          <w:cantSplit/>
          <w:tblHeader/>
        </w:trPr>
        <w:tc>
          <w:tcPr>
            <w:tcW w:type="dxa" w:w="558"/>
            <w:tcBorders>
              <w:top w:val="single" w:color="BFBFBF" w:sz="4"/>
              <w:left w:val="single" w:color="BFBFBF" w:sz="4"/>
              <w:bottom w:val="single" w:color="BFBFBF" w:sz="4"/>
              <w:right w:val="single" w:color="BFBFBF" w:sz="4"/>
            </w:tcBorders>
            <w:shd w:fill="2D6A2E" w:val="clear"/>
            <w:tcMar>
              <w:top w:type="dxa" w:w="40"/>
              <w:left w:type="dxa" w:w="90"/>
              <w:bottom w:type="dxa" w:w="40"/>
              <w:right w:type="dxa" w:w="90"/>
            </w:tcMar>
          </w:tcPr>
          <w:p>
            <w:pPr>
              <w:jc w:val="left"/>
            </w:pPr>
            <w:r>
              <w:rPr>
                <w:rFonts w:ascii="Calibri" w:cs="Calibri" w:eastAsia="Calibri" w:hAnsi="Calibri"/>
                <w:b/>
                <w:bCs/>
                <w:color w:val="FFFFFF"/>
                <w:sz w:val="18"/>
                <w:szCs w:val="18"/>
              </w:rPr>
              <w:t xml:space="preserve">#</w:t>
            </w:r>
          </w:p>
        </w:tc>
        <w:tc>
          <w:tcPr>
            <w:tcW w:type="dxa" w:w="3350"/>
            <w:tcBorders>
              <w:top w:val="single" w:color="BFBFBF" w:sz="4"/>
              <w:left w:val="single" w:color="BFBFBF" w:sz="4"/>
              <w:bottom w:val="single" w:color="BFBFBF" w:sz="4"/>
              <w:right w:val="single" w:color="BFBFBF" w:sz="4"/>
            </w:tcBorders>
            <w:shd w:fill="2D6A2E" w:val="clear"/>
            <w:tcMar>
              <w:top w:type="dxa" w:w="40"/>
              <w:left w:type="dxa" w:w="90"/>
              <w:bottom w:type="dxa" w:w="40"/>
              <w:right w:type="dxa" w:w="90"/>
            </w:tcMar>
          </w:tcPr>
          <w:p>
            <w:pPr>
              <w:jc w:val="left"/>
            </w:pPr>
            <w:r>
              <w:rPr>
                <w:rFonts w:ascii="Calibri" w:cs="Calibri" w:eastAsia="Calibri" w:hAnsi="Calibri"/>
                <w:b/>
                <w:bCs/>
                <w:color w:val="FFFFFF"/>
                <w:sz w:val="18"/>
                <w:szCs w:val="18"/>
              </w:rPr>
              <w:t xml:space="preserve">Step</w:t>
            </w:r>
          </w:p>
        </w:tc>
        <w:tc>
          <w:tcPr>
            <w:tcW w:type="dxa" w:w="6172"/>
            <w:tcBorders>
              <w:top w:val="single" w:color="BFBFBF" w:sz="4"/>
              <w:left w:val="single" w:color="BFBFBF" w:sz="4"/>
              <w:bottom w:val="single" w:color="BFBFBF" w:sz="4"/>
              <w:right w:val="single" w:color="BFBFBF" w:sz="4"/>
            </w:tcBorders>
            <w:shd w:fill="2D6A2E" w:val="clear"/>
            <w:tcMar>
              <w:top w:type="dxa" w:w="40"/>
              <w:left w:type="dxa" w:w="90"/>
              <w:bottom w:type="dxa" w:w="40"/>
              <w:right w:type="dxa" w:w="90"/>
            </w:tcMar>
          </w:tcPr>
          <w:p>
            <w:pPr>
              <w:jc w:val="left"/>
            </w:pPr>
            <w:r>
              <w:rPr>
                <w:rFonts w:ascii="Calibri" w:cs="Calibri" w:eastAsia="Calibri" w:hAnsi="Calibri"/>
                <w:b/>
                <w:bCs/>
                <w:color w:val="FFFFFF"/>
                <w:sz w:val="18"/>
                <w:szCs w:val="18"/>
              </w:rPr>
              <w:t xml:space="preserve">Detail</w:t>
            </w:r>
          </w:p>
        </w:tc>
      </w:tr>
      <w:tr>
        <w:trPr>
          <w:cantSplit/>
        </w:trPr>
        <w:tc>
          <w:tcPr>
            <w:tcW w:type="dxa" w:w="55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1</w:t>
            </w:r>
          </w:p>
        </w:tc>
        <w:tc>
          <w:tcPr>
            <w:tcW w:type="dxa" w:w="335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Select and rename</w:t>
            </w:r>
          </w:p>
        </w:tc>
        <w:tc>
          <w:tcPr>
            <w:tcW w:type="dxa" w:w="6172"/>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Seven fields kept: startup, industry, city, investor, investment type, date, amount</w:t>
            </w:r>
          </w:p>
        </w:tc>
      </w:tr>
      <w:tr>
        <w:trPr>
          <w:cantSplit/>
        </w:trPr>
        <w:tc>
          <w:tcPr>
            <w:tcW w:type="dxa" w:w="55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2</w:t>
            </w:r>
          </w:p>
        </w:tc>
        <w:tc>
          <w:tcPr>
            <w:tcW w:type="dxa" w:w="335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Remove escape junk</w:t>
            </w:r>
          </w:p>
        </w:tc>
        <w:tc>
          <w:tcPr>
            <w:tcW w:type="dxa" w:w="6172"/>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Literal sequences such as \xc2\xa0 and \n are removed and extra spaces squished (strip_escapes)</w:t>
            </w:r>
          </w:p>
        </w:tc>
      </w:tr>
      <w:tr>
        <w:trPr>
          <w:cantSplit/>
        </w:trPr>
        <w:tc>
          <w:tcPr>
            <w:tcW w:type="dxa" w:w="55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3</w:t>
            </w:r>
          </w:p>
        </w:tc>
        <w:tc>
          <w:tcPr>
            <w:tcW w:type="dxa" w:w="335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Missing categories</w:t>
            </w:r>
          </w:p>
        </w:tc>
        <w:tc>
          <w:tcPr>
            <w:tcW w:type="dxa" w:w="6172"/>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Blank, NA, N/A, null and nan become "Unknown"</w:t>
            </w:r>
          </w:p>
        </w:tc>
      </w:tr>
      <w:tr>
        <w:trPr>
          <w:cantSplit/>
        </w:trPr>
        <w:tc>
          <w:tcPr>
            <w:tcW w:type="dxa" w:w="55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4</w:t>
            </w:r>
          </w:p>
        </w:tc>
        <w:tc>
          <w:tcPr>
            <w:tcW w:type="dxa" w:w="335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Standardise labels</w:t>
            </w:r>
          </w:p>
        </w:tc>
        <w:tc>
          <w:tcPr>
            <w:tcW w:type="dxa" w:w="6172"/>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Bengaluru→Bangalore, Gurugram→Gurgaon, Delhi→New Delhi; all E-commerce spellings→eCommerce; Seed, Angel and Seed/Angel variants→Seed/Angel Funding; Private Equity Round→Private Equity</w:t>
            </w:r>
          </w:p>
        </w:tc>
      </w:tr>
      <w:tr>
        <w:trPr>
          <w:cantSplit/>
        </w:trPr>
        <w:tc>
          <w:tcPr>
            <w:tcW w:type="dxa" w:w="55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5</w:t>
            </w:r>
          </w:p>
        </w:tc>
        <w:tc>
          <w:tcPr>
            <w:tcW w:type="dxa" w:w="335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Clean amounts</w:t>
            </w:r>
          </w:p>
        </w:tc>
        <w:tc>
          <w:tcPr>
            <w:tcW w:type="dxa" w:w="6172"/>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Commas, $, ₹ and + removed; "undisclosed", "unknown", "N/A" and similar become NA; converted to numeric</w:t>
            </w:r>
          </w:p>
        </w:tc>
      </w:tr>
      <w:tr>
        <w:trPr>
          <w:cantSplit/>
        </w:trPr>
        <w:tc>
          <w:tcPr>
            <w:tcW w:type="dxa" w:w="55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6</w:t>
            </w:r>
          </w:p>
        </w:tc>
        <w:tc>
          <w:tcPr>
            <w:tcW w:type="dxa" w:w="335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Parse dates</w:t>
            </w:r>
          </w:p>
        </w:tc>
        <w:tc>
          <w:tcPr>
            <w:tcW w:type="dxa" w:w="6172"/>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dmy() first, then mdy() and ymd() as fallbacks; year and month extracted</w:t>
            </w:r>
          </w:p>
        </w:tc>
      </w:tr>
      <w:tr>
        <w:trPr>
          <w:cantSplit/>
        </w:trPr>
        <w:tc>
          <w:tcPr>
            <w:tcW w:type="dxa" w:w="55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7</w:t>
            </w:r>
          </w:p>
        </w:tc>
        <w:tc>
          <w:tcPr>
            <w:tcW w:type="dxa" w:w="335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Remove duplicates</w:t>
            </w:r>
          </w:p>
        </w:tc>
        <w:tc>
          <w:tcPr>
            <w:tcW w:type="dxa" w:w="6172"/>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distinct() on the cleaned fields</w:t>
            </w:r>
          </w:p>
        </w:tc>
      </w:tr>
    </w:tbl>
    <w:p>
      <w:pPr>
        <w:spacing w:after="40"/>
      </w:pPr>
    </w:p>
    <w:p>
      <w:pPr>
        <w:spacing w:after="90" w:line="264"/>
      </w:pPr>
      <w:r>
        <w:rPr>
          <w:rFonts w:ascii="Calibri" w:cs="Calibri" w:eastAsia="Calibri" w:hAnsi="Calibri"/>
          <w:sz w:val="20"/>
          <w:szCs w:val="20"/>
        </w:rPr>
        <w:t xml:space="preserve">Key cleaning code:</w:t>
      </w:r>
    </w:p>
    <w:p>
      <w:pPr>
        <w:shd w:fill="F2F2F2" w:val="clear"/>
        <w:spacing w:after="0" w:line="230"/>
        <w:ind w:left="100" w:right="100"/>
      </w:pPr>
      <w:r>
        <w:rPr>
          <w:rFonts w:ascii="Consolas" w:cs="Consolas" w:eastAsia="Consolas" w:hAnsi="Consolas"/>
          <w:sz w:val="15"/>
          <w:szCs w:val="15"/>
        </w:rPr>
        <w:t xml:space="preserve">strip_escapes &lt;- function(x) {</w:t>
      </w:r>
    </w:p>
    <w:p>
      <w:pPr>
        <w:shd w:fill="F2F2F2" w:val="clear"/>
        <w:spacing w:after="0" w:line="230"/>
        <w:ind w:left="100" w:right="100"/>
      </w:pPr>
      <w:r>
        <w:rPr>
          <w:rFonts w:ascii="Consolas" w:cs="Consolas" w:eastAsia="Consolas" w:hAnsi="Consolas"/>
          <w:sz w:val="15"/>
          <w:szCs w:val="15"/>
        </w:rPr>
        <w:t xml:space="preserve">  x &lt;- as.character(x)</w:t>
      </w:r>
    </w:p>
    <w:p>
      <w:pPr>
        <w:shd w:fill="F2F2F2" w:val="clear"/>
        <w:spacing w:after="0" w:line="230"/>
        <w:ind w:left="100" w:right="100"/>
      </w:pPr>
      <w:r>
        <w:rPr>
          <w:rFonts w:ascii="Consolas" w:cs="Consolas" w:eastAsia="Consolas" w:hAnsi="Consolas"/>
          <w:sz w:val="15"/>
          <w:szCs w:val="15"/>
        </w:rPr>
        <w:t xml:space="preserve">  x &lt;- gsub("\\\\+x[0-9a-fA-F]{2}", " ", x)   # literal \xc2\xa0 style sequences</w:t>
      </w:r>
    </w:p>
    <w:p>
      <w:pPr>
        <w:shd w:fill="F2F2F2" w:val="clear"/>
        <w:spacing w:after="0" w:line="230"/>
        <w:ind w:left="100" w:right="100"/>
      </w:pPr>
      <w:r>
        <w:rPr>
          <w:rFonts w:ascii="Consolas" w:cs="Consolas" w:eastAsia="Consolas" w:hAnsi="Consolas"/>
          <w:sz w:val="15"/>
          <w:szCs w:val="15"/>
        </w:rPr>
        <w:t xml:space="preserve">  x &lt;- gsub("\\\\+n", " ", x)                  # literal \n sequences</w:t>
      </w:r>
    </w:p>
    <w:p>
      <w:pPr>
        <w:shd w:fill="F2F2F2" w:val="clear"/>
        <w:spacing w:after="0" w:line="230"/>
        <w:ind w:left="100" w:right="100"/>
      </w:pPr>
      <w:r>
        <w:rPr>
          <w:rFonts w:ascii="Consolas" w:cs="Consolas" w:eastAsia="Consolas" w:hAnsi="Consolas"/>
          <w:sz w:val="15"/>
          <w:szCs w:val="15"/>
        </w:rPr>
        <w:t xml:space="preserve">  str_squish(x)</w:t>
      </w:r>
    </w:p>
    <w:p>
      <w:pPr>
        <w:shd w:fill="F2F2F2" w:val="clear"/>
        <w:spacing w:after="0" w:line="230"/>
        <w:ind w:left="100" w:right="100"/>
      </w:pPr>
      <w:r>
        <w:rPr>
          <w:rFonts w:ascii="Consolas" w:cs="Consolas" w:eastAsia="Consolas" w:hAnsi="Consolas"/>
          <w:sz w:val="15"/>
          <w:szCs w:val="15"/>
        </w:rPr>
        <w:t xml:space="preserve">}</w:t>
      </w:r>
    </w:p>
    <w:p>
      <w:pPr>
        <w:shd w:fill="F2F2F2" w:val="clear"/>
        <w:spacing w:after="0" w:line="230"/>
        <w:ind w:left="100" w:right="100"/>
      </w:pPr>
      <w:r>
        <w:rPr>
          <w:rFonts w:ascii="Consolas" w:cs="Consolas" w:eastAsia="Consolas" w:hAnsi="Consolas"/>
          <w:sz w:val="15"/>
          <w:szCs w:val="15"/>
        </w:rPr>
        <w:t xml:space="preserve">clean_amount &lt;- function(x) {</w:t>
      </w:r>
    </w:p>
    <w:p>
      <w:pPr>
        <w:shd w:fill="F2F2F2" w:val="clear"/>
        <w:spacing w:after="0" w:line="230"/>
        <w:ind w:left="100" w:right="100"/>
      </w:pPr>
      <w:r>
        <w:rPr>
          <w:rFonts w:ascii="Consolas" w:cs="Consolas" w:eastAsia="Consolas" w:hAnsi="Consolas"/>
          <w:sz w:val="15"/>
          <w:szCs w:val="15"/>
        </w:rPr>
        <w:t xml:space="preserve">  x &lt;- strip_escapes(x); x &lt;- gsub(",", "", x); x &lt;- gsub("[$₹+]", "", x)</w:t>
      </w:r>
    </w:p>
    <w:p>
      <w:pPr>
        <w:shd w:fill="F2F2F2" w:val="clear"/>
        <w:spacing w:after="0" w:line="230"/>
        <w:ind w:left="100" w:right="100"/>
      </w:pPr>
      <w:r>
        <w:rPr>
          <w:rFonts w:ascii="Consolas" w:cs="Consolas" w:eastAsia="Consolas" w:hAnsi="Consolas"/>
          <w:sz w:val="15"/>
          <w:szCs w:val="15"/>
        </w:rPr>
        <w:t xml:space="preserve">  x[tolower(trimws(x)) %in% c("", "na", "n/a", "null", "nan", "undisclosed", "unknown", "-")] &lt;- NA</w:t>
      </w:r>
    </w:p>
    <w:p>
      <w:pPr>
        <w:shd w:fill="F2F2F2" w:val="clear"/>
        <w:spacing w:after="0" w:line="230"/>
        <w:ind w:left="100" w:right="100"/>
      </w:pPr>
      <w:r>
        <w:rPr>
          <w:rFonts w:ascii="Consolas" w:cs="Consolas" w:eastAsia="Consolas" w:hAnsi="Consolas"/>
          <w:sz w:val="15"/>
          <w:szCs w:val="15"/>
        </w:rPr>
        <w:t xml:space="preserve">  suppressWarnings(as.numeric(x))</w:t>
      </w:r>
    </w:p>
    <w:p>
      <w:pPr>
        <w:shd w:fill="F2F2F2" w:val="clear"/>
        <w:spacing w:after="0" w:line="230"/>
        <w:ind w:left="100" w:right="100"/>
      </w:pPr>
      <w:r>
        <w:rPr>
          <w:rFonts w:ascii="Consolas" w:cs="Consolas" w:eastAsia="Consolas" w:hAnsi="Consolas"/>
          <w:sz w:val="15"/>
          <w:szCs w:val="15"/>
        </w:rPr>
        <w:t xml:space="preserve">}</w:t>
      </w:r>
    </w:p>
    <w:p>
      <w:pPr>
        <w:spacing w:after="40"/>
      </w:pPr>
    </w:p>
    <w:p>
      <w:pPr>
        <w:spacing w:after="90" w:line="264"/>
      </w:pPr>
      <w:r>
        <w:rPr>
          <w:rFonts w:ascii="Calibri" w:cs="Calibri" w:eastAsia="Calibri" w:hAnsi="Calibri"/>
          <w:sz w:val="20"/>
          <w:szCs w:val="20"/>
        </w:rPr>
        <w:t xml:space="preserve">Data quality summary after cleaning (as shown in the Dataset &amp; Quality tab):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807"/>
        <w:gridCol w:w="4273"/>
      </w:tblGrid>
      <w:tr>
        <w:trPr>
          <w:cantSplit/>
          <w:tblHeader/>
        </w:trPr>
        <w:tc>
          <w:tcPr>
            <w:tcW w:type="dxa" w:w="5807"/>
            <w:tcBorders>
              <w:top w:val="single" w:color="BFBFBF" w:sz="4"/>
              <w:left w:val="single" w:color="BFBFBF" w:sz="4"/>
              <w:bottom w:val="single" w:color="BFBFBF" w:sz="4"/>
              <w:right w:val="single" w:color="BFBFBF" w:sz="4"/>
            </w:tcBorders>
            <w:shd w:fill="2D6A2E" w:val="clear"/>
            <w:tcMar>
              <w:top w:type="dxa" w:w="40"/>
              <w:left w:type="dxa" w:w="90"/>
              <w:bottom w:type="dxa" w:w="40"/>
              <w:right w:type="dxa" w:w="90"/>
            </w:tcMar>
          </w:tcPr>
          <w:p>
            <w:pPr>
              <w:jc w:val="left"/>
            </w:pPr>
            <w:r>
              <w:rPr>
                <w:rFonts w:ascii="Calibri" w:cs="Calibri" w:eastAsia="Calibri" w:hAnsi="Calibri"/>
                <w:b/>
                <w:bCs/>
                <w:color w:val="FFFFFF"/>
                <w:sz w:val="18"/>
                <w:szCs w:val="18"/>
              </w:rPr>
              <w:t xml:space="preserve">Measure</w:t>
            </w:r>
          </w:p>
        </w:tc>
        <w:tc>
          <w:tcPr>
            <w:tcW w:type="dxa" w:w="4273"/>
            <w:tcBorders>
              <w:top w:val="single" w:color="BFBFBF" w:sz="4"/>
              <w:left w:val="single" w:color="BFBFBF" w:sz="4"/>
              <w:bottom w:val="single" w:color="BFBFBF" w:sz="4"/>
              <w:right w:val="single" w:color="BFBFBF" w:sz="4"/>
            </w:tcBorders>
            <w:shd w:fill="2D6A2E" w:val="clear"/>
            <w:tcMar>
              <w:top w:type="dxa" w:w="40"/>
              <w:left w:type="dxa" w:w="90"/>
              <w:bottom w:type="dxa" w:w="40"/>
              <w:right w:type="dxa" w:w="90"/>
            </w:tcMar>
          </w:tcPr>
          <w:p>
            <w:pPr>
              <w:jc w:val="right"/>
            </w:pPr>
            <w:r>
              <w:rPr>
                <w:rFonts w:ascii="Calibri" w:cs="Calibri" w:eastAsia="Calibri" w:hAnsi="Calibri"/>
                <w:b/>
                <w:bCs/>
                <w:color w:val="FFFFFF"/>
                <w:sz w:val="18"/>
                <w:szCs w:val="18"/>
              </w:rPr>
              <w:t xml:space="preserve">Value</w:t>
            </w:r>
          </w:p>
        </w:tc>
      </w:tr>
      <w:tr>
        <w:trPr>
          <w:cantSplit/>
        </w:trPr>
        <w:tc>
          <w:tcPr>
            <w:tcW w:type="dxa" w:w="580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Original rows</w:t>
            </w:r>
          </w:p>
        </w:tc>
        <w:tc>
          <w:tcPr>
            <w:tcW w:type="dxa" w:w="4273"/>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3,044</w:t>
            </w:r>
          </w:p>
        </w:tc>
      </w:tr>
      <w:tr>
        <w:trPr>
          <w:cantSplit/>
        </w:trPr>
        <w:tc>
          <w:tcPr>
            <w:tcW w:type="dxa" w:w="580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Original columns</w:t>
            </w:r>
          </w:p>
        </w:tc>
        <w:tc>
          <w:tcPr>
            <w:tcW w:type="dxa" w:w="4273"/>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10</w:t>
            </w:r>
          </w:p>
        </w:tc>
      </w:tr>
      <w:tr>
        <w:trPr>
          <w:cantSplit/>
        </w:trPr>
        <w:tc>
          <w:tcPr>
            <w:tcW w:type="dxa" w:w="580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Rows after duplicate removal</w:t>
            </w:r>
          </w:p>
        </w:tc>
        <w:tc>
          <w:tcPr>
            <w:tcW w:type="dxa" w:w="4273"/>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3,044</w:t>
            </w:r>
          </w:p>
        </w:tc>
      </w:tr>
      <w:tr>
        <w:trPr>
          <w:cantSplit/>
        </w:trPr>
        <w:tc>
          <w:tcPr>
            <w:tcW w:type="dxa" w:w="580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Duplicate rows removed</w:t>
            </w:r>
          </w:p>
        </w:tc>
        <w:tc>
          <w:tcPr>
            <w:tcW w:type="dxa" w:w="4273"/>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0</w:t>
            </w:r>
          </w:p>
        </w:tc>
      </w:tr>
      <w:tr>
        <w:trPr>
          <w:cantSplit/>
        </w:trPr>
        <w:tc>
          <w:tcPr>
            <w:tcW w:type="dxa" w:w="580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Missing amounts</w:t>
            </w:r>
          </w:p>
        </w:tc>
        <w:tc>
          <w:tcPr>
            <w:tcW w:type="dxa" w:w="4273"/>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971 (31.9%)</w:t>
            </w:r>
          </w:p>
        </w:tc>
      </w:tr>
      <w:tr>
        <w:trPr>
          <w:cantSplit/>
        </w:trPr>
        <w:tc>
          <w:tcPr>
            <w:tcW w:type="dxa" w:w="580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Unknown industries</w:t>
            </w:r>
          </w:p>
        </w:tc>
        <w:tc>
          <w:tcPr>
            <w:tcW w:type="dxa" w:w="4273"/>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171</w:t>
            </w:r>
          </w:p>
        </w:tc>
      </w:tr>
      <w:tr>
        <w:trPr>
          <w:cantSplit/>
        </w:trPr>
        <w:tc>
          <w:tcPr>
            <w:tcW w:type="dxa" w:w="580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Unknown cities</w:t>
            </w:r>
          </w:p>
        </w:tc>
        <w:tc>
          <w:tcPr>
            <w:tcW w:type="dxa" w:w="4273"/>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180</w:t>
            </w:r>
          </w:p>
        </w:tc>
      </w:tr>
      <w:tr>
        <w:trPr>
          <w:cantSplit/>
        </w:trPr>
        <w:tc>
          <w:tcPr>
            <w:tcW w:type="dxa" w:w="580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Unknown investors</w:t>
            </w:r>
          </w:p>
        </w:tc>
        <w:tc>
          <w:tcPr>
            <w:tcW w:type="dxa" w:w="4273"/>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24</w:t>
            </w:r>
          </w:p>
        </w:tc>
      </w:tr>
    </w:tbl>
    <w:p>
      <w:pPr>
        <w:spacing w:after="40"/>
      </w:pPr>
    </w:p>
    <w:p>
      <w:pPr>
        <w:spacing w:after="90" w:line="264"/>
      </w:pPr>
      <w:r>
        <w:rPr>
          <w:rFonts w:ascii="Calibri" w:cs="Calibri" w:eastAsia="Calibri" w:hAnsi="Calibri"/>
          <w:sz w:val="20"/>
          <w:szCs w:val="20"/>
        </w:rPr>
        <w:t xml:space="preserve">Nearly one third of the records have no usable amount, so every amount-based table, chart and the model use only the 2,073 records with a valid positive amount. Record-count charts use all 3,044 records.</w:t>
      </w:r>
    </w:p>
    <w:p>
      <w:pPr>
        <w:pStyle w:val="Heading1"/>
        <w:keepNext/>
        <w:spacing w:after="80" w:before="200"/>
      </w:pPr>
      <w:r>
        <w:rPr>
          <w:rFonts w:ascii="Calibri" w:cs="Calibri" w:eastAsia="Calibri" w:hAnsi="Calibri"/>
          <w:b/>
          <w:bCs/>
          <w:color w:val="2D6A2E"/>
          <w:sz w:val="25"/>
          <w:szCs w:val="25"/>
        </w:rPr>
        <w:t xml:space="preserve">5. Data Analysis</w:t>
      </w:r>
    </w:p>
    <w:p>
      <w:pPr>
        <w:pStyle w:val="Heading2"/>
        <w:keepNext/>
        <w:spacing w:after="60" w:before="120"/>
      </w:pPr>
      <w:r>
        <w:rPr>
          <w:rFonts w:ascii="Calibri" w:cs="Calibri" w:eastAsia="Calibri" w:hAnsi="Calibri"/>
          <w:b/>
          <w:bCs/>
          <w:color w:val="1E1E1E"/>
          <w:sz w:val="21"/>
          <w:szCs w:val="21"/>
        </w:rPr>
        <w:t xml:space="preserve">5.1 Records by year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gridCol w:w="3600"/>
      </w:tblGrid>
      <w:tr>
        <w:trPr>
          <w:cantSplit/>
          <w:tblHeader/>
        </w:trPr>
        <w:tc>
          <w:tcPr>
            <w:tcW w:type="dxa" w:w="2880"/>
            <w:tcBorders>
              <w:top w:val="single" w:color="BFBFBF" w:sz="4"/>
              <w:left w:val="single" w:color="BFBFBF" w:sz="4"/>
              <w:bottom w:val="single" w:color="BFBFBF" w:sz="4"/>
              <w:right w:val="single" w:color="BFBFBF" w:sz="4"/>
            </w:tcBorders>
            <w:shd w:fill="2D6A2E" w:val="clear"/>
            <w:tcMar>
              <w:top w:type="dxa" w:w="40"/>
              <w:left w:type="dxa" w:w="90"/>
              <w:bottom w:type="dxa" w:w="40"/>
              <w:right w:type="dxa" w:w="90"/>
            </w:tcMar>
          </w:tcPr>
          <w:p>
            <w:pPr>
              <w:jc w:val="left"/>
            </w:pPr>
            <w:r>
              <w:rPr>
                <w:rFonts w:ascii="Calibri" w:cs="Calibri" w:eastAsia="Calibri" w:hAnsi="Calibri"/>
                <w:b/>
                <w:bCs/>
                <w:color w:val="FFFFFF"/>
                <w:sz w:val="18"/>
                <w:szCs w:val="18"/>
              </w:rPr>
              <w:t xml:space="preserve">Year</w:t>
            </w:r>
          </w:p>
        </w:tc>
        <w:tc>
          <w:tcPr>
            <w:tcW w:type="dxa" w:w="3600"/>
            <w:tcBorders>
              <w:top w:val="single" w:color="BFBFBF" w:sz="4"/>
              <w:left w:val="single" w:color="BFBFBF" w:sz="4"/>
              <w:bottom w:val="single" w:color="BFBFBF" w:sz="4"/>
              <w:right w:val="single" w:color="BFBFBF" w:sz="4"/>
            </w:tcBorders>
            <w:shd w:fill="2D6A2E" w:val="clear"/>
            <w:tcMar>
              <w:top w:type="dxa" w:w="40"/>
              <w:left w:type="dxa" w:w="90"/>
              <w:bottom w:type="dxa" w:w="40"/>
              <w:right w:type="dxa" w:w="90"/>
            </w:tcMar>
          </w:tcPr>
          <w:p>
            <w:pPr>
              <w:jc w:val="right"/>
            </w:pPr>
            <w:r>
              <w:rPr>
                <w:rFonts w:ascii="Calibri" w:cs="Calibri" w:eastAsia="Calibri" w:hAnsi="Calibri"/>
                <w:b/>
                <w:bCs/>
                <w:color w:val="FFFFFF"/>
                <w:sz w:val="18"/>
                <w:szCs w:val="18"/>
              </w:rPr>
              <w:t xml:space="preserve">Records</w:t>
            </w:r>
          </w:p>
        </w:tc>
        <w:tc>
          <w:tcPr>
            <w:tcW w:type="dxa" w:w="3600"/>
            <w:tcBorders>
              <w:top w:val="single" w:color="BFBFBF" w:sz="4"/>
              <w:left w:val="single" w:color="BFBFBF" w:sz="4"/>
              <w:bottom w:val="single" w:color="BFBFBF" w:sz="4"/>
              <w:right w:val="single" w:color="BFBFBF" w:sz="4"/>
            </w:tcBorders>
            <w:shd w:fill="2D6A2E" w:val="clear"/>
            <w:tcMar>
              <w:top w:type="dxa" w:w="40"/>
              <w:left w:type="dxa" w:w="90"/>
              <w:bottom w:type="dxa" w:w="40"/>
              <w:right w:type="dxa" w:w="90"/>
            </w:tcMar>
          </w:tcPr>
          <w:p>
            <w:pPr>
              <w:jc w:val="right"/>
            </w:pPr>
            <w:r>
              <w:rPr>
                <w:rFonts w:ascii="Calibri" w:cs="Calibri" w:eastAsia="Calibri" w:hAnsi="Calibri"/>
                <w:b/>
                <w:bCs/>
                <w:color w:val="FFFFFF"/>
                <w:sz w:val="18"/>
                <w:szCs w:val="18"/>
              </w:rPr>
              <w:t xml:space="preserve">Recorded funding (USD bn)</w:t>
            </w:r>
          </w:p>
        </w:tc>
      </w:tr>
      <w:tr>
        <w:trPr>
          <w:cantSplit/>
        </w:trPr>
        <w:tc>
          <w:tcPr>
            <w:tcW w:type="dxa" w:w="288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2015</w:t>
            </w:r>
          </w:p>
        </w:tc>
        <w:tc>
          <w:tcPr>
            <w:tcW w:type="dxa" w:w="36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929</w:t>
            </w:r>
          </w:p>
        </w:tc>
        <w:tc>
          <w:tcPr>
            <w:tcW w:type="dxa" w:w="36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8.67*</w:t>
            </w:r>
          </w:p>
        </w:tc>
      </w:tr>
      <w:tr>
        <w:trPr>
          <w:cantSplit/>
        </w:trPr>
        <w:tc>
          <w:tcPr>
            <w:tcW w:type="dxa" w:w="288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2016</w:t>
            </w:r>
          </w:p>
        </w:tc>
        <w:tc>
          <w:tcPr>
            <w:tcW w:type="dxa" w:w="36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993</w:t>
            </w:r>
          </w:p>
        </w:tc>
        <w:tc>
          <w:tcPr>
            <w:tcW w:type="dxa" w:w="36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3.83*</w:t>
            </w:r>
          </w:p>
        </w:tc>
      </w:tr>
      <w:tr>
        <w:trPr>
          <w:cantSplit/>
        </w:trPr>
        <w:tc>
          <w:tcPr>
            <w:tcW w:type="dxa" w:w="288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2017</w:t>
            </w:r>
          </w:p>
        </w:tc>
        <w:tc>
          <w:tcPr>
            <w:tcW w:type="dxa" w:w="36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687</w:t>
            </w:r>
          </w:p>
        </w:tc>
        <w:tc>
          <w:tcPr>
            <w:tcW w:type="dxa" w:w="36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10.43*</w:t>
            </w:r>
          </w:p>
        </w:tc>
      </w:tr>
      <w:tr>
        <w:trPr>
          <w:cantSplit/>
        </w:trPr>
        <w:tc>
          <w:tcPr>
            <w:tcW w:type="dxa" w:w="288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2018</w:t>
            </w:r>
          </w:p>
        </w:tc>
        <w:tc>
          <w:tcPr>
            <w:tcW w:type="dxa" w:w="36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309</w:t>
            </w:r>
          </w:p>
        </w:tc>
        <w:tc>
          <w:tcPr>
            <w:tcW w:type="dxa" w:w="36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5.12*</w:t>
            </w:r>
          </w:p>
        </w:tc>
      </w:tr>
      <w:tr>
        <w:trPr>
          <w:cantSplit/>
        </w:trPr>
        <w:tc>
          <w:tcPr>
            <w:tcW w:type="dxa" w:w="288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2019</w:t>
            </w:r>
          </w:p>
        </w:tc>
        <w:tc>
          <w:tcPr>
            <w:tcW w:type="dxa" w:w="36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111</w:t>
            </w:r>
          </w:p>
        </w:tc>
        <w:tc>
          <w:tcPr>
            <w:tcW w:type="dxa" w:w="36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9.70*</w:t>
            </w:r>
          </w:p>
        </w:tc>
      </w:tr>
      <w:tr>
        <w:trPr>
          <w:cantSplit/>
        </w:trPr>
        <w:tc>
          <w:tcPr>
            <w:tcW w:type="dxa" w:w="288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2020</w:t>
            </w:r>
          </w:p>
        </w:tc>
        <w:tc>
          <w:tcPr>
            <w:tcW w:type="dxa" w:w="36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7</w:t>
            </w:r>
          </w:p>
        </w:tc>
        <w:tc>
          <w:tcPr>
            <w:tcW w:type="dxa" w:w="36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0.39*</w:t>
            </w:r>
          </w:p>
        </w:tc>
      </w:tr>
      <w:tr>
        <w:trPr>
          <w:cantSplit/>
        </w:trPr>
        <w:tc>
          <w:tcPr>
            <w:tcW w:type="dxa" w:w="288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Date missing</w:t>
            </w:r>
          </w:p>
        </w:tc>
        <w:tc>
          <w:tcPr>
            <w:tcW w:type="dxa" w:w="36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8</w:t>
            </w:r>
          </w:p>
        </w:tc>
        <w:tc>
          <w:tcPr>
            <w:tcW w:type="dxa" w:w="360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w:t>
            </w:r>
          </w:p>
        </w:tc>
      </w:tr>
    </w:tbl>
    <w:p>
      <w:pPr>
        <w:spacing w:after="90" w:line="264"/>
      </w:pPr>
      <w:r>
        <w:rPr>
          <w:rFonts w:ascii="Calibri" w:cs="Calibri" w:eastAsia="Calibri" w:hAnsi="Calibri"/>
          <w:i/>
          <w:iCs/>
          <w:sz w:val="19"/>
          <w:szCs w:val="19"/>
        </w:rPr>
        <w:t xml:space="preserve">*Sum of valid amounts only. Record counts peak in 2016 and fall steadily afterwards, while the funding value is dominated by a few very large deals (for example 2017 and 2019). The 2020 figure covers only January. Year counts use strict dd/mm/yyyy parsing and exclude 8 malformed dates, so the app may differ by a few records.</w:t>
      </w:r>
    </w:p>
    <w:p>
      <w:pPr>
        <w:pStyle w:val="Heading2"/>
        <w:keepNext/>
        <w:spacing w:after="60" w:before="120"/>
      </w:pPr>
      <w:r>
        <w:rPr>
          <w:rFonts w:ascii="Calibri" w:cs="Calibri" w:eastAsia="Calibri" w:hAnsi="Calibri"/>
          <w:b/>
          <w:bCs/>
          <w:color w:val="1E1E1E"/>
          <w:sz w:val="21"/>
          <w:szCs w:val="21"/>
        </w:rPr>
        <w:t xml:space="preserve">5.2 Funding amount statistics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25"/>
        <w:gridCol w:w="5055"/>
      </w:tblGrid>
      <w:tr>
        <w:trPr>
          <w:cantSplit/>
          <w:tblHeader/>
        </w:trPr>
        <w:tc>
          <w:tcPr>
            <w:tcW w:type="dxa" w:w="5025"/>
            <w:tcBorders>
              <w:top w:val="single" w:color="BFBFBF" w:sz="4"/>
              <w:left w:val="single" w:color="BFBFBF" w:sz="4"/>
              <w:bottom w:val="single" w:color="BFBFBF" w:sz="4"/>
              <w:right w:val="single" w:color="BFBFBF" w:sz="4"/>
            </w:tcBorders>
            <w:shd w:fill="2D6A2E" w:val="clear"/>
            <w:tcMar>
              <w:top w:type="dxa" w:w="40"/>
              <w:left w:type="dxa" w:w="90"/>
              <w:bottom w:type="dxa" w:w="40"/>
              <w:right w:type="dxa" w:w="90"/>
            </w:tcMar>
          </w:tcPr>
          <w:p>
            <w:pPr>
              <w:jc w:val="left"/>
            </w:pPr>
            <w:r>
              <w:rPr>
                <w:rFonts w:ascii="Calibri" w:cs="Calibri" w:eastAsia="Calibri" w:hAnsi="Calibri"/>
                <w:b/>
                <w:bCs/>
                <w:color w:val="FFFFFF"/>
                <w:sz w:val="18"/>
                <w:szCs w:val="18"/>
              </w:rPr>
              <w:t xml:space="preserve">Statistic (valid amounts, n = 2,073)</w:t>
            </w:r>
          </w:p>
        </w:tc>
        <w:tc>
          <w:tcPr>
            <w:tcW w:type="dxa" w:w="5055"/>
            <w:tcBorders>
              <w:top w:val="single" w:color="BFBFBF" w:sz="4"/>
              <w:left w:val="single" w:color="BFBFBF" w:sz="4"/>
              <w:bottom w:val="single" w:color="BFBFBF" w:sz="4"/>
              <w:right w:val="single" w:color="BFBFBF" w:sz="4"/>
            </w:tcBorders>
            <w:shd w:fill="2D6A2E" w:val="clear"/>
            <w:tcMar>
              <w:top w:type="dxa" w:w="40"/>
              <w:left w:type="dxa" w:w="90"/>
              <w:bottom w:type="dxa" w:w="40"/>
              <w:right w:type="dxa" w:w="90"/>
            </w:tcMar>
          </w:tcPr>
          <w:p>
            <w:pPr>
              <w:jc w:val="right"/>
            </w:pPr>
            <w:r>
              <w:rPr>
                <w:rFonts w:ascii="Calibri" w:cs="Calibri" w:eastAsia="Calibri" w:hAnsi="Calibri"/>
                <w:b/>
                <w:bCs/>
                <w:color w:val="FFFFFF"/>
                <w:sz w:val="18"/>
                <w:szCs w:val="18"/>
              </w:rPr>
              <w:t xml:space="preserve">USD</w:t>
            </w:r>
          </w:p>
        </w:tc>
      </w:tr>
      <w:tr>
        <w:trPr>
          <w:cantSplit/>
        </w:trPr>
        <w:tc>
          <w:tcPr>
            <w:tcW w:type="dxa" w:w="5025"/>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Total recorded funding</w:t>
            </w:r>
          </w:p>
        </w:tc>
        <w:tc>
          <w:tcPr>
            <w:tcW w:type="dxa" w:w="5055"/>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38.14 billion</w:t>
            </w:r>
          </w:p>
        </w:tc>
      </w:tr>
      <w:tr>
        <w:trPr>
          <w:cantSplit/>
        </w:trPr>
        <w:tc>
          <w:tcPr>
            <w:tcW w:type="dxa" w:w="5025"/>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Mean</w:t>
            </w:r>
          </w:p>
        </w:tc>
        <w:tc>
          <w:tcPr>
            <w:tcW w:type="dxa" w:w="5055"/>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18,400,340</w:t>
            </w:r>
          </w:p>
        </w:tc>
      </w:tr>
      <w:tr>
        <w:trPr>
          <w:cantSplit/>
        </w:trPr>
        <w:tc>
          <w:tcPr>
            <w:tcW w:type="dxa" w:w="5025"/>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Median</w:t>
            </w:r>
          </w:p>
        </w:tc>
        <w:tc>
          <w:tcPr>
            <w:tcW w:type="dxa" w:w="5055"/>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1,750,000</w:t>
            </w:r>
          </w:p>
        </w:tc>
      </w:tr>
      <w:tr>
        <w:trPr>
          <w:cantSplit/>
        </w:trPr>
        <w:tc>
          <w:tcPr>
            <w:tcW w:type="dxa" w:w="5025"/>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25th / 75th percentile</w:t>
            </w:r>
          </w:p>
        </w:tc>
        <w:tc>
          <w:tcPr>
            <w:tcW w:type="dxa" w:w="5055"/>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486,000 / 8,000,000</w:t>
            </w:r>
          </w:p>
        </w:tc>
      </w:tr>
      <w:tr>
        <w:trPr>
          <w:cantSplit/>
        </w:trPr>
        <w:tc>
          <w:tcPr>
            <w:tcW w:type="dxa" w:w="5025"/>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Minimum</w:t>
            </w:r>
          </w:p>
        </w:tc>
        <w:tc>
          <w:tcPr>
            <w:tcW w:type="dxa" w:w="5055"/>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16,000</w:t>
            </w:r>
          </w:p>
        </w:tc>
      </w:tr>
      <w:tr>
        <w:trPr>
          <w:cantSplit/>
        </w:trPr>
        <w:tc>
          <w:tcPr>
            <w:tcW w:type="dxa" w:w="5025"/>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Maximum</w:t>
            </w:r>
          </w:p>
        </w:tc>
        <w:tc>
          <w:tcPr>
            <w:tcW w:type="dxa" w:w="5055"/>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3,900,000,000</w:t>
            </w:r>
          </w:p>
        </w:tc>
      </w:tr>
    </w:tbl>
    <w:p>
      <w:pPr>
        <w:spacing w:after="90" w:line="264"/>
      </w:pPr>
      <w:r>
        <w:rPr>
          <w:rFonts w:ascii="Calibri" w:cs="Calibri" w:eastAsia="Calibri" w:hAnsi="Calibri"/>
          <w:sz w:val="20"/>
          <w:szCs w:val="20"/>
        </w:rPr>
        <w:t xml:space="preserve">The mean is more than ten times the median, so the distribution is highly right-skewed. The maximum value (Rapido Bike Taxi, 3.9 billion USD) is far above all other records and may be a data-entry error in the source, so mean-based results should be read carefully.</w:t>
      </w:r>
    </w:p>
    <w:p>
      <w:pPr>
        <w:pStyle w:val="Heading2"/>
        <w:keepNext/>
        <w:spacing w:after="60" w:before="120"/>
      </w:pPr>
      <w:r>
        <w:rPr>
          <w:rFonts w:ascii="Calibri" w:cs="Calibri" w:eastAsia="Calibri" w:hAnsi="Calibri"/>
          <w:b/>
          <w:bCs/>
          <w:color w:val="1E1E1E"/>
          <w:sz w:val="21"/>
          <w:szCs w:val="21"/>
        </w:rPr>
        <w:t xml:space="preserve">5.3 Industry summary (top 6 by total funding)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50"/>
        <w:gridCol w:w="1452"/>
        <w:gridCol w:w="1787"/>
        <w:gridCol w:w="1787"/>
        <w:gridCol w:w="1704"/>
      </w:tblGrid>
      <w:tr>
        <w:trPr>
          <w:cantSplit/>
          <w:tblHeader/>
        </w:trPr>
        <w:tc>
          <w:tcPr>
            <w:tcW w:type="dxa" w:w="3350"/>
            <w:tcBorders>
              <w:top w:val="single" w:color="BFBFBF" w:sz="4"/>
              <w:left w:val="single" w:color="BFBFBF" w:sz="4"/>
              <w:bottom w:val="single" w:color="BFBFBF" w:sz="4"/>
              <w:right w:val="single" w:color="BFBFBF" w:sz="4"/>
            </w:tcBorders>
            <w:shd w:fill="2D6A2E" w:val="clear"/>
            <w:tcMar>
              <w:top w:type="dxa" w:w="40"/>
              <w:left w:type="dxa" w:w="90"/>
              <w:bottom w:type="dxa" w:w="40"/>
              <w:right w:type="dxa" w:w="90"/>
            </w:tcMar>
          </w:tcPr>
          <w:p>
            <w:pPr>
              <w:jc w:val="left"/>
            </w:pPr>
            <w:r>
              <w:rPr>
                <w:rFonts w:ascii="Calibri" w:cs="Calibri" w:eastAsia="Calibri" w:hAnsi="Calibri"/>
                <w:b/>
                <w:bCs/>
                <w:color w:val="FFFFFF"/>
                <w:sz w:val="18"/>
                <w:szCs w:val="18"/>
              </w:rPr>
              <w:t xml:space="preserve">Industry</w:t>
            </w:r>
          </w:p>
        </w:tc>
        <w:tc>
          <w:tcPr>
            <w:tcW w:type="dxa" w:w="1452"/>
            <w:tcBorders>
              <w:top w:val="single" w:color="BFBFBF" w:sz="4"/>
              <w:left w:val="single" w:color="BFBFBF" w:sz="4"/>
              <w:bottom w:val="single" w:color="BFBFBF" w:sz="4"/>
              <w:right w:val="single" w:color="BFBFBF" w:sz="4"/>
            </w:tcBorders>
            <w:shd w:fill="2D6A2E" w:val="clear"/>
            <w:tcMar>
              <w:top w:type="dxa" w:w="40"/>
              <w:left w:type="dxa" w:w="90"/>
              <w:bottom w:type="dxa" w:w="40"/>
              <w:right w:type="dxa" w:w="90"/>
            </w:tcMar>
          </w:tcPr>
          <w:p>
            <w:pPr>
              <w:jc w:val="right"/>
            </w:pPr>
            <w:r>
              <w:rPr>
                <w:rFonts w:ascii="Calibri" w:cs="Calibri" w:eastAsia="Calibri" w:hAnsi="Calibri"/>
                <w:b/>
                <w:bCs/>
                <w:color w:val="FFFFFF"/>
                <w:sz w:val="18"/>
                <w:szCs w:val="18"/>
              </w:rPr>
              <w:t xml:space="preserve">Records</w:t>
            </w:r>
          </w:p>
        </w:tc>
        <w:tc>
          <w:tcPr>
            <w:tcW w:type="dxa" w:w="1787"/>
            <w:tcBorders>
              <w:top w:val="single" w:color="BFBFBF" w:sz="4"/>
              <w:left w:val="single" w:color="BFBFBF" w:sz="4"/>
              <w:bottom w:val="single" w:color="BFBFBF" w:sz="4"/>
              <w:right w:val="single" w:color="BFBFBF" w:sz="4"/>
            </w:tcBorders>
            <w:shd w:fill="2D6A2E" w:val="clear"/>
            <w:tcMar>
              <w:top w:type="dxa" w:w="40"/>
              <w:left w:type="dxa" w:w="90"/>
              <w:bottom w:type="dxa" w:w="40"/>
              <w:right w:type="dxa" w:w="90"/>
            </w:tcMar>
          </w:tcPr>
          <w:p>
            <w:pPr>
              <w:jc w:val="right"/>
            </w:pPr>
            <w:r>
              <w:rPr>
                <w:rFonts w:ascii="Calibri" w:cs="Calibri" w:eastAsia="Calibri" w:hAnsi="Calibri"/>
                <w:b/>
                <w:bCs/>
                <w:color w:val="FFFFFF"/>
                <w:sz w:val="18"/>
                <w:szCs w:val="18"/>
              </w:rPr>
              <w:t xml:space="preserve">Total (USD m)</w:t>
            </w:r>
          </w:p>
        </w:tc>
        <w:tc>
          <w:tcPr>
            <w:tcW w:type="dxa" w:w="1787"/>
            <w:tcBorders>
              <w:top w:val="single" w:color="BFBFBF" w:sz="4"/>
              <w:left w:val="single" w:color="BFBFBF" w:sz="4"/>
              <w:bottom w:val="single" w:color="BFBFBF" w:sz="4"/>
              <w:right w:val="single" w:color="BFBFBF" w:sz="4"/>
            </w:tcBorders>
            <w:shd w:fill="2D6A2E" w:val="clear"/>
            <w:tcMar>
              <w:top w:type="dxa" w:w="40"/>
              <w:left w:type="dxa" w:w="90"/>
              <w:bottom w:type="dxa" w:w="40"/>
              <w:right w:type="dxa" w:w="90"/>
            </w:tcMar>
          </w:tcPr>
          <w:p>
            <w:pPr>
              <w:jc w:val="right"/>
            </w:pPr>
            <w:r>
              <w:rPr>
                <w:rFonts w:ascii="Calibri" w:cs="Calibri" w:eastAsia="Calibri" w:hAnsi="Calibri"/>
                <w:b/>
                <w:bCs/>
                <w:color w:val="FFFFFF"/>
                <w:sz w:val="18"/>
                <w:szCs w:val="18"/>
              </w:rPr>
              <w:t xml:space="preserve">Average (USD m)</w:t>
            </w:r>
          </w:p>
        </w:tc>
        <w:tc>
          <w:tcPr>
            <w:tcW w:type="dxa" w:w="1704"/>
            <w:tcBorders>
              <w:top w:val="single" w:color="BFBFBF" w:sz="4"/>
              <w:left w:val="single" w:color="BFBFBF" w:sz="4"/>
              <w:bottom w:val="single" w:color="BFBFBF" w:sz="4"/>
              <w:right w:val="single" w:color="BFBFBF" w:sz="4"/>
            </w:tcBorders>
            <w:shd w:fill="2D6A2E" w:val="clear"/>
            <w:tcMar>
              <w:top w:type="dxa" w:w="40"/>
              <w:left w:type="dxa" w:w="90"/>
              <w:bottom w:type="dxa" w:w="40"/>
              <w:right w:type="dxa" w:w="90"/>
            </w:tcMar>
          </w:tcPr>
          <w:p>
            <w:pPr>
              <w:jc w:val="right"/>
            </w:pPr>
            <w:r>
              <w:rPr>
                <w:rFonts w:ascii="Calibri" w:cs="Calibri" w:eastAsia="Calibri" w:hAnsi="Calibri"/>
                <w:b/>
                <w:bCs/>
                <w:color w:val="FFFFFF"/>
                <w:sz w:val="18"/>
                <w:szCs w:val="18"/>
              </w:rPr>
              <w:t xml:space="preserve">Median (USD m)</w:t>
            </w:r>
          </w:p>
        </w:tc>
      </w:tr>
      <w:tr>
        <w:trPr>
          <w:cantSplit/>
        </w:trPr>
        <w:tc>
          <w:tcPr>
            <w:tcW w:type="dxa" w:w="335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eCommerce</w:t>
            </w:r>
          </w:p>
        </w:tc>
        <w:tc>
          <w:tcPr>
            <w:tcW w:type="dxa" w:w="1452"/>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205</w:t>
            </w:r>
          </w:p>
        </w:tc>
        <w:tc>
          <w:tcPr>
            <w:tcW w:type="dxa" w:w="178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8,260.7</w:t>
            </w:r>
          </w:p>
        </w:tc>
        <w:tc>
          <w:tcPr>
            <w:tcW w:type="dxa" w:w="178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40.30</w:t>
            </w:r>
          </w:p>
        </w:tc>
        <w:tc>
          <w:tcPr>
            <w:tcW w:type="dxa" w:w="1704"/>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3.00</w:t>
            </w:r>
          </w:p>
        </w:tc>
      </w:tr>
      <w:tr>
        <w:trPr>
          <w:cantSplit/>
        </w:trPr>
        <w:tc>
          <w:tcPr>
            <w:tcW w:type="dxa" w:w="335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Consumer Internet</w:t>
            </w:r>
          </w:p>
        </w:tc>
        <w:tc>
          <w:tcPr>
            <w:tcW w:type="dxa" w:w="1452"/>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589</w:t>
            </w:r>
          </w:p>
        </w:tc>
        <w:tc>
          <w:tcPr>
            <w:tcW w:type="dxa" w:w="178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6,253.1</w:t>
            </w:r>
          </w:p>
        </w:tc>
        <w:tc>
          <w:tcPr>
            <w:tcW w:type="dxa" w:w="178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10.62</w:t>
            </w:r>
          </w:p>
        </w:tc>
        <w:tc>
          <w:tcPr>
            <w:tcW w:type="dxa" w:w="1704"/>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1.00</w:t>
            </w:r>
          </w:p>
        </w:tc>
      </w:tr>
      <w:tr>
        <w:trPr>
          <w:cantSplit/>
        </w:trPr>
        <w:tc>
          <w:tcPr>
            <w:tcW w:type="dxa" w:w="335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Transportation</w:t>
            </w:r>
          </w:p>
        </w:tc>
        <w:tc>
          <w:tcPr>
            <w:tcW w:type="dxa" w:w="1452"/>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4</w:t>
            </w:r>
          </w:p>
        </w:tc>
        <w:tc>
          <w:tcPr>
            <w:tcW w:type="dxa" w:w="178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3,916.6</w:t>
            </w:r>
          </w:p>
        </w:tc>
        <w:tc>
          <w:tcPr>
            <w:tcW w:type="dxa" w:w="178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979.16</w:t>
            </w:r>
          </w:p>
        </w:tc>
        <w:tc>
          <w:tcPr>
            <w:tcW w:type="dxa" w:w="1704"/>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6.52</w:t>
            </w:r>
          </w:p>
        </w:tc>
      </w:tr>
      <w:tr>
        <w:trPr>
          <w:cantSplit/>
        </w:trPr>
        <w:tc>
          <w:tcPr>
            <w:tcW w:type="dxa" w:w="335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Technology</w:t>
            </w:r>
          </w:p>
        </w:tc>
        <w:tc>
          <w:tcPr>
            <w:tcW w:type="dxa" w:w="1452"/>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310</w:t>
            </w:r>
          </w:p>
        </w:tc>
        <w:tc>
          <w:tcPr>
            <w:tcW w:type="dxa" w:w="178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2,229.7</w:t>
            </w:r>
          </w:p>
        </w:tc>
        <w:tc>
          <w:tcPr>
            <w:tcW w:type="dxa" w:w="178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7.19</w:t>
            </w:r>
          </w:p>
        </w:tc>
        <w:tc>
          <w:tcPr>
            <w:tcW w:type="dxa" w:w="1704"/>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1.50</w:t>
            </w:r>
          </w:p>
        </w:tc>
      </w:tr>
      <w:tr>
        <w:trPr>
          <w:cantSplit/>
        </w:trPr>
        <w:tc>
          <w:tcPr>
            <w:tcW w:type="dxa" w:w="335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Finance</w:t>
            </w:r>
          </w:p>
        </w:tc>
        <w:tc>
          <w:tcPr>
            <w:tcW w:type="dxa" w:w="1452"/>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57</w:t>
            </w:r>
          </w:p>
        </w:tc>
        <w:tc>
          <w:tcPr>
            <w:tcW w:type="dxa" w:w="178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1,971.4</w:t>
            </w:r>
          </w:p>
        </w:tc>
        <w:tc>
          <w:tcPr>
            <w:tcW w:type="dxa" w:w="178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34.59</w:t>
            </w:r>
          </w:p>
        </w:tc>
        <w:tc>
          <w:tcPr>
            <w:tcW w:type="dxa" w:w="1704"/>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6.24</w:t>
            </w:r>
          </w:p>
        </w:tc>
      </w:tr>
      <w:tr>
        <w:trPr>
          <w:cantSplit/>
        </w:trPr>
        <w:tc>
          <w:tcPr>
            <w:tcW w:type="dxa" w:w="3350"/>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FinTech</w:t>
            </w:r>
          </w:p>
        </w:tc>
        <w:tc>
          <w:tcPr>
            <w:tcW w:type="dxa" w:w="1452"/>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16</w:t>
            </w:r>
          </w:p>
        </w:tc>
        <w:tc>
          <w:tcPr>
            <w:tcW w:type="dxa" w:w="178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1,364.9</w:t>
            </w:r>
          </w:p>
        </w:tc>
        <w:tc>
          <w:tcPr>
            <w:tcW w:type="dxa" w:w="178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85.31</w:t>
            </w:r>
          </w:p>
        </w:tc>
        <w:tc>
          <w:tcPr>
            <w:tcW w:type="dxa" w:w="1704"/>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10.00</w:t>
            </w:r>
          </w:p>
        </w:tc>
      </w:tr>
    </w:tbl>
    <w:p>
      <w:pPr>
        <w:spacing w:after="90" w:line="264"/>
      </w:pPr>
      <w:r>
        <w:rPr>
          <w:rFonts w:ascii="Calibri" w:cs="Calibri" w:eastAsia="Calibri" w:hAnsi="Calibri"/>
          <w:i/>
          <w:iCs/>
          <w:sz w:val="19"/>
          <w:szCs w:val="19"/>
        </w:rPr>
        <w:t xml:space="preserve">Transportation has only four valid records, and its average is driven by the single Rapido value, so the median is the more reliable comparison.</w:t>
      </w:r>
    </w:p>
    <w:p>
      <w:pPr>
        <w:pStyle w:val="Heading2"/>
        <w:keepNext/>
        <w:spacing w:after="60" w:before="120"/>
      </w:pPr>
      <w:r>
        <w:rPr>
          <w:rFonts w:ascii="Calibri" w:cs="Calibri" w:eastAsia="Calibri" w:hAnsi="Calibri"/>
          <w:b/>
          <w:bCs/>
          <w:color w:val="1E1E1E"/>
          <w:sz w:val="21"/>
          <w:szCs w:val="21"/>
        </w:rPr>
        <w:t xml:space="preserve">5.4 Investment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25"/>
        <w:gridCol w:w="2527"/>
        <w:gridCol w:w="2528"/>
      </w:tblGrid>
      <w:tr>
        <w:trPr>
          <w:cantSplit/>
          <w:tblHeader/>
        </w:trPr>
        <w:tc>
          <w:tcPr>
            <w:tcW w:type="dxa" w:w="5025"/>
            <w:tcBorders>
              <w:top w:val="single" w:color="BFBFBF" w:sz="4"/>
              <w:left w:val="single" w:color="BFBFBF" w:sz="4"/>
              <w:bottom w:val="single" w:color="BFBFBF" w:sz="4"/>
              <w:right w:val="single" w:color="BFBFBF" w:sz="4"/>
            </w:tcBorders>
            <w:shd w:fill="2D6A2E" w:val="clear"/>
            <w:tcMar>
              <w:top w:type="dxa" w:w="40"/>
              <w:left w:type="dxa" w:w="90"/>
              <w:bottom w:type="dxa" w:w="40"/>
              <w:right w:type="dxa" w:w="90"/>
            </w:tcMar>
          </w:tcPr>
          <w:p>
            <w:pPr>
              <w:jc w:val="left"/>
            </w:pPr>
            <w:r>
              <w:rPr>
                <w:rFonts w:ascii="Calibri" w:cs="Calibri" w:eastAsia="Calibri" w:hAnsi="Calibri"/>
                <w:b/>
                <w:bCs/>
                <w:color w:val="FFFFFF"/>
                <w:sz w:val="18"/>
                <w:szCs w:val="18"/>
              </w:rPr>
              <w:t xml:space="preserve">Investment type</w:t>
            </w:r>
          </w:p>
        </w:tc>
        <w:tc>
          <w:tcPr>
            <w:tcW w:type="dxa" w:w="2527"/>
            <w:tcBorders>
              <w:top w:val="single" w:color="BFBFBF" w:sz="4"/>
              <w:left w:val="single" w:color="BFBFBF" w:sz="4"/>
              <w:bottom w:val="single" w:color="BFBFBF" w:sz="4"/>
              <w:right w:val="single" w:color="BFBFBF" w:sz="4"/>
            </w:tcBorders>
            <w:shd w:fill="2D6A2E" w:val="clear"/>
            <w:tcMar>
              <w:top w:type="dxa" w:w="40"/>
              <w:left w:type="dxa" w:w="90"/>
              <w:bottom w:type="dxa" w:w="40"/>
              <w:right w:type="dxa" w:w="90"/>
            </w:tcMar>
          </w:tcPr>
          <w:p>
            <w:pPr>
              <w:jc w:val="right"/>
            </w:pPr>
            <w:r>
              <w:rPr>
                <w:rFonts w:ascii="Calibri" w:cs="Calibri" w:eastAsia="Calibri" w:hAnsi="Calibri"/>
                <w:b/>
                <w:bCs/>
                <w:color w:val="FFFFFF"/>
                <w:sz w:val="18"/>
                <w:szCs w:val="18"/>
              </w:rPr>
              <w:t xml:space="preserve">Records</w:t>
            </w:r>
          </w:p>
        </w:tc>
        <w:tc>
          <w:tcPr>
            <w:tcW w:type="dxa" w:w="2528"/>
            <w:tcBorders>
              <w:top w:val="single" w:color="BFBFBF" w:sz="4"/>
              <w:left w:val="single" w:color="BFBFBF" w:sz="4"/>
              <w:bottom w:val="single" w:color="BFBFBF" w:sz="4"/>
              <w:right w:val="single" w:color="BFBFBF" w:sz="4"/>
            </w:tcBorders>
            <w:shd w:fill="2D6A2E" w:val="clear"/>
            <w:tcMar>
              <w:top w:type="dxa" w:w="40"/>
              <w:left w:type="dxa" w:w="90"/>
              <w:bottom w:type="dxa" w:w="40"/>
              <w:right w:type="dxa" w:w="90"/>
            </w:tcMar>
          </w:tcPr>
          <w:p>
            <w:pPr>
              <w:jc w:val="right"/>
            </w:pPr>
            <w:r>
              <w:rPr>
                <w:rFonts w:ascii="Calibri" w:cs="Calibri" w:eastAsia="Calibri" w:hAnsi="Calibri"/>
                <w:b/>
                <w:bCs/>
                <w:color w:val="FFFFFF"/>
                <w:sz w:val="18"/>
                <w:szCs w:val="18"/>
              </w:rPr>
              <w:t xml:space="preserve">Share</w:t>
            </w:r>
          </w:p>
        </w:tc>
      </w:tr>
      <w:tr>
        <w:trPr>
          <w:cantSplit/>
        </w:trPr>
        <w:tc>
          <w:tcPr>
            <w:tcW w:type="dxa" w:w="5025"/>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Seed/Angel Funding</w:t>
            </w:r>
          </w:p>
        </w:tc>
        <w:tc>
          <w:tcPr>
            <w:tcW w:type="dxa" w:w="252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1,542</w:t>
            </w:r>
          </w:p>
        </w:tc>
        <w:tc>
          <w:tcPr>
            <w:tcW w:type="dxa" w:w="252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50.7%</w:t>
            </w:r>
          </w:p>
        </w:tc>
      </w:tr>
      <w:tr>
        <w:trPr>
          <w:cantSplit/>
        </w:trPr>
        <w:tc>
          <w:tcPr>
            <w:tcW w:type="dxa" w:w="5025"/>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Private Equity</w:t>
            </w:r>
          </w:p>
        </w:tc>
        <w:tc>
          <w:tcPr>
            <w:tcW w:type="dxa" w:w="252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1,361</w:t>
            </w:r>
          </w:p>
        </w:tc>
        <w:tc>
          <w:tcPr>
            <w:tcW w:type="dxa" w:w="252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44.7%</w:t>
            </w:r>
          </w:p>
        </w:tc>
      </w:tr>
      <w:tr>
        <w:trPr>
          <w:cantSplit/>
        </w:trPr>
        <w:tc>
          <w:tcPr>
            <w:tcW w:type="dxa" w:w="5025"/>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Debt Funding</w:t>
            </w:r>
          </w:p>
        </w:tc>
        <w:tc>
          <w:tcPr>
            <w:tcW w:type="dxa" w:w="252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25</w:t>
            </w:r>
          </w:p>
        </w:tc>
        <w:tc>
          <w:tcPr>
            <w:tcW w:type="dxa" w:w="252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0.8%</w:t>
            </w:r>
          </w:p>
        </w:tc>
      </w:tr>
      <w:tr>
        <w:trPr>
          <w:cantSplit/>
        </w:trPr>
        <w:tc>
          <w:tcPr>
            <w:tcW w:type="dxa" w:w="5025"/>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Series A</w:t>
            </w:r>
          </w:p>
        </w:tc>
        <w:tc>
          <w:tcPr>
            <w:tcW w:type="dxa" w:w="252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24</w:t>
            </w:r>
          </w:p>
        </w:tc>
        <w:tc>
          <w:tcPr>
            <w:tcW w:type="dxa" w:w="252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0.8%</w:t>
            </w:r>
          </w:p>
        </w:tc>
      </w:tr>
      <w:tr>
        <w:trPr>
          <w:cantSplit/>
        </w:trPr>
        <w:tc>
          <w:tcPr>
            <w:tcW w:type="dxa" w:w="5025"/>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Series B</w:t>
            </w:r>
          </w:p>
        </w:tc>
        <w:tc>
          <w:tcPr>
            <w:tcW w:type="dxa" w:w="252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20</w:t>
            </w:r>
          </w:p>
        </w:tc>
        <w:tc>
          <w:tcPr>
            <w:tcW w:type="dxa" w:w="252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0.7%</w:t>
            </w:r>
          </w:p>
        </w:tc>
      </w:tr>
      <w:tr>
        <w:trPr>
          <w:cantSplit/>
        </w:trPr>
        <w:tc>
          <w:tcPr>
            <w:tcW w:type="dxa" w:w="5025"/>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Other / Unknown</w:t>
            </w:r>
          </w:p>
        </w:tc>
        <w:tc>
          <w:tcPr>
            <w:tcW w:type="dxa" w:w="252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72</w:t>
            </w:r>
          </w:p>
        </w:tc>
        <w:tc>
          <w:tcPr>
            <w:tcW w:type="dxa" w:w="2528"/>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2.4%</w:t>
            </w:r>
          </w:p>
        </w:tc>
      </w:tr>
    </w:tbl>
    <w:p>
      <w:pPr>
        <w:pStyle w:val="Heading1"/>
        <w:keepNext/>
        <w:spacing w:after="80" w:before="200"/>
      </w:pPr>
      <w:r>
        <w:rPr>
          <w:rFonts w:ascii="Calibri" w:cs="Calibri" w:eastAsia="Calibri" w:hAnsi="Calibri"/>
          <w:b/>
          <w:bCs/>
          <w:color w:val="2D6A2E"/>
          <w:sz w:val="25"/>
          <w:szCs w:val="25"/>
        </w:rPr>
        <w:t xml:space="preserve">6. Visualization</w:t>
      </w:r>
    </w:p>
    <w:p>
      <w:pPr>
        <w:spacing w:after="90" w:line="264"/>
      </w:pPr>
      <w:r>
        <w:rPr>
          <w:rFonts w:ascii="Calibri" w:cs="Calibri" w:eastAsia="Calibri" w:hAnsi="Calibri"/>
          <w:sz w:val="20"/>
          <w:szCs w:val="20"/>
        </w:rPr>
        <w:t xml:space="preserve">The charts below are produced by the dashboard's ggplot2 code (the same data and logic, shown here as exported figures). The dashboard additionally lets the user filter by industry, city, investment type and year.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Pr>
          <w:p>
            <w:pPr>
              <w:spacing w:after="30"/>
              <w:jc w:val="center"/>
            </w:pPr>
            <w:r>
              <w:drawing>
                <wp:inline distT="0" distB="0" distL="0" distR="0">
                  <wp:extent cx="2857500" cy="1762125"/>
                  <wp:effectExtent t="0" r="0" b="0" l="0"/>
                  <wp:docPr id="1" name="fig_year.png" descr="fig_year.png" title="fig_y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762125"/>
                          </a:xfrm>
                          <a:prstGeom prst="rect">
                            <a:avLst/>
                          </a:prstGeom>
                        </pic:spPr>
                      </pic:pic>
                    </a:graphicData>
                  </a:graphic>
                </wp:inline>
              </w:drawing>
            </w:r>
          </w:p>
          <w:p>
            <w:pPr>
              <w:spacing w:after="90" w:line="264"/>
              <w:jc w:val="center"/>
            </w:pPr>
            <w:r>
              <w:rPr>
                <w:rFonts w:ascii="Calibri" w:cs="Calibri" w:eastAsia="Calibri" w:hAnsi="Calibri"/>
                <w:i/>
                <w:iCs/>
                <w:color w:val="404040"/>
                <w:sz w:val="17"/>
                <w:szCs w:val="17"/>
              </w:rPr>
              <w:t xml:space="preserve">Figure 1: Records by year</w:t>
            </w:r>
          </w:p>
        </w:tc>
        <w:tc>
          <w:tcPr>
            <w:tcW w:type="dxa" w:w="5040"/>
            <w:tcBorders>
              <w:top w:val="none" w:color="FFFFFF" w:sz="0"/>
              <w:left w:val="none" w:color="FFFFFF" w:sz="0"/>
              <w:bottom w:val="none" w:color="FFFFFF" w:sz="0"/>
              <w:right w:val="none" w:color="FFFFFF" w:sz="0"/>
            </w:tcBorders>
          </w:tcPr>
          <w:p>
            <w:pPr>
              <w:spacing w:after="30"/>
              <w:jc w:val="center"/>
            </w:pPr>
            <w:r>
              <w:drawing>
                <wp:inline distT="0" distB="0" distL="0" distR="0">
                  <wp:extent cx="2857500" cy="1762125"/>
                  <wp:effectExtent t="0" r="0" b="0" l="0"/>
                  <wp:docPr id="1" name="fig_ind.png" descr="fig_ind.png" title="fig_i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762125"/>
                          </a:xfrm>
                          <a:prstGeom prst="rect">
                            <a:avLst/>
                          </a:prstGeom>
                        </pic:spPr>
                      </pic:pic>
                    </a:graphicData>
                  </a:graphic>
                </wp:inline>
              </w:drawing>
            </w:r>
          </w:p>
          <w:p>
            <w:pPr>
              <w:spacing w:after="90" w:line="264"/>
              <w:jc w:val="center"/>
            </w:pPr>
            <w:r>
              <w:rPr>
                <w:rFonts w:ascii="Calibri" w:cs="Calibri" w:eastAsia="Calibri" w:hAnsi="Calibri"/>
                <w:i/>
                <w:iCs/>
                <w:color w:val="404040"/>
                <w:sz w:val="17"/>
                <w:szCs w:val="17"/>
              </w:rPr>
              <w:t xml:space="preserve">Figure 2: Top industries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Pr>
          <w:p>
            <w:pPr>
              <w:spacing w:after="30"/>
              <w:jc w:val="center"/>
            </w:pPr>
            <w:r>
              <w:drawing>
                <wp:inline distT="0" distB="0" distL="0" distR="0">
                  <wp:extent cx="2857500" cy="1762125"/>
                  <wp:effectExtent t="0" r="0" b="0" l="0"/>
                  <wp:docPr id="1" name="fig_city.png" descr="fig_city.png" title="fig_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1762125"/>
                          </a:xfrm>
                          <a:prstGeom prst="rect">
                            <a:avLst/>
                          </a:prstGeom>
                        </pic:spPr>
                      </pic:pic>
                    </a:graphicData>
                  </a:graphic>
                </wp:inline>
              </w:drawing>
            </w:r>
          </w:p>
          <w:p>
            <w:pPr>
              <w:spacing w:after="90" w:line="264"/>
              <w:jc w:val="center"/>
            </w:pPr>
            <w:r>
              <w:rPr>
                <w:rFonts w:ascii="Calibri" w:cs="Calibri" w:eastAsia="Calibri" w:hAnsi="Calibri"/>
                <w:i/>
                <w:iCs/>
                <w:color w:val="404040"/>
                <w:sz w:val="17"/>
                <w:szCs w:val="17"/>
              </w:rPr>
              <w:t xml:space="preserve">Figure 3: Top cities</w:t>
            </w:r>
          </w:p>
        </w:tc>
        <w:tc>
          <w:tcPr>
            <w:tcW w:type="dxa" w:w="5040"/>
            <w:tcBorders>
              <w:top w:val="none" w:color="FFFFFF" w:sz="0"/>
              <w:left w:val="none" w:color="FFFFFF" w:sz="0"/>
              <w:bottom w:val="none" w:color="FFFFFF" w:sz="0"/>
              <w:right w:val="none" w:color="FFFFFF" w:sz="0"/>
            </w:tcBorders>
          </w:tcPr>
          <w:p>
            <w:pPr>
              <w:spacing w:after="30"/>
              <w:jc w:val="center"/>
            </w:pPr>
            <w:r>
              <w:drawing>
                <wp:inline distT="0" distB="0" distL="0" distR="0">
                  <wp:extent cx="2857500" cy="1762125"/>
                  <wp:effectExtent t="0" r="0" b="0" l="0"/>
                  <wp:docPr id="1" name="fig_type.png" descr="fig_type.png" title="fig_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1762125"/>
                          </a:xfrm>
                          <a:prstGeom prst="rect">
                            <a:avLst/>
                          </a:prstGeom>
                        </pic:spPr>
                      </pic:pic>
                    </a:graphicData>
                  </a:graphic>
                </wp:inline>
              </w:drawing>
            </w:r>
          </w:p>
          <w:p>
            <w:pPr>
              <w:spacing w:after="90" w:line="264"/>
              <w:jc w:val="center"/>
            </w:pPr>
            <w:r>
              <w:rPr>
                <w:rFonts w:ascii="Calibri" w:cs="Calibri" w:eastAsia="Calibri" w:hAnsi="Calibri"/>
                <w:i/>
                <w:iCs/>
                <w:color w:val="404040"/>
                <w:sz w:val="17"/>
                <w:szCs w:val="17"/>
              </w:rPr>
              <w:t xml:space="preserve">Figure 4: Investment types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Pr>
          <w:p>
            <w:pPr>
              <w:spacing w:after="30"/>
              <w:jc w:val="center"/>
            </w:pPr>
            <w:r>
              <w:drawing>
                <wp:inline distT="0" distB="0" distL="0" distR="0">
                  <wp:extent cx="2857500" cy="1762125"/>
                  <wp:effectExtent t="0" r="0" b="0" l="0"/>
                  <wp:docPr id="1" name="fig_amtlog.png" descr="fig_amtlog.png" title="fig_amt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1762125"/>
                          </a:xfrm>
                          <a:prstGeom prst="rect">
                            <a:avLst/>
                          </a:prstGeom>
                        </pic:spPr>
                      </pic:pic>
                    </a:graphicData>
                  </a:graphic>
                </wp:inline>
              </w:drawing>
            </w:r>
          </w:p>
          <w:p>
            <w:pPr>
              <w:spacing w:after="90" w:line="264"/>
              <w:jc w:val="center"/>
            </w:pPr>
            <w:r>
              <w:rPr>
                <w:rFonts w:ascii="Calibri" w:cs="Calibri" w:eastAsia="Calibri" w:hAnsi="Calibri"/>
                <w:i/>
                <w:iCs/>
                <w:color w:val="404040"/>
                <w:sz w:val="17"/>
                <w:szCs w:val="17"/>
              </w:rPr>
              <w:t xml:space="preserve">Figure 5: Amount distribution (log scale)</w:t>
            </w:r>
          </w:p>
        </w:tc>
        <w:tc>
          <w:tcPr>
            <w:tcW w:type="dxa" w:w="5040"/>
            <w:tcBorders>
              <w:top w:val="none" w:color="FFFFFF" w:sz="0"/>
              <w:left w:val="none" w:color="FFFFFF" w:sz="0"/>
              <w:bottom w:val="none" w:color="FFFFFF" w:sz="0"/>
              <w:right w:val="none" w:color="FFFFFF" w:sz="0"/>
            </w:tcBorders>
          </w:tcPr>
          <w:p>
            <w:pPr>
              <w:spacing w:after="30"/>
              <w:jc w:val="center"/>
            </w:pPr>
            <w:r>
              <w:drawing>
                <wp:inline distT="0" distB="0" distL="0" distR="0">
                  <wp:extent cx="2857500" cy="1762125"/>
                  <wp:effectExtent t="0" r="0" b="0" l="0"/>
                  <wp:docPr id="1" name="fig_avg.png" descr="fig_avg.png" title="fig_a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1762125"/>
                          </a:xfrm>
                          <a:prstGeom prst="rect">
                            <a:avLst/>
                          </a:prstGeom>
                        </pic:spPr>
                      </pic:pic>
                    </a:graphicData>
                  </a:graphic>
                </wp:inline>
              </w:drawing>
            </w:r>
          </w:p>
          <w:p>
            <w:pPr>
              <w:spacing w:after="90" w:line="264"/>
              <w:jc w:val="center"/>
            </w:pPr>
            <w:r>
              <w:rPr>
                <w:rFonts w:ascii="Calibri" w:cs="Calibri" w:eastAsia="Calibri" w:hAnsi="Calibri"/>
                <w:i/>
                <w:iCs/>
                <w:color w:val="404040"/>
                <w:sz w:val="17"/>
                <w:szCs w:val="17"/>
              </w:rPr>
              <w:t xml:space="preserve">Figure 6: Average funding by industry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Pr>
          <w:p>
            <w:pPr>
              <w:spacing w:after="30"/>
              <w:jc w:val="center"/>
            </w:pPr>
            <w:r>
              <w:drawing>
                <wp:inline distT="0" distB="0" distL="0" distR="0">
                  <wp:extent cx="2857500" cy="1762125"/>
                  <wp:effectExtent t="0" r="0" b="0" l="0"/>
                  <wp:docPr id="1" name="fig_inv.png" descr="fig_inv.png" title="fig_in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1762125"/>
                          </a:xfrm>
                          <a:prstGeom prst="rect">
                            <a:avLst/>
                          </a:prstGeom>
                        </pic:spPr>
                      </pic:pic>
                    </a:graphicData>
                  </a:graphic>
                </wp:inline>
              </w:drawing>
            </w:r>
          </w:p>
          <w:p>
            <w:pPr>
              <w:spacing w:after="90" w:line="264"/>
              <w:jc w:val="center"/>
            </w:pPr>
            <w:r>
              <w:rPr>
                <w:rFonts w:ascii="Calibri" w:cs="Calibri" w:eastAsia="Calibri" w:hAnsi="Calibri"/>
                <w:i/>
                <w:iCs/>
                <w:color w:val="404040"/>
                <w:sz w:val="17"/>
                <w:szCs w:val="17"/>
              </w:rPr>
              <w:t xml:space="preserve">Figure 7: Most frequent investors</w:t>
            </w:r>
          </w:p>
        </w:tc>
        <w:tc>
          <w:tcPr>
            <w:tcW w:type="dxa" w:w="5040"/>
            <w:tcBorders>
              <w:top w:val="none" w:color="FFFFFF" w:sz="0"/>
              <w:left w:val="none" w:color="FFFFFF" w:sz="0"/>
              <w:bottom w:val="none" w:color="FFFFFF" w:sz="0"/>
              <w:right w:val="none" w:color="FFFFFF" w:sz="0"/>
            </w:tcBorders>
          </w:tcPr>
          <w:p>
            <w:pPr>
              <w:spacing w:after="30"/>
              <w:jc w:val="center"/>
            </w:pPr>
            <w:r>
              <w:drawing>
                <wp:inline distT="0" distB="0" distL="0" distR="0">
                  <wp:extent cx="2857500" cy="1762125"/>
                  <wp:effectExtent t="0" r="0" b="0" l="0"/>
                  <wp:docPr id="1" name="fig_amt.png" descr="fig_amt.png" title="fig_am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1762125"/>
                          </a:xfrm>
                          <a:prstGeom prst="rect">
                            <a:avLst/>
                          </a:prstGeom>
                        </pic:spPr>
                      </pic:pic>
                    </a:graphicData>
                  </a:graphic>
                </wp:inline>
              </w:drawing>
            </w:r>
          </w:p>
          <w:p>
            <w:pPr>
              <w:spacing w:after="90" w:line="264"/>
              <w:jc w:val="center"/>
            </w:pPr>
            <w:r>
              <w:rPr>
                <w:rFonts w:ascii="Calibri" w:cs="Calibri" w:eastAsia="Calibri" w:hAnsi="Calibri"/>
                <w:i/>
                <w:iCs/>
                <w:color w:val="404040"/>
                <w:sz w:val="17"/>
                <w:szCs w:val="17"/>
              </w:rPr>
              <w:t xml:space="preserve">Figure 8: Amount distribution (raw scale)</w:t>
            </w:r>
          </w:p>
        </w:tc>
      </w:tr>
    </w:tbl>
    <w:p>
      <w:pPr>
        <w:pStyle w:val="Heading2"/>
        <w:keepNext/>
        <w:spacing w:after="60" w:before="120"/>
      </w:pPr>
      <w:r>
        <w:rPr>
          <w:rFonts w:ascii="Calibri" w:cs="Calibri" w:eastAsia="Calibri" w:hAnsi="Calibri"/>
          <w:b/>
          <w:bCs/>
          <w:color w:val="1E1E1E"/>
          <w:sz w:val="21"/>
          <w:szCs w:val="21"/>
        </w:rPr>
        <w:t xml:space="preserve">Interpretation</w:t>
      </w:r>
    </w:p>
    <w:p>
      <w:pPr>
        <w:pStyle w:val="ListParagraph"/>
        <w:numPr>
          <w:ilvl w:val="0"/>
          <w:numId w:val="2"/>
        </w:numPr>
        <w:spacing w:after="40" w:line="260"/>
      </w:pPr>
      <w:r>
        <w:rPr>
          <w:rFonts w:ascii="Calibri" w:cs="Calibri" w:eastAsia="Calibri" w:hAnsi="Calibri"/>
          <w:sz w:val="20"/>
          <w:szCs w:val="20"/>
        </w:rPr>
        <w:t xml:space="preserve">Activity: funding records peaked in 2016 (993) and declined each year after, down to 111 in 2019.</w:t>
      </w:r>
    </w:p>
    <w:p>
      <w:pPr>
        <w:pStyle w:val="ListParagraph"/>
        <w:numPr>
          <w:ilvl w:val="0"/>
          <w:numId w:val="2"/>
        </w:numPr>
        <w:spacing w:after="40" w:line="260"/>
      </w:pPr>
      <w:r>
        <w:rPr>
          <w:rFonts w:ascii="Calibri" w:cs="Calibri" w:eastAsia="Calibri" w:hAnsi="Calibri"/>
          <w:sz w:val="20"/>
          <w:szCs w:val="20"/>
        </w:rPr>
        <w:t xml:space="preserve">Industries: Consumer Internet (941 records, 30.9%) and Technology (478, 15.7%) lead by count; eCommerce (299, 9.8%) is third but leads by total funding.</w:t>
      </w:r>
    </w:p>
    <w:p>
      <w:pPr>
        <w:pStyle w:val="ListParagraph"/>
        <w:numPr>
          <w:ilvl w:val="0"/>
          <w:numId w:val="2"/>
        </w:numPr>
        <w:spacing w:after="40" w:line="260"/>
      </w:pPr>
      <w:r>
        <w:rPr>
          <w:rFonts w:ascii="Calibri" w:cs="Calibri" w:eastAsia="Calibri" w:hAnsi="Calibri"/>
          <w:sz w:val="20"/>
          <w:szCs w:val="20"/>
        </w:rPr>
        <w:t xml:space="preserve">Cities: Bangalore (842, 27.7%), Mumbai (568, 18.7%), New Delhi (458, 15.0%) and Gurgaon (341, 11.2%) account for about 73% of records.</w:t>
      </w:r>
    </w:p>
    <w:p>
      <w:pPr>
        <w:pStyle w:val="ListParagraph"/>
        <w:numPr>
          <w:ilvl w:val="0"/>
          <w:numId w:val="2"/>
        </w:numPr>
        <w:spacing w:after="40" w:line="260"/>
      </w:pPr>
      <w:r>
        <w:rPr>
          <w:rFonts w:ascii="Calibri" w:cs="Calibri" w:eastAsia="Calibri" w:hAnsi="Calibri"/>
          <w:sz w:val="20"/>
          <w:szCs w:val="20"/>
        </w:rPr>
        <w:t xml:space="preserve">Investors: Sequoia Capital (72), Accel Partners (69), Kalaari Capital (50), SAIF Partners (48) and Blume Ventures (47) are the most frequently recorded. "Undisclosed Investors" also appears (70 records across two spellings) and is not a real investor.</w:t>
      </w:r>
    </w:p>
    <w:p>
      <w:pPr>
        <w:pStyle w:val="ListParagraph"/>
        <w:numPr>
          <w:ilvl w:val="0"/>
          <w:numId w:val="2"/>
        </w:numPr>
        <w:spacing w:after="40" w:line="260"/>
      </w:pPr>
      <w:r>
        <w:rPr>
          <w:rFonts w:ascii="Calibri" w:cs="Calibri" w:eastAsia="Calibri" w:hAnsi="Calibri"/>
          <w:sz w:val="20"/>
          <w:szCs w:val="20"/>
        </w:rPr>
        <w:t xml:space="preserve">Amounts: the raw-scale histogram (Figure 8) is almost one tall bar because of extreme values; the log scale (Figure 5) shows that most deals fall between 0.1 and 10 million USD.</w:t>
      </w:r>
    </w:p>
    <w:p>
      <w:pPr>
        <w:pStyle w:val="Heading2"/>
        <w:keepNext/>
        <w:spacing w:after="60" w:before="120"/>
      </w:pPr>
      <w:r>
        <w:rPr>
          <w:rFonts w:ascii="Calibri" w:cs="Calibri" w:eastAsia="Calibri" w:hAnsi="Calibri"/>
          <w:b/>
          <w:bCs/>
          <w:color w:val="1E1E1E"/>
          <w:sz w:val="21"/>
          <w:szCs w:val="21"/>
        </w:rPr>
        <w:t xml:space="preserve">Dashboard interface (front end)</w:t>
      </w:r>
    </w:p>
    <w:p>
      <w:pPr>
        <w:spacing w:after="90" w:line="264"/>
      </w:pPr>
      <w:r>
        <w:rPr>
          <w:rFonts w:ascii="Calibri" w:cs="Calibri" w:eastAsia="Calibri" w:hAnsi="Calibri"/>
          <w:sz w:val="20"/>
          <w:szCs w:val="20"/>
        </w:rPr>
        <w:t xml:space="preserve">The front end is built with shiny and shinydashboard. The user uploads the Kaggle CSV in the sidebar, and four drop-down filters (industry, city, investment type, year) update every chart, table and value box at once.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69"/>
        <w:gridCol w:w="7511"/>
      </w:tblGrid>
      <w:tr>
        <w:trPr>
          <w:cantSplit/>
          <w:tblHeader/>
        </w:trPr>
        <w:tc>
          <w:tcPr>
            <w:tcW w:type="dxa" w:w="2569"/>
            <w:tcBorders>
              <w:top w:val="single" w:color="BFBFBF" w:sz="4"/>
              <w:left w:val="single" w:color="BFBFBF" w:sz="4"/>
              <w:bottom w:val="single" w:color="BFBFBF" w:sz="4"/>
              <w:right w:val="single" w:color="BFBFBF" w:sz="4"/>
            </w:tcBorders>
            <w:shd w:fill="2D6A2E" w:val="clear"/>
            <w:tcMar>
              <w:top w:type="dxa" w:w="40"/>
              <w:left w:type="dxa" w:w="90"/>
              <w:bottom w:type="dxa" w:w="40"/>
              <w:right w:type="dxa" w:w="90"/>
            </w:tcMar>
          </w:tcPr>
          <w:p>
            <w:pPr>
              <w:jc w:val="left"/>
            </w:pPr>
            <w:r>
              <w:rPr>
                <w:rFonts w:ascii="Calibri" w:cs="Calibri" w:eastAsia="Calibri" w:hAnsi="Calibri"/>
                <w:b/>
                <w:bCs/>
                <w:color w:val="FFFFFF"/>
                <w:sz w:val="18"/>
                <w:szCs w:val="18"/>
              </w:rPr>
              <w:t xml:space="preserve">Tab</w:t>
            </w:r>
          </w:p>
        </w:tc>
        <w:tc>
          <w:tcPr>
            <w:tcW w:type="dxa" w:w="7511"/>
            <w:tcBorders>
              <w:top w:val="single" w:color="BFBFBF" w:sz="4"/>
              <w:left w:val="single" w:color="BFBFBF" w:sz="4"/>
              <w:bottom w:val="single" w:color="BFBFBF" w:sz="4"/>
              <w:right w:val="single" w:color="BFBFBF" w:sz="4"/>
            </w:tcBorders>
            <w:shd w:fill="2D6A2E" w:val="clear"/>
            <w:tcMar>
              <w:top w:type="dxa" w:w="40"/>
              <w:left w:type="dxa" w:w="90"/>
              <w:bottom w:type="dxa" w:w="40"/>
              <w:right w:type="dxa" w:w="90"/>
            </w:tcMar>
          </w:tcPr>
          <w:p>
            <w:pPr>
              <w:jc w:val="left"/>
            </w:pPr>
            <w:r>
              <w:rPr>
                <w:rFonts w:ascii="Calibri" w:cs="Calibri" w:eastAsia="Calibri" w:hAnsi="Calibri"/>
                <w:b/>
                <w:bCs/>
                <w:color w:val="FFFFFF"/>
                <w:sz w:val="18"/>
                <w:szCs w:val="18"/>
              </w:rPr>
              <w:t xml:space="preserve">Contents</w:t>
            </w:r>
          </w:p>
        </w:tc>
      </w:tr>
      <w:tr>
        <w:trPr>
          <w:cantSplit/>
        </w:trPr>
        <w:tc>
          <w:tcPr>
            <w:tcW w:type="dxa" w:w="2569"/>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Overview</w:t>
            </w:r>
          </w:p>
        </w:tc>
        <w:tc>
          <w:tcPr>
            <w:tcW w:type="dxa" w:w="7511"/>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Value boxes (records, recorded funding, distinct startups, investor names); charts for records by year, top industries, top cities and amount distribution; a limitation note</w:t>
            </w:r>
          </w:p>
        </w:tc>
      </w:tr>
      <w:tr>
        <w:trPr>
          <w:cantSplit/>
        </w:trPr>
        <w:tc>
          <w:tcPr>
            <w:tcW w:type="dxa" w:w="2569"/>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Funding Analysis</w:t>
            </w:r>
          </w:p>
        </w:tc>
        <w:tc>
          <w:tcPr>
            <w:tcW w:type="dxa" w:w="7511"/>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Investment type chart, average funding by industry (industries with at least 3 records), searchable industry summary table</w:t>
            </w:r>
          </w:p>
        </w:tc>
      </w:tr>
      <w:tr>
        <w:trPr>
          <w:cantSplit/>
        </w:trPr>
        <w:tc>
          <w:tcPr>
            <w:tcW w:type="dxa" w:w="2569"/>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Investor Patterns</w:t>
            </w:r>
          </w:p>
        </w:tc>
        <w:tc>
          <w:tcPr>
            <w:tcW w:type="dxa" w:w="7511"/>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Most frequent investors, investment type distribution, investor summary table (multiple investors in one record are split and counted separately)</w:t>
            </w:r>
          </w:p>
        </w:tc>
      </w:tr>
      <w:tr>
        <w:trPr>
          <w:cantSplit/>
        </w:trPr>
        <w:tc>
          <w:tcPr>
            <w:tcW w:type="dxa" w:w="2569"/>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Prediction Model</w:t>
            </w:r>
          </w:p>
        </w:tc>
        <w:tc>
          <w:tcPr>
            <w:tcW w:type="dxa" w:w="7511"/>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Model evaluation text, feature importance plot, and a "Try a Prediction" form (industry, city, investment type) that returns the predicted category and class probabilities</w:t>
            </w:r>
          </w:p>
        </w:tc>
      </w:tr>
      <w:tr>
        <w:trPr>
          <w:cantSplit/>
        </w:trPr>
        <w:tc>
          <w:tcPr>
            <w:tcW w:type="dxa" w:w="2569"/>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Dataset &amp; Quality</w:t>
            </w:r>
          </w:p>
        </w:tc>
        <w:tc>
          <w:tcPr>
            <w:tcW w:type="dxa" w:w="7511"/>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Data quality summary, filterable records table and a button to download the filtered CSV</w:t>
            </w:r>
          </w:p>
        </w:tc>
      </w:tr>
    </w:tbl>
    <w:p>
      <w:pPr>
        <w:spacing w:after="40"/>
      </w:pPr>
    </w:p>
    <w:p>
      <w:pPr>
        <w:pStyle w:val="Heading1"/>
        <w:keepNext/>
        <w:spacing w:after="80" w:before="200"/>
      </w:pPr>
      <w:r>
        <w:rPr>
          <w:rFonts w:ascii="Calibri" w:cs="Calibri" w:eastAsia="Calibri" w:hAnsi="Calibri"/>
          <w:b/>
          <w:bCs/>
          <w:color w:val="2D6A2E"/>
          <w:sz w:val="25"/>
          <w:szCs w:val="25"/>
        </w:rPr>
        <w:t xml:space="preserve">7. Prediction Model</w:t>
      </w:r>
    </w:p>
    <w:p>
      <w:pPr>
        <w:pStyle w:val="Heading2"/>
        <w:keepNext/>
        <w:spacing w:after="60" w:before="120"/>
      </w:pPr>
      <w:r>
        <w:rPr>
          <w:rFonts w:ascii="Calibri" w:cs="Calibri" w:eastAsia="Calibri" w:hAnsi="Calibri"/>
          <w:b/>
          <w:bCs/>
          <w:color w:val="1E1E1E"/>
          <w:sz w:val="21"/>
          <w:szCs w:val="21"/>
        </w:rPr>
        <w:t xml:space="preserve">7.1 Method and rationale</w:t>
      </w:r>
    </w:p>
    <w:p>
      <w:pPr>
        <w:spacing w:after="90" w:line="264"/>
      </w:pPr>
      <w:r>
        <w:rPr>
          <w:rFonts w:ascii="Calibri" w:cs="Calibri" w:eastAsia="Calibri" w:hAnsi="Calibri"/>
          <w:sz w:val="20"/>
          <w:szCs w:val="20"/>
        </w:rPr>
        <w:t xml:space="preserve">A Random Forest classifier (randomForest package, ntree = 300) was chosen because it handles categorical predictors, interactions and skewed data without scaling, resists over-fitting through averaging, and provides feature importance. The target compares each record with the median recorded amount, which gives two balanced classes and avoids the extreme skew of raw amounts.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27"/>
        <w:gridCol w:w="6953"/>
      </w:tblGrid>
      <w:tr>
        <w:trPr>
          <w:cantSplit/>
          <w:tblHeader/>
        </w:trPr>
        <w:tc>
          <w:tcPr>
            <w:tcW w:type="dxa" w:w="3127"/>
            <w:tcBorders>
              <w:top w:val="single" w:color="BFBFBF" w:sz="4"/>
              <w:left w:val="single" w:color="BFBFBF" w:sz="4"/>
              <w:bottom w:val="single" w:color="BFBFBF" w:sz="4"/>
              <w:right w:val="single" w:color="BFBFBF" w:sz="4"/>
            </w:tcBorders>
            <w:shd w:fill="2D6A2E" w:val="clear"/>
            <w:tcMar>
              <w:top w:type="dxa" w:w="40"/>
              <w:left w:type="dxa" w:w="90"/>
              <w:bottom w:type="dxa" w:w="40"/>
              <w:right w:type="dxa" w:w="90"/>
            </w:tcMar>
          </w:tcPr>
          <w:p>
            <w:pPr>
              <w:jc w:val="left"/>
            </w:pPr>
            <w:r>
              <w:rPr>
                <w:rFonts w:ascii="Calibri" w:cs="Calibri" w:eastAsia="Calibri" w:hAnsi="Calibri"/>
                <w:b/>
                <w:bCs/>
                <w:color w:val="FFFFFF"/>
                <w:sz w:val="18"/>
                <w:szCs w:val="18"/>
              </w:rPr>
              <w:t xml:space="preserve">Item</w:t>
            </w:r>
          </w:p>
        </w:tc>
        <w:tc>
          <w:tcPr>
            <w:tcW w:type="dxa" w:w="6953"/>
            <w:tcBorders>
              <w:top w:val="single" w:color="BFBFBF" w:sz="4"/>
              <w:left w:val="single" w:color="BFBFBF" w:sz="4"/>
              <w:bottom w:val="single" w:color="BFBFBF" w:sz="4"/>
              <w:right w:val="single" w:color="BFBFBF" w:sz="4"/>
            </w:tcBorders>
            <w:shd w:fill="2D6A2E" w:val="clear"/>
            <w:tcMar>
              <w:top w:type="dxa" w:w="40"/>
              <w:left w:type="dxa" w:w="90"/>
              <w:bottom w:type="dxa" w:w="40"/>
              <w:right w:type="dxa" w:w="90"/>
            </w:tcMar>
          </w:tcPr>
          <w:p>
            <w:pPr>
              <w:jc w:val="left"/>
            </w:pPr>
            <w:r>
              <w:rPr>
                <w:rFonts w:ascii="Calibri" w:cs="Calibri" w:eastAsia="Calibri" w:hAnsi="Calibri"/>
                <w:b/>
                <w:bCs/>
                <w:color w:val="FFFFFF"/>
                <w:sz w:val="18"/>
                <w:szCs w:val="18"/>
              </w:rPr>
              <w:t xml:space="preserve">Setting</w:t>
            </w:r>
          </w:p>
        </w:tc>
      </w:tr>
      <w:tr>
        <w:trPr>
          <w:cantSplit/>
        </w:trPr>
        <w:tc>
          <w:tcPr>
            <w:tcW w:type="dxa" w:w="312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Target</w:t>
            </w:r>
          </w:p>
        </w:tc>
        <w:tc>
          <w:tcPr>
            <w:tcW w:type="dxa" w:w="6953"/>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amount_category: "Higher" if amount ≥ median, otherwise "Lower"</w:t>
            </w:r>
          </w:p>
        </w:tc>
      </w:tr>
      <w:tr>
        <w:trPr>
          <w:cantSplit/>
        </w:trPr>
        <w:tc>
          <w:tcPr>
            <w:tcW w:type="dxa" w:w="312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Features</w:t>
            </w:r>
          </w:p>
        </w:tc>
        <w:tc>
          <w:tcPr>
            <w:tcW w:type="dxa" w:w="6953"/>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industry, city, investment type (rare categories grouped as "Other": top 15, 12 and 10) and year</w:t>
            </w:r>
          </w:p>
        </w:tc>
      </w:tr>
      <w:tr>
        <w:trPr>
          <w:cantSplit/>
        </w:trPr>
        <w:tc>
          <w:tcPr>
            <w:tcW w:type="dxa" w:w="312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Records used</w:t>
            </w:r>
          </w:p>
        </w:tc>
        <w:tc>
          <w:tcPr>
            <w:tcW w:type="dxa" w:w="6953"/>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2,071 records with valid amount and date</w:t>
            </w:r>
          </w:p>
        </w:tc>
      </w:tr>
      <w:tr>
        <w:trPr>
          <w:cantSplit/>
        </w:trPr>
        <w:tc>
          <w:tcPr>
            <w:tcW w:type="dxa" w:w="312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Median threshold</w:t>
            </w:r>
          </w:p>
        </w:tc>
        <w:tc>
          <w:tcPr>
            <w:tcW w:type="dxa" w:w="6953"/>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1,790,000 USD</w:t>
            </w:r>
          </w:p>
        </w:tc>
      </w:tr>
      <w:tr>
        <w:trPr>
          <w:cantSplit/>
        </w:trPr>
        <w:tc>
          <w:tcPr>
            <w:tcW w:type="dxa" w:w="312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Train / test split</w:t>
            </w:r>
          </w:p>
        </w:tc>
        <w:tc>
          <w:tcPr>
            <w:tcW w:type="dxa" w:w="6953"/>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80% / 20% random split with set.seed(123): 1,656 training and 415 test rows</w:t>
            </w:r>
          </w:p>
        </w:tc>
      </w:tr>
      <w:tr>
        <w:trPr>
          <w:cantSplit/>
        </w:trPr>
        <w:tc>
          <w:tcPr>
            <w:tcW w:type="dxa" w:w="312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Evaluation</w:t>
            </w:r>
          </w:p>
        </w:tc>
        <w:tc>
          <w:tcPr>
            <w:tcW w:type="dxa" w:w="6953"/>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Accuracy, precision, recall and F1 for "Higher", plus confusion matrix</w:t>
            </w:r>
          </w:p>
        </w:tc>
      </w:tr>
    </w:tbl>
    <w:p>
      <w:pPr>
        <w:spacing w:after="40"/>
      </w:pPr>
    </w:p>
    <w:p>
      <w:pPr>
        <w:shd w:fill="F2F2F2" w:val="clear"/>
        <w:spacing w:after="0" w:line="230"/>
        <w:ind w:left="100" w:right="100"/>
      </w:pPr>
      <w:r>
        <w:rPr>
          <w:rFonts w:ascii="Consolas" w:cs="Consolas" w:eastAsia="Consolas" w:hAnsi="Consolas"/>
          <w:sz w:val="15"/>
          <w:szCs w:val="15"/>
        </w:rPr>
        <w:t xml:space="preserve">model &lt;- randomForest(amount_category ~ industry_model + city_model + type_model + year,</w:t>
      </w:r>
    </w:p>
    <w:p>
      <w:pPr>
        <w:shd w:fill="F2F2F2" w:val="clear"/>
        <w:spacing w:after="0" w:line="230"/>
        <w:ind w:left="100" w:right="100"/>
      </w:pPr>
      <w:r>
        <w:rPr>
          <w:rFonts w:ascii="Consolas" w:cs="Consolas" w:eastAsia="Consolas" w:hAnsi="Consolas"/>
          <w:sz w:val="15"/>
          <w:szCs w:val="15"/>
        </w:rPr>
        <w:t xml:space="preserve">                      data = train, ntree = 300, importance = TRUE)</w:t>
      </w:r>
    </w:p>
    <w:p>
      <w:pPr>
        <w:shd w:fill="F2F2F2" w:val="clear"/>
        <w:spacing w:after="0" w:line="230"/>
        <w:ind w:left="100" w:right="100"/>
      </w:pPr>
      <w:r>
        <w:rPr>
          <w:rFonts w:ascii="Consolas" w:cs="Consolas" w:eastAsia="Consolas" w:hAnsi="Consolas"/>
          <w:sz w:val="15"/>
          <w:szCs w:val="15"/>
        </w:rPr>
        <w:t xml:space="preserve">pred &lt;- predict(model, test)</w:t>
      </w:r>
    </w:p>
    <w:p>
      <w:pPr>
        <w:shd w:fill="F2F2F2" w:val="clear"/>
        <w:spacing w:after="0" w:line="230"/>
        <w:ind w:left="100" w:right="100"/>
      </w:pPr>
      <w:r>
        <w:rPr>
          <w:rFonts w:ascii="Consolas" w:cs="Consolas" w:eastAsia="Consolas" w:hAnsi="Consolas"/>
          <w:sz w:val="15"/>
          <w:szCs w:val="15"/>
        </w:rPr>
        <w:t xml:space="preserve">cm   &lt;- table(Actual = test$amount_category, Predicted = pred)</w:t>
      </w:r>
    </w:p>
    <w:p>
      <w:pPr>
        <w:pStyle w:val="Heading1"/>
        <w:keepNext/>
        <w:spacing w:after="80" w:before="200"/>
      </w:pPr>
      <w:r>
        <w:rPr>
          <w:rFonts w:ascii="Calibri" w:cs="Calibri" w:eastAsia="Calibri" w:hAnsi="Calibri"/>
          <w:b/>
          <w:bCs/>
          <w:color w:val="2D6A2E"/>
          <w:sz w:val="25"/>
          <w:szCs w:val="25"/>
        </w:rPr>
        <w:t xml:space="preserve">8. Results</w:t>
      </w:r>
    </w:p>
    <w:p>
      <w:pPr>
        <w:spacing w:after="90" w:line="264"/>
      </w:pPr>
      <w:r>
        <w:rPr>
          <w:rFonts w:ascii="Calibri" w:cs="Calibri" w:eastAsia="Calibri" w:hAnsi="Calibri"/>
          <w:sz w:val="20"/>
          <w:szCs w:val="20"/>
        </w:rPr>
        <w:t xml:space="preserve">The values below are taken from the Model Evaluation and Feature Importance boxes of the Prediction Model tab, using the Kaggle file and the final app.R.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25"/>
        <w:gridCol w:w="5055"/>
      </w:tblGrid>
      <w:tr>
        <w:trPr>
          <w:cantSplit/>
          <w:tblHeader/>
        </w:trPr>
        <w:tc>
          <w:tcPr>
            <w:tcW w:type="dxa" w:w="5025"/>
            <w:tcBorders>
              <w:top w:val="single" w:color="BFBFBF" w:sz="4"/>
              <w:left w:val="single" w:color="BFBFBF" w:sz="4"/>
              <w:bottom w:val="single" w:color="BFBFBF" w:sz="4"/>
              <w:right w:val="single" w:color="BFBFBF" w:sz="4"/>
            </w:tcBorders>
            <w:shd w:fill="2D6A2E" w:val="clear"/>
            <w:tcMar>
              <w:top w:type="dxa" w:w="40"/>
              <w:left w:type="dxa" w:w="90"/>
              <w:bottom w:type="dxa" w:w="40"/>
              <w:right w:type="dxa" w:w="90"/>
            </w:tcMar>
          </w:tcPr>
          <w:p>
            <w:pPr>
              <w:jc w:val="left"/>
            </w:pPr>
            <w:r>
              <w:rPr>
                <w:rFonts w:ascii="Calibri" w:cs="Calibri" w:eastAsia="Calibri" w:hAnsi="Calibri"/>
                <w:b/>
                <w:bCs/>
                <w:color w:val="FFFFFF"/>
                <w:sz w:val="18"/>
                <w:szCs w:val="18"/>
              </w:rPr>
              <w:t xml:space="preserve">Metric</w:t>
            </w:r>
          </w:p>
        </w:tc>
        <w:tc>
          <w:tcPr>
            <w:tcW w:type="dxa" w:w="5055"/>
            <w:tcBorders>
              <w:top w:val="single" w:color="BFBFBF" w:sz="4"/>
              <w:left w:val="single" w:color="BFBFBF" w:sz="4"/>
              <w:bottom w:val="single" w:color="BFBFBF" w:sz="4"/>
              <w:right w:val="single" w:color="BFBFBF" w:sz="4"/>
            </w:tcBorders>
            <w:shd w:fill="2D6A2E" w:val="clear"/>
            <w:tcMar>
              <w:top w:type="dxa" w:w="40"/>
              <w:left w:type="dxa" w:w="90"/>
              <w:bottom w:type="dxa" w:w="40"/>
              <w:right w:type="dxa" w:w="90"/>
            </w:tcMar>
          </w:tcPr>
          <w:p>
            <w:pPr>
              <w:jc w:val="right"/>
            </w:pPr>
            <w:r>
              <w:rPr>
                <w:rFonts w:ascii="Calibri" w:cs="Calibri" w:eastAsia="Calibri" w:hAnsi="Calibri"/>
                <w:b/>
                <w:bCs/>
                <w:color w:val="FFFFFF"/>
                <w:sz w:val="18"/>
                <w:szCs w:val="18"/>
              </w:rPr>
              <w:t xml:space="preserve">Value</w:t>
            </w:r>
          </w:p>
        </w:tc>
      </w:tr>
      <w:tr>
        <w:trPr>
          <w:cantSplit/>
        </w:trPr>
        <w:tc>
          <w:tcPr>
            <w:tcW w:type="dxa" w:w="5025"/>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Median threshold (USD)</w:t>
            </w:r>
          </w:p>
        </w:tc>
        <w:tc>
          <w:tcPr>
            <w:tcW w:type="dxa" w:w="5055"/>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1,790,000</w:t>
            </w:r>
          </w:p>
        </w:tc>
      </w:tr>
      <w:tr>
        <w:trPr>
          <w:cantSplit/>
        </w:trPr>
        <w:tc>
          <w:tcPr>
            <w:tcW w:type="dxa" w:w="5025"/>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Training rows / Test rows</w:t>
            </w:r>
          </w:p>
        </w:tc>
        <w:tc>
          <w:tcPr>
            <w:tcW w:type="dxa" w:w="5055"/>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1,656 / 415</w:t>
            </w:r>
          </w:p>
        </w:tc>
      </w:tr>
      <w:tr>
        <w:trPr>
          <w:cantSplit/>
        </w:trPr>
        <w:tc>
          <w:tcPr>
            <w:tcW w:type="dxa" w:w="5025"/>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Accuracy</w:t>
            </w:r>
          </w:p>
        </w:tc>
        <w:tc>
          <w:tcPr>
            <w:tcW w:type="dxa" w:w="5055"/>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0.858</w:t>
            </w:r>
          </w:p>
        </w:tc>
      </w:tr>
      <w:tr>
        <w:trPr>
          <w:cantSplit/>
        </w:trPr>
        <w:tc>
          <w:tcPr>
            <w:tcW w:type="dxa" w:w="5025"/>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Precision (Higher)</w:t>
            </w:r>
          </w:p>
        </w:tc>
        <w:tc>
          <w:tcPr>
            <w:tcW w:type="dxa" w:w="5055"/>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0.780</w:t>
            </w:r>
          </w:p>
        </w:tc>
      </w:tr>
      <w:tr>
        <w:trPr>
          <w:cantSplit/>
        </w:trPr>
        <w:tc>
          <w:tcPr>
            <w:tcW w:type="dxa" w:w="5025"/>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Recall (Higher)</w:t>
            </w:r>
          </w:p>
        </w:tc>
        <w:tc>
          <w:tcPr>
            <w:tcW w:type="dxa" w:w="5055"/>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0.980</w:t>
            </w:r>
          </w:p>
        </w:tc>
      </w:tr>
      <w:tr>
        <w:trPr>
          <w:cantSplit/>
        </w:trPr>
        <w:tc>
          <w:tcPr>
            <w:tcW w:type="dxa" w:w="5025"/>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F1 (Higher)</w:t>
            </w:r>
          </w:p>
        </w:tc>
        <w:tc>
          <w:tcPr>
            <w:tcW w:type="dxa" w:w="5055"/>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0.869</w:t>
            </w:r>
          </w:p>
        </w:tc>
      </w:tr>
    </w:tbl>
    <w:p>
      <w:pPr>
        <w:spacing w:after="40"/>
      </w:pPr>
    </w:p>
    <w:p>
      <w:pPr>
        <w:spacing w:after="90" w:line="264"/>
      </w:pPr>
      <w:r>
        <w:rPr>
          <w:rFonts w:ascii="Calibri" w:cs="Calibri" w:eastAsia="Calibri" w:hAnsi="Calibri"/>
          <w:sz w:val="20"/>
          <w:szCs w:val="20"/>
        </w:rPr>
        <w:t xml:space="preserve">Confusion matrix (test set, 415 records):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27"/>
        <w:gridCol w:w="3477"/>
        <w:gridCol w:w="3476"/>
      </w:tblGrid>
      <w:tr>
        <w:trPr>
          <w:cantSplit/>
          <w:tblHeader/>
        </w:trPr>
        <w:tc>
          <w:tcPr>
            <w:tcW w:type="dxa" w:w="3127"/>
            <w:tcBorders>
              <w:top w:val="single" w:color="BFBFBF" w:sz="4"/>
              <w:left w:val="single" w:color="BFBFBF" w:sz="4"/>
              <w:bottom w:val="single" w:color="BFBFBF" w:sz="4"/>
              <w:right w:val="single" w:color="BFBFBF" w:sz="4"/>
            </w:tcBorders>
            <w:shd w:fill="2D6A2E" w:val="clear"/>
            <w:tcMar>
              <w:top w:type="dxa" w:w="40"/>
              <w:left w:type="dxa" w:w="90"/>
              <w:bottom w:type="dxa" w:w="40"/>
              <w:right w:type="dxa" w:w="90"/>
            </w:tcMar>
          </w:tcPr>
          <w:p>
            <w:pPr>
              <w:jc w:val="left"/>
            </w:pPr>
            <w:r>
              <w:rPr>
                <w:rFonts w:ascii="Calibri" w:cs="Calibri" w:eastAsia="Calibri" w:hAnsi="Calibri"/>
                <w:b/>
                <w:bCs/>
                <w:color w:val="FFFFFF"/>
                <w:sz w:val="18"/>
                <w:szCs w:val="18"/>
              </w:rPr>
              <w:t xml:space="preserve">Actual \ Predicted</w:t>
            </w:r>
          </w:p>
        </w:tc>
        <w:tc>
          <w:tcPr>
            <w:tcW w:type="dxa" w:w="3477"/>
            <w:tcBorders>
              <w:top w:val="single" w:color="BFBFBF" w:sz="4"/>
              <w:left w:val="single" w:color="BFBFBF" w:sz="4"/>
              <w:bottom w:val="single" w:color="BFBFBF" w:sz="4"/>
              <w:right w:val="single" w:color="BFBFBF" w:sz="4"/>
            </w:tcBorders>
            <w:shd w:fill="2D6A2E" w:val="clear"/>
            <w:tcMar>
              <w:top w:type="dxa" w:w="40"/>
              <w:left w:type="dxa" w:w="90"/>
              <w:bottom w:type="dxa" w:w="40"/>
              <w:right w:type="dxa" w:w="90"/>
            </w:tcMar>
          </w:tcPr>
          <w:p>
            <w:pPr>
              <w:jc w:val="right"/>
            </w:pPr>
            <w:r>
              <w:rPr>
                <w:rFonts w:ascii="Calibri" w:cs="Calibri" w:eastAsia="Calibri" w:hAnsi="Calibri"/>
                <w:b/>
                <w:bCs/>
                <w:color w:val="FFFFFF"/>
                <w:sz w:val="18"/>
                <w:szCs w:val="18"/>
              </w:rPr>
              <w:t xml:space="preserve">Lower</w:t>
            </w:r>
          </w:p>
        </w:tc>
        <w:tc>
          <w:tcPr>
            <w:tcW w:type="dxa" w:w="3476"/>
            <w:tcBorders>
              <w:top w:val="single" w:color="BFBFBF" w:sz="4"/>
              <w:left w:val="single" w:color="BFBFBF" w:sz="4"/>
              <w:bottom w:val="single" w:color="BFBFBF" w:sz="4"/>
              <w:right w:val="single" w:color="BFBFBF" w:sz="4"/>
            </w:tcBorders>
            <w:shd w:fill="2D6A2E" w:val="clear"/>
            <w:tcMar>
              <w:top w:type="dxa" w:w="40"/>
              <w:left w:type="dxa" w:w="90"/>
              <w:bottom w:type="dxa" w:w="40"/>
              <w:right w:type="dxa" w:w="90"/>
            </w:tcMar>
          </w:tcPr>
          <w:p>
            <w:pPr>
              <w:jc w:val="right"/>
            </w:pPr>
            <w:r>
              <w:rPr>
                <w:rFonts w:ascii="Calibri" w:cs="Calibri" w:eastAsia="Calibri" w:hAnsi="Calibri"/>
                <w:b/>
                <w:bCs/>
                <w:color w:val="FFFFFF"/>
                <w:sz w:val="18"/>
                <w:szCs w:val="18"/>
              </w:rPr>
              <w:t xml:space="preserve">Higher</w:t>
            </w:r>
          </w:p>
        </w:tc>
      </w:tr>
      <w:tr>
        <w:trPr>
          <w:cantSplit/>
        </w:trPr>
        <w:tc>
          <w:tcPr>
            <w:tcW w:type="dxa" w:w="312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Lower</w:t>
            </w:r>
          </w:p>
        </w:tc>
        <w:tc>
          <w:tcPr>
            <w:tcW w:type="dxa" w:w="347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161</w:t>
            </w:r>
          </w:p>
        </w:tc>
        <w:tc>
          <w:tcPr>
            <w:tcW w:type="dxa" w:w="347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55</w:t>
            </w:r>
          </w:p>
        </w:tc>
      </w:tr>
      <w:tr>
        <w:trPr>
          <w:cantSplit/>
        </w:trPr>
        <w:tc>
          <w:tcPr>
            <w:tcW w:type="dxa" w:w="312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Higher</w:t>
            </w:r>
          </w:p>
        </w:tc>
        <w:tc>
          <w:tcPr>
            <w:tcW w:type="dxa" w:w="3477"/>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4</w:t>
            </w:r>
          </w:p>
        </w:tc>
        <w:tc>
          <w:tcPr>
            <w:tcW w:type="dxa" w:w="347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right"/>
            </w:pPr>
            <w:r>
              <w:rPr>
                <w:rFonts w:ascii="Calibri" w:cs="Calibri" w:eastAsia="Calibri" w:hAnsi="Calibri"/>
                <w:b w:val="false"/>
                <w:bCs w:val="false"/>
                <w:sz w:val="18"/>
                <w:szCs w:val="18"/>
              </w:rPr>
              <w:t xml:space="preserve">195</w:t>
            </w:r>
          </w:p>
        </w:tc>
      </w:tr>
    </w:tbl>
    <w:p>
      <w:pPr>
        <w:spacing w:after="40"/>
      </w:pPr>
    </w:p>
    <w:p>
      <w:pPr>
        <w:spacing w:after="90" w:line="264"/>
      </w:pPr>
      <w:r>
        <w:rPr>
          <w:rFonts w:ascii="Calibri" w:cs="Calibri" w:eastAsia="Calibri" w:hAnsi="Calibri"/>
          <w:b/>
          <w:bCs/>
          <w:sz w:val="20"/>
          <w:szCs w:val="20"/>
        </w:rPr>
        <w:t xml:space="preserve">Feature importance (Mean Decrease in Gini):</w:t>
      </w:r>
    </w:p>
    <w:p>
      <w:pPr>
        <w:spacing w:after="40"/>
        <w:jc w:val="center"/>
      </w:pPr>
      <w:r>
        <w:drawing>
          <wp:inline distT="0" distB="0" distL="0" distR="0">
            <wp:extent cx="3143250" cy="2381250"/>
            <wp:effectExtent t="0" r="0" b="0" l="0"/>
            <wp:docPr id="1" name="fig_imp" descr="Random Forest feature importance" title="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43250" cy="2381250"/>
                    </a:xfrm>
                    <a:prstGeom prst="rect">
                      <a:avLst/>
                    </a:prstGeom>
                  </pic:spPr>
                </pic:pic>
              </a:graphicData>
            </a:graphic>
          </wp:inline>
        </w:drawing>
      </w:r>
    </w:p>
    <w:p>
      <w:pPr>
        <w:spacing w:after="90" w:line="264"/>
        <w:jc w:val="center"/>
      </w:pPr>
      <w:r>
        <w:rPr>
          <w:rFonts w:ascii="Calibri" w:cs="Calibri" w:eastAsia="Calibri" w:hAnsi="Calibri"/>
          <w:i/>
          <w:iCs/>
          <w:color w:val="404040"/>
          <w:sz w:val="17"/>
          <w:szCs w:val="17"/>
        </w:rPr>
        <w:t xml:space="preserve">Figure 9: Random Forest feature importance (from the dashboard)</w:t>
      </w:r>
    </w:p>
    <w:p>
      <w:pPr>
        <w:pStyle w:val="Heading2"/>
        <w:keepNext/>
        <w:spacing w:after="60" w:before="120"/>
      </w:pPr>
      <w:r>
        <w:rPr>
          <w:rFonts w:ascii="Calibri" w:cs="Calibri" w:eastAsia="Calibri" w:hAnsi="Calibri"/>
          <w:b/>
          <w:bCs/>
          <w:color w:val="1E1E1E"/>
          <w:sz w:val="21"/>
          <w:szCs w:val="21"/>
        </w:rPr>
        <w:t xml:space="preserve">Interpretation</w:t>
      </w:r>
    </w:p>
    <w:p>
      <w:pPr>
        <w:pStyle w:val="ListParagraph"/>
        <w:numPr>
          <w:ilvl w:val="0"/>
          <w:numId w:val="2"/>
        </w:numPr>
        <w:spacing w:after="40" w:line="260"/>
      </w:pPr>
      <w:r>
        <w:rPr>
          <w:rFonts w:ascii="Calibri" w:cs="Calibri" w:eastAsia="Calibri" w:hAnsi="Calibri"/>
          <w:sz w:val="20"/>
          <w:szCs w:val="20"/>
        </w:rPr>
        <w:t xml:space="preserve">Accuracy is 85.8% against a 50% baseline, because the two classes are balanced by construction. The model is clearly better than guessing.</w:t>
      </w:r>
    </w:p>
    <w:p>
      <w:pPr>
        <w:pStyle w:val="ListParagraph"/>
        <w:numPr>
          <w:ilvl w:val="0"/>
          <w:numId w:val="2"/>
        </w:numPr>
        <w:spacing w:after="40" w:line="260"/>
      </w:pPr>
      <w:r>
        <w:rPr>
          <w:rFonts w:ascii="Calibri" w:cs="Calibri" w:eastAsia="Calibri" w:hAnsi="Calibri"/>
          <w:sz w:val="20"/>
          <w:szCs w:val="20"/>
        </w:rPr>
        <w:t xml:space="preserve">Recall for "Higher" is 0.98 (195 of 199 correct) but precision is 0.78, since 55 "Lower" records were wrongly predicted as "Higher". The model therefore finds almost every large deal but also over-predicts large deals. Recall for "Lower" is lower, 161 of 216 (74.5%).</w:t>
      </w:r>
    </w:p>
    <w:p>
      <w:pPr>
        <w:pStyle w:val="ListParagraph"/>
        <w:numPr>
          <w:ilvl w:val="0"/>
          <w:numId w:val="2"/>
        </w:numPr>
        <w:spacing w:after="40" w:line="260"/>
      </w:pPr>
      <w:r>
        <w:rPr>
          <w:rFonts w:ascii="Calibri" w:cs="Calibri" w:eastAsia="Calibri" w:hAnsi="Calibri"/>
          <w:sz w:val="20"/>
          <w:szCs w:val="20"/>
        </w:rPr>
        <w:t xml:space="preserve">Investment type is by far the most important feature (about 470 on the Gini scale), followed by city, industry and year, each roughly 35 to 45. Funding stage and deal size are closely linked: in the cleaned data, about 81% of Private Equity records are above the median (median amount 6.0 million USD), compared with about 6% of Seed/Angel records (median 0.36 million USD).</w:t>
      </w:r>
    </w:p>
    <w:p>
      <w:pPr>
        <w:pStyle w:val="ListParagraph"/>
        <w:numPr>
          <w:ilvl w:val="0"/>
          <w:numId w:val="2"/>
        </w:numPr>
        <w:spacing w:after="40" w:line="260"/>
      </w:pPr>
      <w:r>
        <w:rPr>
          <w:rFonts w:ascii="Calibri" w:cs="Calibri" w:eastAsia="Calibri" w:hAnsi="Calibri"/>
          <w:sz w:val="20"/>
          <w:szCs w:val="20"/>
        </w:rPr>
        <w:t xml:space="preserve">Because the funding stage is normally known together with the amount, the high accuracy partly reflects this built-in link. The model describes how deal types relate to deal size; it should not be read as a forecast of how much a startup will raise before a deal happens.</w:t>
      </w:r>
    </w:p>
    <w:p>
      <w:pPr>
        <w:pStyle w:val="Heading1"/>
        <w:keepNext/>
        <w:spacing w:after="80" w:before="200"/>
      </w:pPr>
      <w:r>
        <w:rPr>
          <w:rFonts w:ascii="Calibri" w:cs="Calibri" w:eastAsia="Calibri" w:hAnsi="Calibri"/>
          <w:b/>
          <w:bCs/>
          <w:color w:val="2D6A2E"/>
          <w:sz w:val="25"/>
          <w:szCs w:val="25"/>
        </w:rPr>
        <w:t xml:space="preserve">9. R Markdown and Version Control</w:t>
      </w:r>
    </w:p>
    <w:p>
      <w:pPr>
        <w:spacing w:after="90" w:line="264"/>
      </w:pPr>
      <w:r>
        <w:rPr>
          <w:rFonts w:ascii="Calibri" w:cs="Calibri" w:eastAsia="Calibri" w:hAnsi="Calibri"/>
          <w:sz w:val="20"/>
          <w:szCs w:val="20"/>
        </w:rPr>
        <w:t xml:space="preserve">The project folder contains app.R (dashboard and model), report.Rmd (short R Markdown report), README.md (setup instructions) and the sample CSV. Version control was done with named versions of app.R, saved as separate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4"/>
        <w:gridCol w:w="7176"/>
      </w:tblGrid>
      <w:tr>
        <w:trPr>
          <w:cantSplit/>
          <w:tblHeader/>
        </w:trPr>
        <w:tc>
          <w:tcPr>
            <w:tcW w:type="dxa" w:w="2904"/>
            <w:tcBorders>
              <w:top w:val="single" w:color="BFBFBF" w:sz="4"/>
              <w:left w:val="single" w:color="BFBFBF" w:sz="4"/>
              <w:bottom w:val="single" w:color="BFBFBF" w:sz="4"/>
              <w:right w:val="single" w:color="BFBFBF" w:sz="4"/>
            </w:tcBorders>
            <w:shd w:fill="2D6A2E" w:val="clear"/>
            <w:tcMar>
              <w:top w:type="dxa" w:w="40"/>
              <w:left w:type="dxa" w:w="90"/>
              <w:bottom w:type="dxa" w:w="40"/>
              <w:right w:type="dxa" w:w="90"/>
            </w:tcMar>
          </w:tcPr>
          <w:p>
            <w:pPr>
              <w:jc w:val="left"/>
            </w:pPr>
            <w:r>
              <w:rPr>
                <w:rFonts w:ascii="Calibri" w:cs="Calibri" w:eastAsia="Calibri" w:hAnsi="Calibri"/>
                <w:b/>
                <w:bCs/>
                <w:color w:val="FFFFFF"/>
                <w:sz w:val="18"/>
                <w:szCs w:val="18"/>
              </w:rPr>
              <w:t xml:space="preserve">Version file</w:t>
            </w:r>
          </w:p>
        </w:tc>
        <w:tc>
          <w:tcPr>
            <w:tcW w:type="dxa" w:w="7176"/>
            <w:tcBorders>
              <w:top w:val="single" w:color="BFBFBF" w:sz="4"/>
              <w:left w:val="single" w:color="BFBFBF" w:sz="4"/>
              <w:bottom w:val="single" w:color="BFBFBF" w:sz="4"/>
              <w:right w:val="single" w:color="BFBFBF" w:sz="4"/>
            </w:tcBorders>
            <w:shd w:fill="2D6A2E" w:val="clear"/>
            <w:tcMar>
              <w:top w:type="dxa" w:w="40"/>
              <w:left w:type="dxa" w:w="90"/>
              <w:bottom w:type="dxa" w:w="40"/>
              <w:right w:type="dxa" w:w="90"/>
            </w:tcMar>
          </w:tcPr>
          <w:p>
            <w:pPr>
              <w:jc w:val="left"/>
            </w:pPr>
            <w:r>
              <w:rPr>
                <w:rFonts w:ascii="Calibri" w:cs="Calibri" w:eastAsia="Calibri" w:hAnsi="Calibri"/>
                <w:b/>
                <w:bCs/>
                <w:color w:val="FFFFFF"/>
                <w:sz w:val="18"/>
                <w:szCs w:val="18"/>
              </w:rPr>
              <w:t xml:space="preserve">What changed</w:t>
            </w:r>
          </w:p>
        </w:tc>
      </w:tr>
      <w:tr>
        <w:trPr>
          <w:cantSplit/>
        </w:trPr>
        <w:tc>
          <w:tcPr>
            <w:tcW w:type="dxa" w:w="2904"/>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app_v1_original.R</w:t>
            </w:r>
          </w:p>
        </w:tc>
        <w:tc>
          <w:tcPr>
            <w:tcW w:type="dxa" w:w="717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First version. The investment-type column (InvestmentnType in the Kaggle file) was not detected, so all records had type "Unknown". Median threshold 1,725,000 USD; accuracy 0.60, F1 (Higher) 0.567.</w:t>
            </w:r>
          </w:p>
        </w:tc>
      </w:tr>
      <w:tr>
        <w:trPr>
          <w:cantSplit/>
        </w:trPr>
        <w:tc>
          <w:tcPr>
            <w:tcW w:type="dxa" w:w="2904"/>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app_v2_cleaned.R</w:t>
            </w:r>
          </w:p>
        </w:tc>
        <w:tc>
          <w:tcPr>
            <w:tcW w:type="dxa" w:w="7176"/>
            <w:tcBorders>
              <w:top w:val="single" w:color="BFBFBF" w:sz="4"/>
              <w:left w:val="single" w:color="BFBFBF" w:sz="4"/>
              <w:bottom w:val="single" w:color="BFBFBF" w:sz="4"/>
              <w:right w:val="single" w:color="BFBFBF" w:sz="4"/>
            </w:tcBorders>
            <w:tcMar>
              <w:top w:type="dxa" w:w="40"/>
              <w:left w:type="dxa" w:w="90"/>
              <w:bottom w:type="dxa" w:w="40"/>
              <w:right w:type="dxa" w:w="90"/>
            </w:tcMar>
          </w:tcPr>
          <w:p>
            <w:pPr>
              <w:jc w:val="left"/>
            </w:pPr>
            <w:r>
              <w:rPr>
                <w:rFonts w:ascii="Calibri" w:cs="Calibri" w:eastAsia="Calibri" w:hAnsi="Calibri"/>
                <w:b w:val="false"/>
                <w:bCs w:val="false"/>
                <w:sz w:val="18"/>
                <w:szCs w:val="18"/>
              </w:rPr>
              <w:t xml:space="preserve">Final version. Fixed column detection, removed escape characters, merged spelling variants of city, industry and investment type, and recovered amounts with a trailing "+". Median threshold 1,790,000 USD; accuracy 0.858, F1 (Higher) 0.869.</w:t>
            </w:r>
          </w:p>
        </w:tc>
      </w:tr>
    </w:tbl>
    <w:p>
      <w:pPr>
        <w:spacing w:after="40"/>
      </w:pPr>
    </w:p>
    <w:p>
      <w:pPr>
        <w:spacing w:after="90" w:line="264"/>
      </w:pPr>
      <w:r>
        <w:rPr>
          <w:rFonts w:ascii="Calibri" w:cs="Calibri" w:eastAsia="Calibri" w:hAnsi="Calibri"/>
          <w:sz w:val="20"/>
          <w:szCs w:val="20"/>
        </w:rPr>
        <w:t xml:space="preserve">Comparing the two versions shows how much the data cleaning mattered: fixing one column name raised accuracy from 0.60 to 0.858, with investment type becoming the most important feature.</w:t>
      </w:r>
    </w:p>
    <w:p>
      <w:pPr>
        <w:pStyle w:val="Heading1"/>
        <w:keepNext/>
        <w:spacing w:after="80" w:before="200"/>
      </w:pPr>
      <w:r>
        <w:rPr>
          <w:rFonts w:ascii="Calibri" w:cs="Calibri" w:eastAsia="Calibri" w:hAnsi="Calibri"/>
          <w:b/>
          <w:bCs/>
          <w:color w:val="2D6A2E"/>
          <w:sz w:val="25"/>
          <w:szCs w:val="25"/>
        </w:rPr>
        <w:t xml:space="preserve">10. Conclusion</w:t>
      </w:r>
    </w:p>
    <w:p>
      <w:pPr>
        <w:spacing w:after="90" w:line="264"/>
      </w:pPr>
      <w:r>
        <w:rPr>
          <w:rFonts w:ascii="Calibri" w:cs="Calibri" w:eastAsia="Calibri" w:hAnsi="Calibri"/>
          <w:sz w:val="20"/>
          <w:szCs w:val="20"/>
        </w:rPr>
        <w:t xml:space="preserve">The analysis shows that recorded startup funding in India is concentrated in a few cities (Bangalore, Mumbai, New Delhi and Gurgaon), a few sectors (Consumer Internet, Technology and eCommerce) and a small group of repeat investors led by Sequoia Capital and Accel Partners. Funding amounts are extremely skewed, with a median of 1.75 million USD against a mean of 18.4 million USD.</w:t>
      </w:r>
    </w:p>
    <w:p>
      <w:pPr>
        <w:spacing w:after="90" w:line="264"/>
      </w:pPr>
      <w:r>
        <w:rPr>
          <w:rFonts w:ascii="Calibri" w:cs="Calibri" w:eastAsia="Calibri" w:hAnsi="Calibri"/>
          <w:sz w:val="20"/>
          <w:szCs w:val="20"/>
        </w:rPr>
        <w:t xml:space="preserve">The Random Forest model classifies a deal as higher or lower than the median amount with 85.8% accuracy (F1 = 0.869 for the Higher class), driven mainly by the investment type. It is not a measure of whether a startup will succeed.</w:t>
      </w:r>
    </w:p>
    <w:p>
      <w:pPr>
        <w:pStyle w:val="Heading2"/>
        <w:keepNext/>
        <w:spacing w:after="60" w:before="120"/>
      </w:pPr>
      <w:r>
        <w:rPr>
          <w:rFonts w:ascii="Calibri" w:cs="Calibri" w:eastAsia="Calibri" w:hAnsi="Calibri"/>
          <w:b/>
          <w:bCs/>
          <w:color w:val="1E1E1E"/>
          <w:sz w:val="21"/>
          <w:szCs w:val="21"/>
        </w:rPr>
        <w:t xml:space="preserve">Limitations</w:t>
      </w:r>
    </w:p>
    <w:p>
      <w:pPr>
        <w:pStyle w:val="ListParagraph"/>
        <w:numPr>
          <w:ilvl w:val="0"/>
          <w:numId w:val="2"/>
        </w:numPr>
        <w:spacing w:after="40" w:line="260"/>
      </w:pPr>
      <w:r>
        <w:rPr>
          <w:rFonts w:ascii="Calibri" w:cs="Calibri" w:eastAsia="Calibri" w:hAnsi="Calibri"/>
          <w:sz w:val="20"/>
          <w:szCs w:val="20"/>
        </w:rPr>
        <w:t xml:space="preserve">31.9% of amounts are missing, and the amounts are the source data's own values (USD, not independently verified).</w:t>
      </w:r>
    </w:p>
    <w:p>
      <w:pPr>
        <w:pStyle w:val="ListParagraph"/>
        <w:numPr>
          <w:ilvl w:val="0"/>
          <w:numId w:val="2"/>
        </w:numPr>
        <w:spacing w:after="40" w:line="260"/>
      </w:pPr>
      <w:r>
        <w:rPr>
          <w:rFonts w:ascii="Calibri" w:cs="Calibri" w:eastAsia="Calibri" w:hAnsi="Calibri"/>
          <w:sz w:val="20"/>
          <w:szCs w:val="20"/>
        </w:rPr>
        <w:t xml:space="preserve">Only funded startups appear, so there is no information about unfunded ones.</w:t>
      </w:r>
    </w:p>
    <w:p>
      <w:pPr>
        <w:pStyle w:val="ListParagraph"/>
        <w:numPr>
          <w:ilvl w:val="0"/>
          <w:numId w:val="2"/>
        </w:numPr>
        <w:spacing w:after="40" w:line="260"/>
      </w:pPr>
      <w:r>
        <w:rPr>
          <w:rFonts w:ascii="Calibri" w:cs="Calibri" w:eastAsia="Calibri" w:hAnsi="Calibri"/>
          <w:sz w:val="20"/>
          <w:szCs w:val="20"/>
        </w:rPr>
        <w:t xml:space="preserve">Few features are available (no revenue, team or valuation data), which limits predictive power.</w:t>
      </w:r>
    </w:p>
    <w:p>
      <w:pPr>
        <w:pStyle w:val="ListParagraph"/>
        <w:numPr>
          <w:ilvl w:val="0"/>
          <w:numId w:val="2"/>
        </w:numPr>
        <w:spacing w:after="40" w:line="260"/>
      </w:pPr>
      <w:r>
        <w:rPr>
          <w:rFonts w:ascii="Calibri" w:cs="Calibri" w:eastAsia="Calibri" w:hAnsi="Calibri"/>
          <w:sz w:val="20"/>
          <w:szCs w:val="20"/>
        </w:rPr>
        <w:t xml:space="preserve">Investor and startup names are not standardised, so some entities are counted under several spellings.</w:t>
      </w:r>
    </w:p>
    <w:p>
      <w:pPr>
        <w:pStyle w:val="Heading2"/>
        <w:keepNext/>
        <w:spacing w:after="60" w:before="120"/>
      </w:pPr>
      <w:r>
        <w:rPr>
          <w:rFonts w:ascii="Calibri" w:cs="Calibri" w:eastAsia="Calibri" w:hAnsi="Calibri"/>
          <w:b/>
          <w:bCs/>
          <w:color w:val="1E1E1E"/>
          <w:sz w:val="21"/>
          <w:szCs w:val="21"/>
        </w:rPr>
        <w:t xml:space="preserve">Future work</w:t>
      </w:r>
    </w:p>
    <w:p>
      <w:pPr>
        <w:spacing w:after="90" w:line="264"/>
      </w:pPr>
      <w:r>
        <w:rPr>
          <w:rFonts w:ascii="Calibri" w:cs="Calibri" w:eastAsia="Calibri" w:hAnsi="Calibri"/>
          <w:sz w:val="20"/>
          <w:szCs w:val="20"/>
        </w:rPr>
        <w:t xml:space="preserve">Add features such as sub-vertical and number of investors, standardise investor names, and compare with other models such as logistic regression or gradient boosting.</w:t>
      </w:r>
    </w:p>
    <w:p>
      <w:pPr>
        <w:pStyle w:val="Heading1"/>
        <w:keepNext/>
        <w:spacing w:after="80" w:before="200"/>
      </w:pPr>
      <w:r>
        <w:rPr>
          <w:rFonts w:ascii="Calibri" w:cs="Calibri" w:eastAsia="Calibri" w:hAnsi="Calibri"/>
          <w:b/>
          <w:bCs/>
          <w:color w:val="2D6A2E"/>
          <w:sz w:val="25"/>
          <w:szCs w:val="25"/>
        </w:rPr>
        <w:t xml:space="preserve">11. References</w:t>
      </w:r>
    </w:p>
    <w:p>
      <w:pPr>
        <w:spacing w:after="90" w:line="264"/>
      </w:pPr>
      <w:r>
        <w:rPr>
          <w:rFonts w:ascii="Calibri" w:cs="Calibri" w:eastAsia="Calibri" w:hAnsi="Calibri"/>
          <w:sz w:val="20"/>
          <w:szCs w:val="20"/>
        </w:rPr>
        <w:t xml:space="preserve">[1] Kaggle. Indian Startup Funding dataset (startup_funding.csv). https://www.kaggle.com</w:t>
      </w:r>
    </w:p>
    <w:p>
      <w:pPr>
        <w:spacing w:after="90" w:line="264"/>
      </w:pPr>
      <w:r>
        <w:rPr>
          <w:rFonts w:ascii="Calibri" w:cs="Calibri" w:eastAsia="Calibri" w:hAnsi="Calibri"/>
          <w:sz w:val="20"/>
          <w:szCs w:val="20"/>
        </w:rPr>
        <w:t xml:space="preserve">[2] Liaw, A. and Wiener, M. (2002). Classification and Regression by randomForest. R News, 2(3), 18-22.</w:t>
      </w:r>
    </w:p>
    <w:p>
      <w:pPr>
        <w:spacing w:after="90" w:line="264"/>
      </w:pPr>
      <w:r>
        <w:rPr>
          <w:rFonts w:ascii="Calibri" w:cs="Calibri" w:eastAsia="Calibri" w:hAnsi="Calibri"/>
          <w:sz w:val="20"/>
          <w:szCs w:val="20"/>
        </w:rPr>
        <w:t xml:space="preserve">[3] Wickham, H. et al. (2019). Welcome to the tidyverse. Journal of Open Source Software, 4(43), 1686.</w:t>
      </w:r>
    </w:p>
    <w:p>
      <w:pPr>
        <w:spacing w:after="90" w:line="264"/>
      </w:pPr>
      <w:r>
        <w:rPr>
          <w:rFonts w:ascii="Calibri" w:cs="Calibri" w:eastAsia="Calibri" w:hAnsi="Calibri"/>
          <w:sz w:val="20"/>
          <w:szCs w:val="20"/>
        </w:rPr>
        <w:t xml:space="preserve">[4] Chang, W. et al. shiny and shinydashboard: Web Application Framework for R. R packages. https://shiny.posit.co</w:t>
      </w:r>
    </w:p>
    <w:p>
      <w:pPr>
        <w:spacing w:after="90" w:line="264"/>
      </w:pPr>
      <w:r>
        <w:rPr>
          <w:rFonts w:ascii="Calibri" w:cs="Calibri" w:eastAsia="Calibri" w:hAnsi="Calibri"/>
          <w:sz w:val="20"/>
          <w:szCs w:val="20"/>
        </w:rPr>
        <w:t xml:space="preserve">[5] Firke, S. janitor: Simple Tools for Examining and Cleaning Dirty Data. R package. https://cran.r-project.org</w:t>
      </w:r>
    </w:p>
    <w:p>
      <w:pPr>
        <w:spacing w:after="90" w:line="264"/>
      </w:pPr>
      <w:r>
        <w:rPr>
          <w:rFonts w:ascii="Calibri" w:cs="Calibri" w:eastAsia="Calibri" w:hAnsi="Calibri"/>
          <w:sz w:val="20"/>
          <w:szCs w:val="20"/>
        </w:rPr>
        <w:t xml:space="preserve">[6] R Core Team. R: A Language and Environment for Statistical Computing. https://www.R-project.org</w:t>
      </w:r>
    </w:p>
    <w:sectPr>
      <w:footerReference w:type="default" r:id="rId8"/>
      <w:type w:val="nextPage"/>
      <w:pgSz w:w="12240" w:h="15840" w:orient="portrait"/>
      <w:pgMar w:top="1000" w:right="1080" w:bottom="1000" w:left="108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ac17f36794cbdb4d3b0db1db8656a64d3d3b98c.png"/><Relationship Id="rId10" Type="http://schemas.openxmlformats.org/officeDocument/2006/relationships/image" Target="media/f79b863ec36cab295c1ee2f0b10e745313b18a43.png"/><Relationship Id="rId11" Type="http://schemas.openxmlformats.org/officeDocument/2006/relationships/image" Target="media/69825b95b29e09e2e95e628e2d9814346f4930f8.png"/><Relationship Id="rId12" Type="http://schemas.openxmlformats.org/officeDocument/2006/relationships/image" Target="media/9a36b8a048f4b4e178c52fc3986436f8919a67eb.png"/><Relationship Id="rId13" Type="http://schemas.openxmlformats.org/officeDocument/2006/relationships/image" Target="media/bbc4c85874d58412934c74ab714c8f2ab2013deb.png"/><Relationship Id="rId14" Type="http://schemas.openxmlformats.org/officeDocument/2006/relationships/image" Target="media/198fd0a325bf2a9e824cf7372c7beb93ebef75b2.png"/><Relationship Id="rId15" Type="http://schemas.openxmlformats.org/officeDocument/2006/relationships/image" Target="media/9877700c801f4a7010425ca32b62c688c72210bd.png"/><Relationship Id="rId16" Type="http://schemas.openxmlformats.org/officeDocument/2006/relationships/image" Target="media/656d3d39f5189f28bc03f46130f8e8b69675b62b.png"/><Relationship Id="rId17" Type="http://schemas.openxmlformats.org/officeDocument/2006/relationships/image" Target="media/a09b38ba76608960e21785df4ad6d9a4b3a59e65.png"/><Relationship Id="rId18" Type="http://schemas.openxmlformats.org/officeDocument/2006/relationships/image" Target="media/f3e363e6b7b85cc535e4116e24e8ad334bde598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2026-10-25T14:31:57.712Z</dcterms:created>
  <dcterms:modified xsi:type="dcterms:W3CDTF">2026-10-25T14:31:57.716Z</dcterms:modified>
</cp:coreProperties>
</file>

<file path=docProps/custom.xml><?xml version="1.0" encoding="utf-8"?>
<Properties xmlns="http://schemas.openxmlformats.org/officeDocument/2006/custom-properties" xmlns:vt="http://schemas.openxmlformats.org/officeDocument/2006/docPropsVTypes"/>
</file>