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DENSITY FUNCTIONAL THEORY EVALUATION OF VANADIC ACID ZEOLITE Y DEALUMINATION IN RESIDUE FLUID CATALYTIC CRACKING REGENERATOR</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BY</w:t>
      </w:r>
    </w:p>
    <w:p>
      <w:pPr>
        <w:spacing w:line="240" w:lineRule="auto" w:after="280"/>
        <w:jc w:val="center"/>
      </w:pPr>
    </w:p>
    <w:p>
      <w:pPr>
        <w:keepLines/>
        <w:spacing w:line="240" w:lineRule="auto" w:after="120"/>
        <w:jc w:val="center"/>
      </w:pPr>
      <w:r>
        <w:rPr>
          <w:rFonts w:ascii="Times New Roman" w:hAnsi="Times New Roman" w:cs="Times New Roman" w:eastAsia="Times New Roman"/>
          <w:b w:val="0"/>
          <w:i w:val="0"/>
          <w:color w:val="000000"/>
          <w:sz w:val="24"/>
        </w:rPr>
        <w:t>Ahmad Usman Shehu</w:t>
      </w:r>
    </w:p>
    <w:p>
      <w:pPr>
        <w:keepLines/>
        <w:spacing w:line="240" w:lineRule="auto" w:after="120"/>
        <w:jc w:val="center"/>
      </w:pPr>
      <w:r>
        <w:rPr>
          <w:rFonts w:ascii="Times New Roman" w:hAnsi="Times New Roman" w:cs="Times New Roman" w:eastAsia="Times New Roman"/>
          <w:b/>
          <w:i w:val="0"/>
          <w:color w:val="000000"/>
          <w:sz w:val="24"/>
        </w:rPr>
        <w:t>U19CE1068</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A RESEARCH PROJECT SUBMITTED TO THE DEPARTMENT OF CHEMICAL ENGINEERING,</w:t>
      </w:r>
    </w:p>
    <w:p>
      <w:pPr>
        <w:keepLines/>
        <w:spacing w:line="240" w:lineRule="auto" w:after="120"/>
        <w:jc w:val="center"/>
      </w:pPr>
      <w:r>
        <w:rPr>
          <w:rFonts w:ascii="Times New Roman" w:hAnsi="Times New Roman" w:cs="Times New Roman" w:eastAsia="Times New Roman"/>
          <w:b/>
          <w:i w:val="0"/>
          <w:color w:val="000000"/>
          <w:sz w:val="24"/>
        </w:rPr>
        <w:t>FACULTY OF ENGINEERING, AHMADU BELLO UNIVERSITY, ZARIA,</w:t>
      </w:r>
    </w:p>
    <w:p>
      <w:pPr>
        <w:keepLines/>
        <w:spacing w:line="240" w:lineRule="auto" w:after="120"/>
        <w:jc w:val="center"/>
      </w:pPr>
      <w:r>
        <w:rPr>
          <w:rFonts w:ascii="Times New Roman" w:hAnsi="Times New Roman" w:cs="Times New Roman" w:eastAsia="Times New Roman"/>
          <w:b/>
          <w:i w:val="0"/>
          <w:color w:val="000000"/>
          <w:sz w:val="24"/>
        </w:rPr>
        <w:t>IN PARTIAL FULFILMENT OF THE REQUIREMENTS FOR THE AWARD OF THE DEGREE OF</w:t>
      </w:r>
    </w:p>
    <w:p>
      <w:pPr>
        <w:keepLines/>
        <w:spacing w:line="240" w:lineRule="auto" w:after="120"/>
        <w:jc w:val="center"/>
      </w:pPr>
      <w:r>
        <w:rPr>
          <w:rFonts w:ascii="Times New Roman" w:hAnsi="Times New Roman" w:cs="Times New Roman" w:eastAsia="Times New Roman"/>
          <w:b/>
          <w:i w:val="0"/>
          <w:color w:val="000000"/>
          <w:sz w:val="24"/>
        </w:rPr>
        <w:t>BACHELOR OF ENGINEERING (B.ENG.) IN CHEMICAL ENGINEERING</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NOVEMBER, 2026</w:t>
      </w:r>
    </w:p>
    <w:p>
      <w:pPr>
        <w:pStyle w:val="Heading1"/>
        <w:pageBreakBefore/>
        <w:jc w:val="left"/>
      </w:pPr>
      <w:r>
        <w:rPr>
          <w:rFonts w:ascii="Times New Roman" w:hAnsi="Times New Roman" w:cs="Times New Roman" w:eastAsia="Times New Roman"/>
          <w:b/>
          <w:i w:val="0"/>
          <w:color w:val="000000"/>
          <w:sz w:val="24"/>
        </w:rPr>
        <w:t>DECLARATION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declare that this project, entitled “Density Functional Theory Evaluation of Vanadic Acid Zeolite Y Dealumination in Residue Fluid Catalytic Cracking Regenerator,” was carried out by me in the Department of Chemical Engineering, Ahmadu Bello University, Zaria. Sources used in the work have been acknowledged in the text and listed in the references. This project has not been submitted, in whole or in part, for another degree or diploma at this or any other institution.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Ahmad Usman Shehu (Student)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Date</w:t>
      </w:r>
    </w:p>
    <w:p>
      <w:pPr>
        <w:pStyle w:val="Heading1"/>
        <w:pageBreakBefore/>
        <w:jc w:val="left"/>
      </w:pPr>
      <w:r>
        <w:rPr>
          <w:rFonts w:ascii="Times New Roman" w:hAnsi="Times New Roman" w:cs="Times New Roman" w:eastAsia="Times New Roman"/>
          <w:b/>
          <w:i w:val="0"/>
          <w:color w:val="000000"/>
          <w:sz w:val="24"/>
        </w:rPr>
        <w:t>CERTIFICATION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project, entitled “Density Functional Theory Evaluation of Vanadic Acid Zeolite Y Dealumination in Residue Fluid Catalytic Cracking Regenerator,” was carried out by Ahmad Usman Shehu (U19CE1068). It is submitted to the Department of Chemical Engineering, Ahmadu Bello University, Zaria, in partial fulfilment of the requirements for the award of the degree of Bachelor of Engineering in Chemical Engineering.</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Project Supervisor                         Date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Head of Department                         Date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External Examiner                          Date</w:t>
      </w:r>
    </w:p>
    <w:p>
      <w:pPr>
        <w:pStyle w:val="Heading1"/>
        <w:pageBreakBefore/>
        <w:jc w:val="left"/>
      </w:pPr>
      <w:r>
        <w:rPr>
          <w:rFonts w:ascii="Times New Roman" w:hAnsi="Times New Roman" w:cs="Times New Roman" w:eastAsia="Times New Roman"/>
          <w:b/>
          <w:i w:val="0"/>
          <w:color w:val="000000"/>
          <w:sz w:val="24"/>
        </w:rPr>
        <w:t>DEDICATION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work is dedicated to my parents for their support throughout my education.</w:t>
      </w:r>
    </w:p>
    <w:p>
      <w:pPr>
        <w:pStyle w:val="Heading1"/>
        <w:pageBreakBefore/>
        <w:jc w:val="left"/>
      </w:pPr>
      <w:r>
        <w:rPr>
          <w:rFonts w:ascii="Times New Roman" w:hAnsi="Times New Roman" w:cs="Times New Roman" w:eastAsia="Times New Roman"/>
          <w:b/>
          <w:i w:val="0"/>
          <w:color w:val="000000"/>
          <w:sz w:val="24"/>
        </w:rPr>
        <w:t>ACKNOWLEDGEMENTS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thank my project supervisor for guidance and for the detailed comments that improved this work. I also thank the Head of Department and the academic and technical staff of the Department of Chemical Engineering, Ahmadu Bello University, Zaria, for their support during my studies.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am grateful to my family and colleagues for their encouragement. I acknowledge the researchers whose published work informed this project and provided the scientific background for the study.</w:t>
      </w:r>
    </w:p>
    <w:p>
      <w:pPr>
        <w:pStyle w:val="Heading1"/>
        <w:pageBreakBefore/>
        <w:jc w:val="left"/>
      </w:pPr>
      <w:r>
        <w:rPr>
          <w:rFonts w:ascii="Times New Roman" w:hAnsi="Times New Roman" w:cs="Times New Roman" w:eastAsia="Times New Roman"/>
          <w:b/>
          <w:i w:val="0"/>
          <w:color w:val="000000"/>
          <w:sz w:val="24"/>
        </w:rPr>
        <w:t>ABSTRACT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contamination reduced the activity of Zeolite Y catalysts used in residue fluid catalytic cracking (RFCC). Proposed mechanisms had assigned framework damage to vanadic acid formed from vanadium oxide and steam or to steam hydrolysis. This study compared vanadic acid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and water at a model Brønsted acid site using a 22-atom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cluster. Initial geometries were screened with GFN2-xTB, refined with B3LYP-D3(BJ)/def2-TZVP, and checked with PBE0 single-point calculations. Harmonic Gibbs energies were calculated at 298.15 and 1003.15 K. B3LYP and PBE0 favoured vanadic acid electronically by 14.69 and 14.44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respectively. Harmonic Gibbs energies favoured water by 11.82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at 298.15 K and 66.36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at 1003.15 K. A formal competitive-site calculation using reported regenerator partial pressures gave a water-to-vanadic-acid occupation ratio of 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 This estimate depended on ideal-gas harmonic thermochemistry and was not a definitive prediction of catalyst occupancy. GFN2-xTB yielded a candidate Al–O cleavage saddle point, but DFT refinement did not confirm it. The calculations established a modest electronic binding preference but not a dealumination rate or mechanism. Larger pore-aware models and validated DFT reaction paths were recommended.</w:t>
      </w:r>
    </w:p>
    <w:p>
      <w:pPr>
        <w:keepNext/>
        <w:pageBreakBefore/>
        <w:spacing w:line="240" w:lineRule="auto" w:before="360" w:after="240"/>
        <w:jc w:val="left"/>
      </w:pPr>
      <w:r>
        <w:rPr>
          <w:rFonts w:ascii="Times New Roman" w:hAnsi="Times New Roman" w:cs="Times New Roman" w:eastAsia="Times New Roman"/>
          <w:b/>
          <w:i w:val="0"/>
          <w:color w:val="000000"/>
          <w:sz w:val="24"/>
        </w:rPr>
        <w:t>TABLE OF CONTENTS</w:t>
      </w:r>
    </w:p>
    <w:p>
      <w:pPr>
        <w:spacing w:line="480" w:lineRule="auto" w:after="0"/>
      </w:pPr>
      <w:r>
        <w:fldChar w:fldCharType="begin"/>
      </w:r>
      <w:r>
        <w:instrText xml:space="preserve">TOC \o "1-4" \h \z \u</w:instrText>
      </w:r>
      <w:r>
        <w:fldChar w:fldCharType="separate"/>
      </w:r>
      <w:r>
        <w:fldChar w:fldCharType="end"/>
      </w:r>
    </w:p>
    <w:p>
      <w:pPr>
        <w:keepNext/>
        <w:pageBreakBefore/>
        <w:spacing w:line="240" w:lineRule="auto" w:before="360" w:after="240"/>
        <w:jc w:val="left"/>
      </w:pPr>
      <w:r>
        <w:rPr>
          <w:rFonts w:ascii="Times New Roman" w:hAnsi="Times New Roman" w:cs="Times New Roman" w:eastAsia="Times New Roman"/>
          <w:b/>
          <w:i w:val="0"/>
          <w:color w:val="000000"/>
          <w:sz w:val="24"/>
        </w:rPr>
        <w:t>LIST OF TABLES</w:t>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2.1: Proposed explanations for vanadium-related damage to Zeolite Y</w:t>
      </w:r>
      <w:r>
        <w:tab/>
      </w:r>
      <w:r>
        <w:fldChar w:fldCharType="begin"/>
      </w:r>
      <w:r>
        <w:instrText xml:space="preserve">PAGEREF Table_2_1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4.1: Convergence and vibrational checks for the DFT structures</w:t>
      </w:r>
      <w:r>
        <w:tab/>
      </w:r>
      <w:r>
        <w:fldChar w:fldCharType="begin"/>
      </w:r>
      <w:r>
        <w:instrText xml:space="preserve">PAGEREF Table_4_1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4.2: Selected aluminium–oxygen distances in converged DFT structures (Å)</w:t>
      </w:r>
      <w:r>
        <w:tab/>
      </w:r>
      <w:r>
        <w:fldChar w:fldCharType="begin"/>
      </w:r>
      <w:r>
        <w:instrText xml:space="preserve">PAGEREF Table_4_2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4.3: Electronic adsorption energies of vanadic acid and water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r>
      <w:r>
        <w:instrText xml:space="preserve">PAGEREF Table_4_3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4.4: Relative electronic energies of converged post-adsorption minima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r>
      <w:r>
        <w:instrText xml:space="preserve">PAGEREF Table_4_4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4.5: Transition-state search results for the first framework Al–O cleavage steps</w:t>
      </w:r>
      <w:r>
        <w:tab/>
      </w:r>
      <w:r>
        <w:fldChar w:fldCharType="begin"/>
      </w:r>
      <w:r>
        <w:instrText xml:space="preserve">PAGEREF Table_4_5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4.6: Harmonic Gibbs free energies relative to the separated cluster and adsorbate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r>
      <w:r>
        <w:instrText xml:space="preserve">PAGEREF Table_4_6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4.7: Formal single-site occupation estimate at 1003.15 K</w:t>
      </w:r>
      <w:r>
        <w:tab/>
      </w:r>
      <w:r>
        <w:fldChar w:fldCharType="begin"/>
      </w:r>
      <w:r>
        <w:instrText xml:space="preserve">PAGEREF Table_4_7 \h</w:instrText>
      </w:r>
      <w:r>
        <w:fldChar w:fldCharType="separate"/>
      </w:r>
      <w:r>
        <w:fldChar w:fldCharType="end"/>
      </w:r>
    </w:p>
    <w:p>
      <w:pPr>
        <w:keepNext/>
        <w:pageBreakBefore/>
        <w:spacing w:line="240" w:lineRule="auto" w:before="360" w:after="240"/>
        <w:jc w:val="left"/>
      </w:pPr>
      <w:r>
        <w:rPr>
          <w:rFonts w:ascii="Times New Roman" w:hAnsi="Times New Roman" w:cs="Times New Roman" w:eastAsia="Times New Roman"/>
          <w:b/>
          <w:i w:val="0"/>
          <w:color w:val="000000"/>
          <w:sz w:val="24"/>
        </w:rPr>
        <w:t>LIST OF FIGURES</w:t>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2.1: Structure of Zeolite Y showing the supercage and its twelve-membered-ring opening</w:t>
      </w:r>
      <w:r>
        <w:tab/>
      </w:r>
      <w:r>
        <w:fldChar w:fldCharType="begin"/>
      </w:r>
      <w:r>
        <w:instrText xml:space="preserve">PAGEREF Figure_2_1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2.2: Calculated reaction paths for dealumination and desilication using gas-phase and adsorbed water references</w:t>
      </w:r>
      <w:r>
        <w:tab/>
      </w:r>
      <w:r>
        <w:fldChar w:fldCharType="begin"/>
      </w:r>
      <w:r>
        <w:instrText xml:space="preserve">PAGEREF Figure_2_2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2.3: Proposed explanations for vanadium-related damage to Zeolite Y and the adsorption comparison examined in this study</w:t>
      </w:r>
      <w:r>
        <w:tab/>
      </w:r>
      <w:r>
        <w:fldChar w:fldCharType="begin"/>
      </w:r>
      <w:r>
        <w:instrText xml:space="preserve">PAGEREF Figure_2_3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2.4: Transmission electron micrographs of ultra-stable Y zeolite before and after vanadium contamination and steaming</w:t>
      </w:r>
      <w:r>
        <w:tab/>
      </w:r>
      <w:r>
        <w:fldChar w:fldCharType="begin"/>
      </w:r>
      <w:r>
        <w:instrText xml:space="preserve">PAGEREF Figure_2_4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3.1: Two-stage computational workflow used in this study</w:t>
      </w:r>
      <w:r>
        <w:tab/>
      </w:r>
      <w:r>
        <w:fldChar w:fldCharType="begin"/>
      </w:r>
      <w:r>
        <w:instrText xml:space="preserve">PAGEREF Figure_3_1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3.2: Zeolite Y cluster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vanadic acid, and water used in the calculations</w:t>
      </w:r>
      <w:r>
        <w:tab/>
      </w:r>
      <w:r>
        <w:fldChar w:fldCharType="begin"/>
      </w:r>
      <w:r>
        <w:instrText xml:space="preserve">PAGEREF Figure_3_2 \h</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4.1: Optimised adsorption complexes at B3LYP-D3(BJ)/def2-TZVP. Left, vanadic acid (V-PRC); right, water (W-PRC)</w:t>
      </w:r>
      <w:r>
        <w:tab/>
      </w:r>
      <w:r>
        <w:fldChar w:fldCharType="begin"/>
      </w:r>
      <w:r>
        <w:instrText xml:space="preserve">PAGEREF Figure_4_1 \h</w:instrText>
      </w:r>
      <w:r>
        <w:fldChar w:fldCharType="separate"/>
      </w:r>
      <w:r>
        <w:fldChar w:fldCharType="end"/>
      </w:r>
    </w:p>
    <w:p>
      <w:pPr>
        <w:pStyle w:val="Heading1"/>
        <w:pageBreakBefore/>
        <w:jc w:val="left"/>
      </w:pPr>
      <w:r>
        <w:rPr>
          <w:rFonts w:ascii="Times New Roman" w:hAnsi="Times New Roman" w:cs="Times New Roman" w:eastAsia="Times New Roman"/>
          <w:b/>
          <w:i w:val="0"/>
          <w:color w:val="000000"/>
          <w:sz w:val="24"/>
        </w:rPr>
        <w:t>1.0 INTRODUCTION</w:t>
      </w:r>
    </w:p>
    <w:p>
      <w:pPr>
        <w:pStyle w:val="Heading2"/>
        <w:jc w:val="left"/>
      </w:pPr>
      <w:r>
        <w:rPr>
          <w:rFonts w:ascii="Times New Roman" w:hAnsi="Times New Roman" w:cs="Times New Roman" w:eastAsia="Times New Roman"/>
          <w:b/>
          <w:i w:val="0"/>
          <w:color w:val="000000"/>
          <w:sz w:val="24"/>
        </w:rPr>
        <w:t>1.1 Background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Residue fluid catalytic cracking (RFCC) converts heavy refinery feedstocks into lighter products. Its catalyst contains Zeolite Y, whose acid sites support the cracking reactions. Metals carried in residue feed, including vanadium, accumulate on the catalyst during operation and are associated with loss of zeolite activity during regeneration (Adanenche et al., 2023; Wormsbecher, Peters, &amp; Maselli, 1986).</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Steam can remove aluminium from the Zeolite Y framework during regeneration. Each framework aluminium atom is associated with a Brønsted acid site, so removal of framework aluminium reduces the number of sites available for cracking. This loss of framework aluminium is called dealumination (Malola, Svelle, Lønstad Bleken, &amp; Swang, 2012).</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Researchers have proposed different explanations for the additional damage associated with vanadium. Wormsbecher et al. (1986) proposed that vanadium oxide reacts with steam to form volatile vanadic acid, which then attacks the zeolite. Pine (1990) argued that steam drives the destruction and that vanadium acts as a catalyst. Xu, Liu, and Madon (2002) proposed a sodium-mediated route in which vanadium helps release sodium that forms sodium hydroxide. The proposed mechanisms therefore assign different roles to vanadic acid, steam, and sodium.</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Wormsbecher et al. (1986) estimated that vanadic acid was present at low parts-per-million levels under the regenerator conditions they considered. Their estimate was made for a system with high steam content and a total pressure of about 2 atm. This large difference in gas abundance makes it important to compare vanadic acid and water at the same model acid site, while recognising that adsorption energy alone cannot establish a reaction rate.</w:t>
      </w:r>
    </w:p>
    <w:p>
      <w:pPr>
        <w:pStyle w:val="Heading2"/>
        <w:jc w:val="left"/>
      </w:pPr>
      <w:r>
        <w:rPr>
          <w:rFonts w:ascii="Times New Roman" w:hAnsi="Times New Roman" w:cs="Times New Roman" w:eastAsia="Times New Roman"/>
          <w:b/>
          <w:i w:val="0"/>
          <w:color w:val="000000"/>
          <w:sz w:val="24"/>
        </w:rPr>
        <w:t>1.2 Statement of the Problem</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is associated with accelerated loss of Zeolite Y activity, but the molecular mechanism remains disputed. A direct vanadic-acid mechanism requires vanadic acid to interact with the framework and proceed through bond cleavage, while steam is present at much higher concentration. A sodium-mediated mechanism provides a different explanation that does not require vanadic acid to dominate acid-site occupation.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literature reviewed here did not provide a like-for-like density functional theory (DFT) comparison of vanadic acid and water adsorption at one Zeolite Y Brønsted acid site. Such a comparison can clarify the electronic and thermochemical preference of the model site. It cannot, on its own, establish the mechanism operating in a catalyst particle or determine the rate of dealumination.</w:t>
      </w:r>
    </w:p>
    <w:p>
      <w:pPr>
        <w:pStyle w:val="Heading2"/>
        <w:jc w:val="left"/>
      </w:pPr>
      <w:r>
        <w:rPr>
          <w:rFonts w:ascii="Times New Roman" w:hAnsi="Times New Roman" w:cs="Times New Roman" w:eastAsia="Times New Roman"/>
          <w:b/>
          <w:i w:val="0"/>
          <w:color w:val="000000"/>
          <w:sz w:val="24"/>
        </w:rPr>
        <w:t>1.3 Aim and Objectives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aim of this study was to compare vanadic acid and water at a model Zeolite Y Brønsted acid site and assess what the calculated adsorption, pathway, and thermochemical results implied for the proposed dealumination mechanism. The work was organised around four objectives: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construct and optimise a local Zeolite Y cluster model and initial vanadic-acid and water adsorption structures in ORCA;</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refine the accepted structures and quantify the electronic adsorption energies of both adsorbates;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determine whether transition-state searches yielded validated candidates for the first framework Al–O cleavage steps in the vanadic-acid and water routes; and</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calculate harmonic Gibbs energies at 298.15 K and 1003.15 K and evaluate conditional competitive site occupation using RFCC gas partial pressures from the literature.</w:t>
      </w:r>
    </w:p>
    <w:p>
      <w:pPr>
        <w:pStyle w:val="Heading2"/>
        <w:jc w:val="left"/>
      </w:pPr>
      <w:r>
        <w:rPr>
          <w:rFonts w:ascii="Times New Roman" w:hAnsi="Times New Roman" w:cs="Times New Roman" w:eastAsia="Times New Roman"/>
          <w:b/>
          <w:i w:val="0"/>
          <w:color w:val="000000"/>
          <w:sz w:val="24"/>
        </w:rPr>
        <w:t>1.4 Scope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calculations used a gas-phase cluster with formula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The cluster represented one framework aluminium atom, four neighbouring silicon atoms, the bridging oxygen atoms, terminal hydrogen atoms, and one Brønsted acid proton. Vanadic acid,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and water,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were compared at the same model site. GFN2-xTB was used to screen structures. Accepted geometries were refined with B3LYP-D3(BJ)/def2-TZVP, and PBE0-D3(BJ)/def2-TZVP single-point calculations were used to check the electronic adsorption comparison.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Harmonic Gibbs energies were evaluated at 298.15 K and 1003.15 K. A formal competitive-site estimate was made at 1003.15 K using the reported partial pressures of steam and vanadic acid. This estimate was treated as conditional on the ideal-gas harmonic model and the assumed single-site equilibrium expression. Candidate transition states were searched for in the vanadic-acid route and a water-hydrolysis control.</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study did not include a periodic Zeolite Y crystal, explicit pore confinement, sodium, nickel, or the wider catalyst matrix. It also did not include experimental measurements. The calculations were therefore limited to a local model and did not represent the complete RFCC regenerator environment.</w:t>
      </w:r>
    </w:p>
    <w:p>
      <w:pPr>
        <w:pStyle w:val="Heading2"/>
        <w:jc w:val="left"/>
      </w:pPr>
      <w:r>
        <w:rPr>
          <w:rFonts w:ascii="Times New Roman" w:hAnsi="Times New Roman" w:cs="Times New Roman" w:eastAsia="Times New Roman"/>
          <w:b/>
          <w:i w:val="0"/>
          <w:color w:val="000000"/>
          <w:sz w:val="24"/>
        </w:rPr>
        <w:t>1.5 Justification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direct comparison at the same model acid site isolates one part of the proposed vanadic-acid mechanism: how the electronic adsorption and harmonic thermochemistry of vanadic acid compare with those of water. The comparison provides a basis for interpreting the relative roles of the two molecules without assuming that stronger electronic binding necessarily means faster dealumination.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results also help define the next computational steps. A local cluster can identify whether the proposed species interact with the acid site, while transition-state validation and a larger pore model are needed to assess framework damage. The distinction is relevant to studies of vanadium tolerance and passivation in RFCC catalysts (Adanenche et al., 2023; Etim et al., 2018).</w:t>
      </w:r>
    </w:p>
    <w:p>
      <w:pPr>
        <w:pStyle w:val="Heading2"/>
        <w:jc w:val="left"/>
      </w:pPr>
      <w:r>
        <w:rPr>
          <w:rFonts w:ascii="Times New Roman" w:hAnsi="Times New Roman" w:cs="Times New Roman" w:eastAsia="Times New Roman"/>
          <w:b/>
          <w:i w:val="0"/>
          <w:color w:val="000000"/>
          <w:sz w:val="24"/>
        </w:rPr>
        <w:t>1.6 Limitations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cluster represented only the local acid site, and its terminal hydrogen atoms were fixed during optimisation. The absolute DFT adsorption energies were not counterpoise-corrected because the attempted fragment calculations did not produce a complete correction. The high-temperature thermochemical and site-occupation estimates used an ideal-gas harmonic treatment that omitted pore confinement and local concentration effects. GFN2-xTB produced a candidate saddle point for one vanadic-acid step, but its DFT refinement did not pass the vibrational test; no DFT activation barrier was therefore established.</w:t>
      </w:r>
    </w:p>
    <w:p>
      <w:pPr>
        <w:pStyle w:val="Heading2"/>
        <w:jc w:val="left"/>
      </w:pPr>
      <w:r>
        <w:rPr>
          <w:rFonts w:ascii="Times New Roman" w:hAnsi="Times New Roman" w:cs="Times New Roman" w:eastAsia="Times New Roman"/>
          <w:b/>
          <w:i w:val="0"/>
          <w:color w:val="000000"/>
          <w:sz w:val="24"/>
        </w:rPr>
        <w:t>1.7 Organisation of the Thesis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Chapter Two reviews Zeolite Y, steam dealumination, vanadium-related mechanisms, and previous computational studies. Chapter Three describes the cluster model, electronic-structure calculations, pathway searches, and thermochemical site-occupation calculation. Chapter Four presents and discusses the resulting geometries, adsorption energies, transition-state assessments, and thermochemistry in objective order. Chapter Five gives the conclusions and recommendations.</w:t>
      </w:r>
    </w:p>
    <w:p>
      <w:pPr>
        <w:pStyle w:val="Heading1"/>
        <w:pageBreakBefore/>
        <w:jc w:val="left"/>
      </w:pPr>
      <w:r>
        <w:rPr>
          <w:rFonts w:ascii="Times New Roman" w:hAnsi="Times New Roman" w:cs="Times New Roman" w:eastAsia="Times New Roman"/>
          <w:b/>
          <w:i w:val="0"/>
          <w:color w:val="000000"/>
          <w:sz w:val="24"/>
        </w:rPr>
        <w:t>2.0 LITERATURE REVIEW</w:t>
      </w:r>
    </w:p>
    <w:p>
      <w:pPr>
        <w:pStyle w:val="Heading2"/>
        <w:jc w:val="left"/>
      </w:pPr>
      <w:r>
        <w:rPr>
          <w:rFonts w:ascii="Times New Roman" w:hAnsi="Times New Roman" w:cs="Times New Roman" w:eastAsia="Times New Roman"/>
          <w:b/>
          <w:i w:val="0"/>
          <w:color w:val="000000"/>
          <w:sz w:val="24"/>
        </w:rPr>
        <w:t>2.1 Zeolite Y in Residue Fluid Catalytic Cracking</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Residue fluid catalytic cracking processes heavy refinery feeds that contain metals and other contaminants. The catalyst circulates between a reactor and a regenerator, where coke is burned off in air and steam. Zeolite Y supplies many of the catalyst's cracking sites, and vanadium carried in the feed can accumulate on the catalyst during operation (Adanenche et al., 2023; Mitchell, 1980).</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Zeolite Y has the faujasite framework, a crystalline network of silicon, aluminium, and oxygen atoms. A framework aluminium atom introduces a negative charge that is balanced by a proton on a neighbouring oxygen, forming a Brønsted acid site. Figure 2.1 shows the supercage structure and its twelve-membered-ring opening. When framework aluminium is removed, the associated acid site is lost and neighbouring framework oxygens can form silanol groups (Malola et al., 2012).</w:t>
      </w:r>
    </w:p>
    <w:p>
      <w:pPr>
        <w:keepNext/>
        <w:keepLines/>
        <w:spacing w:line="240" w:lineRule="auto" w:before="120" w:after="80"/>
        <w:jc w:val="center"/>
      </w:pPr>
      <w:r>
        <w:drawing>
          <wp:inline xmlns:a="http://schemas.openxmlformats.org/drawingml/2006/main" xmlns:pic="http://schemas.openxmlformats.org/drawingml/2006/picture">
            <wp:extent cx="5400000" cy="5359651"/>
            <wp:docPr id="1" name="Picture 1"/>
            <wp:cNvGraphicFramePr>
              <a:graphicFrameLocks noChangeAspect="1"/>
            </wp:cNvGraphicFramePr>
            <a:graphic>
              <a:graphicData uri="http://schemas.openxmlformats.org/drawingml/2006/picture">
                <pic:pic>
                  <pic:nvPicPr>
                    <pic:cNvPr id="0" name="etim2016_fig1_y_zeolite.png"/>
                    <pic:cNvPicPr/>
                  </pic:nvPicPr>
                  <pic:blipFill>
                    <a:blip r:embed="rId10"/>
                    <a:stretch>
                      <a:fillRect/>
                    </a:stretch>
                  </pic:blipFill>
                  <pic:spPr>
                    <a:xfrm>
                      <a:off x="0" y="0"/>
                      <a:ext cx="5400000" cy="5359651"/>
                    </a:xfrm>
                    <a:prstGeom prst="rect"/>
                  </pic:spPr>
                </pic:pic>
              </a:graphicData>
            </a:graphic>
          </wp:inline>
        </w:drawing>
      </w:r>
    </w:p>
    <w:p>
      <w:pPr>
        <w:keepLines/>
        <w:widowControl/>
        <w:spacing w:line="480" w:lineRule="auto" w:before="0" w:after="240"/>
        <w:ind w:firstLine="0" w:left="0"/>
        <w:jc w:val="center"/>
      </w:pPr>
      <w:bookmarkStart w:id="1" w:name="Figure_2_1"/>
      <w:r>
        <w:rPr>
          <w:rFonts w:ascii="Times New Roman" w:hAnsi="Times New Roman" w:cs="Times New Roman" w:eastAsia="Times New Roman"/>
          <w:b w:val="0"/>
          <w:i w:val="0"/>
          <w:color w:val="000000"/>
          <w:sz w:val="24"/>
        </w:rPr>
        <w:t>Figure 2.1: Structure of Zeolite Y showing the supercage and its twelve-membered-ring opening</w:t>
      </w:r>
      <w:bookmarkEnd w:id="1"/>
    </w:p>
    <w:p>
      <w:pPr>
        <w:pStyle w:val="Heading2"/>
        <w:jc w:val="left"/>
      </w:pPr>
      <w:r>
        <w:rPr>
          <w:rFonts w:ascii="Times New Roman" w:hAnsi="Times New Roman" w:cs="Times New Roman" w:eastAsia="Times New Roman"/>
          <w:b/>
          <w:i w:val="0"/>
          <w:color w:val="000000"/>
          <w:sz w:val="24"/>
        </w:rPr>
        <w:t>2.2 Dealumination by Steam</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Steam can hydrolyse framework Al–O–Si bonds during catalyst regeneration. Density functional theory calculations by Malola et al. (2012) described dealumination as a sequence of water-assisted bond-cleavage steps. Their calculated effective barriers depended on the reference state used for the incoming water, showing that reaction energetics depend on how adsorption is represented. Figure 2.2 reproduces their calculated reaction paths for dealumination and desilication.</w:t>
      </w:r>
    </w:p>
    <w:p>
      <w:pPr>
        <w:keepNext/>
        <w:keepLines/>
        <w:spacing w:line="240" w:lineRule="auto" w:before="120" w:after="80"/>
        <w:jc w:val="center"/>
      </w:pPr>
      <w:r>
        <w:drawing>
          <wp:inline xmlns:a="http://schemas.openxmlformats.org/drawingml/2006/main" xmlns:pic="http://schemas.openxmlformats.org/drawingml/2006/picture">
            <wp:extent cx="3918126" cy="7199998"/>
            <wp:docPr id="2" name="Picture 2"/>
            <wp:cNvGraphicFramePr>
              <a:graphicFrameLocks noChangeAspect="1"/>
            </wp:cNvGraphicFramePr>
            <a:graphic>
              <a:graphicData uri="http://schemas.openxmlformats.org/drawingml/2006/picture">
                <pic:pic>
                  <pic:nvPicPr>
                    <pic:cNvPr id="0" name="malola2012_fig2_paths.png"/>
                    <pic:cNvPicPr/>
                  </pic:nvPicPr>
                  <pic:blipFill>
                    <a:blip r:embed="rId11"/>
                    <a:stretch>
                      <a:fillRect/>
                    </a:stretch>
                  </pic:blipFill>
                  <pic:spPr>
                    <a:xfrm>
                      <a:off x="0" y="0"/>
                      <a:ext cx="3918126" cy="7199998"/>
                    </a:xfrm>
                    <a:prstGeom prst="rect"/>
                  </pic:spPr>
                </pic:pic>
              </a:graphicData>
            </a:graphic>
          </wp:inline>
        </w:drawing>
      </w:r>
    </w:p>
    <w:p>
      <w:pPr>
        <w:keepLines/>
        <w:widowControl/>
        <w:spacing w:line="480" w:lineRule="auto" w:before="0" w:after="240"/>
        <w:ind w:firstLine="0" w:left="0"/>
        <w:jc w:val="center"/>
      </w:pPr>
      <w:bookmarkStart w:id="2" w:name="Figure_2_2"/>
      <w:r>
        <w:rPr>
          <w:rFonts w:ascii="Times New Roman" w:hAnsi="Times New Roman" w:cs="Times New Roman" w:eastAsia="Times New Roman"/>
          <w:b w:val="0"/>
          <w:i w:val="0"/>
          <w:color w:val="000000"/>
          <w:sz w:val="24"/>
        </w:rPr>
        <w:t>Figure 2.2: Calculated reaction paths for dealumination and desilication using gas-phase and adsorbed water references</w:t>
      </w:r>
      <w:bookmarkEnd w:id="2"/>
    </w:p>
    <w:p>
      <w:pPr>
        <w:widowControl/>
        <w:spacing w:line="480" w:lineRule="auto" w:before="0" w:after="240"/>
        <w:ind w:firstLine="0" w:left="0"/>
        <w:jc w:val="both"/>
      </w:pPr>
      <w:r>
        <w:rPr>
          <w:rFonts w:ascii="Times New Roman" w:hAnsi="Times New Roman" w:cs="Times New Roman" w:eastAsia="Times New Roman"/>
          <w:b w:val="0"/>
          <w:i w:val="0"/>
          <w:color w:val="000000"/>
          <w:sz w:val="24"/>
        </w:rPr>
        <w:t>Silaghi et al. (2016) examined dealumination in several zeolite frameworks and discussed how extra-framework aluminium could remain confined within the pores. Their work supported a stepwise description of hydrolysis rather than a single bond-cleavage event. Steam hydrolysis therefore provides the baseline reaction against which any additional effect of vanadium must be assessed.</w:t>
      </w:r>
    </w:p>
    <w:p>
      <w:pPr>
        <w:pStyle w:val="Heading2"/>
        <w:jc w:val="left"/>
      </w:pPr>
      <w:r>
        <w:rPr>
          <w:rFonts w:ascii="Times New Roman" w:hAnsi="Times New Roman" w:cs="Times New Roman" w:eastAsia="Times New Roman"/>
          <w:b/>
          <w:i w:val="0"/>
          <w:color w:val="000000"/>
          <w:sz w:val="24"/>
        </w:rPr>
        <w:t>2.3 Vanadium under Regenerator Conditions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in a regenerated catalyst is commonly associated with oxidised species, including vanadium pentoxide. Wormsbecher et al. (1986) proposed that vanadium pentoxide reacts with steam to form volatile vanadic acid:</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V</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5</w:t>
      </w:r>
      <w:r>
        <w:rPr>
          <w:rFonts w:ascii="Times New Roman" w:hAnsi="Times New Roman" w:cs="Times New Roman" w:eastAsia="Times New Roman"/>
          <w:b w:val="0"/>
          <w:i w:val="0"/>
          <w:color w:val="000000"/>
          <w:sz w:val="24"/>
        </w:rPr>
        <w:t>(s) + 3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O(g) ⇌ 2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(g)</w:t>
      </w:r>
    </w:p>
    <w:p>
      <w:pPr>
        <w:spacing w:line="240" w:lineRule="auto" w:after="240"/>
        <w:jc w:val="right"/>
      </w:pPr>
      <w:r>
        <w:rPr>
          <w:rFonts w:ascii="Times New Roman" w:hAnsi="Times New Roman" w:cs="Times New Roman" w:eastAsia="Times New Roman"/>
          <w:b w:val="0"/>
          <w:i w:val="0"/>
          <w:color w:val="000000"/>
          <w:sz w:val="24"/>
        </w:rPr>
        <w:t>(2.1)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Wormsbecher et al. (1986) discussed regenerator conditions near 730 °C, with about 20% steam at a total pressure of 2 atm, and estimated vanadic-acid concentrations in the low-parts-per-million range. Trujillo et al. (1997) considered the same high-steam environment and calculated an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partial pressure of about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atm, corresponding to approximately 1.7 ppm at 2 atm. These estimates show why a comparison with abundant water is important, although the bulk gas composition does not by itself determine the local concentration inside a zeolite pore.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Occelli (1991) reviewed the interactions of vanadium species with cracking catalysts and described changes in vanadium speciation during steaming and hydrolysis. Trujillo et al. (1997) proposed that vanadium could reach acid sites and form vanadic acid in the presence of water. They also discussed the possibility that vanadic acid becomes locally concentrated within the zeolite, an effect that a small gas-phase cluster cannot represent directly.</w:t>
      </w:r>
    </w:p>
    <w:p>
      <w:pPr>
        <w:pStyle w:val="Heading2"/>
        <w:jc w:val="left"/>
      </w:pPr>
      <w:r>
        <w:rPr>
          <w:rFonts w:ascii="Times New Roman" w:hAnsi="Times New Roman" w:cs="Times New Roman" w:eastAsia="Times New Roman"/>
          <w:b/>
          <w:i w:val="0"/>
          <w:color w:val="000000"/>
          <w:sz w:val="24"/>
        </w:rPr>
        <w:t>2.4 Proposed Explanations for Vanadium-Related Damage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Three explanations are central to the discussion of vanadium-related damage. The vanadic-acid explanation assigns a direct role to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in framework hydrolysis. The steam-dominated explanation assigns the main attack to water and treats vanadium as a catalyst or secondary influence. The sodium-mediated explanation proposes that vanadium mobilises sodium, after which sodium hydroxide damages the framework. Table 2.1 summarises the main claims and the studies on which they were based.</w:t>
      </w:r>
    </w:p>
    <w:p>
      <w:pPr>
        <w:keepNext/>
        <w:keepLines/>
        <w:widowControl/>
        <w:spacing w:line="480" w:lineRule="auto" w:before="0" w:after="80"/>
        <w:ind w:firstLine="0" w:left="0"/>
        <w:jc w:val="left"/>
      </w:pPr>
      <w:bookmarkStart w:id="3" w:name="Table_2_1"/>
      <w:r>
        <w:rPr>
          <w:rFonts w:ascii="Times New Roman" w:hAnsi="Times New Roman" w:cs="Times New Roman" w:eastAsia="Times New Roman"/>
          <w:b w:val="0"/>
          <w:i w:val="0"/>
          <w:color w:val="000000"/>
          <w:sz w:val="24"/>
        </w:rPr>
        <w:t>Table 2.1: Proposed explanations for vanadium-related damage to Zeolite Y</w:t>
      </w:r>
      <w:bookmarkEnd w:id="3"/>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Proposed mechanism</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Proposed role of vanadium</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Evidence discussed in the literature</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Vanadic-acid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directly promotes framework hydrolysis</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Vanadium species in steamed catalysts and proposed acid-site chemistry, Wormsbecher et al. (1986) and Trujillo et al. (1997)</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Steam-dominated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Steam hydrolyses the framework and vanadium is secondary or catalytic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Similar apparent activation energies with and without vanadium and damage to silicalite, Pine (1990)</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Sodium-mediated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Vanadium helps mobilise sodium and steam enables NaOH attack</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Dependence of destruction on sodium availability and experiments with sodium vanadate, Xu et al. (2002)</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Pine (1990) reported that vanadium loading did not change the measured apparent activation energy for destruction of ultra-stable Y zeolite under his test conditions. He also reported damage to silicalite, which contains little framework aluminium. These observations challenged an explanation based only on direct attack by vanadic acid at aluminium-containing sites, but they did not establish that vanadium was inactive under all catalyst conditions.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Xu et al. (2002) proposed that vanadium and sodium could act together. In their mechanism, vanadium-containing species mobilised sodium, and steam then enabled formation of sodium hydroxide, which attacked the zeolite framework. This explanation predicts a strong dependence on sodium content and differs from a mechanism in which vanadic acid directly hydrolyses framework Al–O bonds. Figure 2.3 presents these competing explanations and the adsorption comparison addressed in this study.</w:t>
      </w:r>
    </w:p>
    <w:p>
      <w:pPr>
        <w:keepNext/>
        <w:keepLines/>
        <w:spacing w:line="240" w:lineRule="auto" w:before="120" w:after="80"/>
        <w:jc w:val="center"/>
      </w:pPr>
      <w:r>
        <w:drawing>
          <wp:inline xmlns:a="http://schemas.openxmlformats.org/drawingml/2006/main" xmlns:pic="http://schemas.openxmlformats.org/drawingml/2006/picture">
            <wp:extent cx="5400000" cy="2683988"/>
            <wp:docPr id="3" name="Picture 3"/>
            <wp:cNvGraphicFramePr>
              <a:graphicFrameLocks noChangeAspect="1"/>
            </wp:cNvGraphicFramePr>
            <a:graphic>
              <a:graphicData uri="http://schemas.openxmlformats.org/drawingml/2006/picture">
                <pic:pic>
                  <pic:nvPicPr>
                    <pic:cNvPr id="0" name="fig2_1_dispute.png"/>
                    <pic:cNvPicPr/>
                  </pic:nvPicPr>
                  <pic:blipFill>
                    <a:blip r:embed="rId12"/>
                    <a:stretch>
                      <a:fillRect/>
                    </a:stretch>
                  </pic:blipFill>
                  <pic:spPr>
                    <a:xfrm>
                      <a:off x="0" y="0"/>
                      <a:ext cx="5400000" cy="2683988"/>
                    </a:xfrm>
                    <a:prstGeom prst="rect"/>
                  </pic:spPr>
                </pic:pic>
              </a:graphicData>
            </a:graphic>
          </wp:inline>
        </w:drawing>
      </w:r>
    </w:p>
    <w:p>
      <w:pPr>
        <w:keepLines/>
        <w:widowControl/>
        <w:spacing w:line="480" w:lineRule="auto" w:before="0" w:after="240"/>
        <w:ind w:firstLine="0" w:left="0"/>
        <w:jc w:val="center"/>
      </w:pPr>
      <w:bookmarkStart w:id="4" w:name="Figure_2_3"/>
      <w:r>
        <w:rPr>
          <w:rFonts w:ascii="Times New Roman" w:hAnsi="Times New Roman" w:cs="Times New Roman" w:eastAsia="Times New Roman"/>
          <w:b w:val="0"/>
          <w:i w:val="0"/>
          <w:color w:val="000000"/>
          <w:sz w:val="24"/>
        </w:rPr>
        <w:t>Figure 2.3: Proposed explanations for vanadium-related damage to Zeolite Y and the adsorption comparison examined in this study</w:t>
      </w:r>
      <w:bookmarkEnd w:id="4"/>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mechanisms are not mutually exclusive. Steam is present in the regenerator, while the role of vanadium may depend on sodium content, oxidation conditions, and the distribution of vanadium within the catalyst. A comparison of adsorption energies addresses only one part of this debate and cannot by itself distinguish the complete reaction mechanisms.</w:t>
      </w:r>
    </w:p>
    <w:p>
      <w:pPr>
        <w:pStyle w:val="Heading2"/>
        <w:jc w:val="left"/>
      </w:pPr>
      <w:r>
        <w:rPr>
          <w:rFonts w:ascii="Times New Roman" w:hAnsi="Times New Roman" w:cs="Times New Roman" w:eastAsia="Times New Roman"/>
          <w:b/>
          <w:i w:val="0"/>
          <w:color w:val="000000"/>
          <w:sz w:val="24"/>
        </w:rPr>
        <w:t>2.5 Evidence of Damage and Mitigation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Etim et al. (2016) examined vanadium-contaminated ultra-stable Y zeolite after steaming and reported changes in the framework and micropore structure. Figure 2.4 shows transmission electron micrographs from their study. Such structural measurements establish that the combined treatment can damage zeolite, but they do not alone identify which elementary step caused the damage.</w:t>
      </w:r>
    </w:p>
    <w:p>
      <w:pPr>
        <w:keepNext/>
        <w:keepLines/>
        <w:spacing w:line="240" w:lineRule="auto" w:before="120" w:after="80"/>
        <w:jc w:val="center"/>
      </w:pPr>
      <w:r>
        <w:drawing>
          <wp:inline xmlns:a="http://schemas.openxmlformats.org/drawingml/2006/main" xmlns:pic="http://schemas.openxmlformats.org/drawingml/2006/picture">
            <wp:extent cx="5399999" cy="3011294"/>
            <wp:docPr id="4" name="Picture 4"/>
            <wp:cNvGraphicFramePr>
              <a:graphicFrameLocks noChangeAspect="1"/>
            </wp:cNvGraphicFramePr>
            <a:graphic>
              <a:graphicData uri="http://schemas.openxmlformats.org/drawingml/2006/picture">
                <pic:pic>
                  <pic:nvPicPr>
                    <pic:cNvPr id="0" name="etim2016_fig8_tem.png"/>
                    <pic:cNvPicPr/>
                  </pic:nvPicPr>
                  <pic:blipFill>
                    <a:blip r:embed="rId13"/>
                    <a:stretch>
                      <a:fillRect/>
                    </a:stretch>
                  </pic:blipFill>
                  <pic:spPr>
                    <a:xfrm>
                      <a:off x="0" y="0"/>
                      <a:ext cx="5399999" cy="3011294"/>
                    </a:xfrm>
                    <a:prstGeom prst="rect"/>
                  </pic:spPr>
                </pic:pic>
              </a:graphicData>
            </a:graphic>
          </wp:inline>
        </w:drawing>
      </w:r>
    </w:p>
    <w:p>
      <w:pPr>
        <w:keepLines/>
        <w:widowControl/>
        <w:spacing w:line="480" w:lineRule="auto" w:before="0" w:after="240"/>
        <w:ind w:firstLine="0" w:left="0"/>
        <w:jc w:val="center"/>
      </w:pPr>
      <w:bookmarkStart w:id="5" w:name="Figure_2_4"/>
      <w:r>
        <w:rPr>
          <w:rFonts w:ascii="Times New Roman" w:hAnsi="Times New Roman" w:cs="Times New Roman" w:eastAsia="Times New Roman"/>
          <w:b w:val="0"/>
          <w:i w:val="0"/>
          <w:color w:val="000000"/>
          <w:sz w:val="24"/>
        </w:rPr>
        <w:t>Figure 2.4: Transmission electron micrographs of ultra-stable Y zeolite before and after vanadium contamination and steaming</w:t>
      </w:r>
      <w:bookmarkEnd w:id="5"/>
    </w:p>
    <w:p>
      <w:pPr>
        <w:widowControl/>
        <w:spacing w:line="480" w:lineRule="auto" w:before="0" w:after="240"/>
        <w:ind w:firstLine="0" w:left="0"/>
        <w:jc w:val="both"/>
      </w:pPr>
      <w:r>
        <w:rPr>
          <w:rFonts w:ascii="Times New Roman" w:hAnsi="Times New Roman" w:cs="Times New Roman" w:eastAsia="Times New Roman"/>
          <w:b w:val="0"/>
          <w:i w:val="0"/>
          <w:color w:val="000000"/>
          <w:sz w:val="24"/>
        </w:rPr>
        <w:t>Researchers have also investigated additives that capture or passivate vanadium. Wormsbecher et al. (1986) reported catalyst protection by basic oxides under their test conditions, while Etim et al. (2018) evaluated a magnesium–yttrium oxide trap and linked vanadium capture to formation of immobile yttrium vanadate. These studies demonstrate the practical importance of controlling vanadium, while leaving open the detailed molecular pathway by which it affects the zeolite framework.</w:t>
      </w:r>
    </w:p>
    <w:p>
      <w:pPr>
        <w:pStyle w:val="Heading2"/>
        <w:jc w:val="left"/>
      </w:pPr>
      <w:r>
        <w:rPr>
          <w:rFonts w:ascii="Times New Roman" w:hAnsi="Times New Roman" w:cs="Times New Roman" w:eastAsia="Times New Roman"/>
          <w:b/>
          <w:i w:val="0"/>
          <w:color w:val="000000"/>
          <w:sz w:val="24"/>
        </w:rPr>
        <w:t>2.6 Computational Studies and Research Gap</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Periodic DFT has been used to calculate water-driven dealumination pathways in zeolites (Malola et al., 2012; Silaghi et al., 2016). Tielens and Dzwigaj (2010) studied acid-base sites in vanadium redox zeolites, but their model concerned vanadium incorporated within a zeolite rather than an external vanadic-acid molecule attacking a framework bond. The studies reviewed here did not provide a direct comparison of vanadic acid and water adsorption at the same Zeolite Y Brønsted acid site.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present comparison used GFN2-xTB to screen structures and hybrid DFT to refine accepted geometries and calculate electronic energies. GFN2-xTB is a semi-empirical method designed for efficient calculations on larger molecular systems (Bannwarth, Ehlert, &amp; Grimme, 2019). B3LYP and PBE0 are hybrid density functionals, while dispersion corrections and triple-zeta basis sets improve the treatment of intermolecular interactions (Becke, 1993; Lee, Yang, &amp; Parr, 1988; Adamo &amp; Barone, 1999; Grimme, Ehrlich, &amp; Goerigk, 2011; Weigend &amp; Ahlrichs, 2005).</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study addressed the adsorption comparison and evaluated the thermochemistry and candidate pathway structures produced by the calculations. It did not treat a failed optimisation as evidence for a reaction barrier. The calculations therefore provide a focused model comparison rather than a complete validation of any one mechanism.</w:t>
      </w:r>
    </w:p>
    <w:p>
      <w:pPr>
        <w:pStyle w:val="Heading1"/>
        <w:pageBreakBefore/>
        <w:jc w:val="left"/>
      </w:pPr>
      <w:r>
        <w:rPr>
          <w:rFonts w:ascii="Times New Roman" w:hAnsi="Times New Roman" w:cs="Times New Roman" w:eastAsia="Times New Roman"/>
          <w:b/>
          <w:i w:val="0"/>
          <w:color w:val="000000"/>
          <w:sz w:val="24"/>
        </w:rPr>
        <w:t>3.0 METHODOLOGY</w:t>
      </w:r>
    </w:p>
    <w:p>
      <w:pPr>
        <w:pStyle w:val="Heading2"/>
        <w:jc w:val="left"/>
      </w:pPr>
      <w:r>
        <w:rPr>
          <w:rFonts w:ascii="Times New Roman" w:hAnsi="Times New Roman" w:cs="Times New Roman" w:eastAsia="Times New Roman"/>
          <w:b/>
          <w:i w:val="0"/>
          <w:color w:val="000000"/>
          <w:sz w:val="24"/>
        </w:rPr>
        <w:t>3.1 Computational Workflow and Resources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calculations followed the four objectives in order. The local Zeolite Y model and initial adsorption geometries were prepared first. Accepted structures were then refined, and electronic adsorption energies were calculated. Candidate transition states were searched for before the harmonic thermochemistry and conditional site-occupation estimate were evaluated. Figure 3.1 summarises this workflow.</w:t>
      </w:r>
    </w:p>
    <w:p>
      <w:pPr>
        <w:keepNext/>
        <w:keepLines/>
        <w:spacing w:line="240" w:lineRule="auto" w:before="120" w:after="80"/>
        <w:jc w:val="center"/>
      </w:pPr>
      <w:r>
        <w:drawing>
          <wp:inline xmlns:a="http://schemas.openxmlformats.org/drawingml/2006/main" xmlns:pic="http://schemas.openxmlformats.org/drawingml/2006/picture">
            <wp:extent cx="5400000" cy="3817137"/>
            <wp:docPr id="5" name="Picture 5"/>
            <wp:cNvGraphicFramePr>
              <a:graphicFrameLocks noChangeAspect="1"/>
            </wp:cNvGraphicFramePr>
            <a:graphic>
              <a:graphicData uri="http://schemas.openxmlformats.org/drawingml/2006/picture">
                <pic:pic>
                  <pic:nvPicPr>
                    <pic:cNvPr id="0" name="fig3_1_workflow.png"/>
                    <pic:cNvPicPr/>
                  </pic:nvPicPr>
                  <pic:blipFill>
                    <a:blip r:embed="rId14"/>
                    <a:stretch>
                      <a:fillRect/>
                    </a:stretch>
                  </pic:blipFill>
                  <pic:spPr>
                    <a:xfrm>
                      <a:off x="0" y="0"/>
                      <a:ext cx="5400000" cy="3817137"/>
                    </a:xfrm>
                    <a:prstGeom prst="rect"/>
                  </pic:spPr>
                </pic:pic>
              </a:graphicData>
            </a:graphic>
          </wp:inline>
        </w:drawing>
      </w:r>
    </w:p>
    <w:p>
      <w:pPr>
        <w:keepLines/>
        <w:widowControl/>
        <w:spacing w:line="480" w:lineRule="auto" w:before="0" w:after="240"/>
        <w:ind w:firstLine="0" w:left="0"/>
        <w:jc w:val="center"/>
      </w:pPr>
      <w:bookmarkStart w:id="6" w:name="Figure_3_1"/>
      <w:r>
        <w:rPr>
          <w:rFonts w:ascii="Times New Roman" w:hAnsi="Times New Roman" w:cs="Times New Roman" w:eastAsia="Times New Roman"/>
          <w:b w:val="0"/>
          <w:i w:val="0"/>
          <w:color w:val="000000"/>
          <w:sz w:val="24"/>
        </w:rPr>
        <w:t>Figure 3.1: Two-stage computational workflow used in this study</w:t>
      </w:r>
      <w:bookmarkEnd w:id="6"/>
    </w:p>
    <w:p>
      <w:pPr>
        <w:widowControl/>
        <w:spacing w:line="480" w:lineRule="auto" w:before="0" w:after="240"/>
        <w:ind w:firstLine="0" w:left="0"/>
        <w:jc w:val="both"/>
      </w:pPr>
      <w:r>
        <w:rPr>
          <w:rFonts w:ascii="Times New Roman" w:hAnsi="Times New Roman" w:cs="Times New Roman" w:eastAsia="Times New Roman"/>
          <w:b w:val="0"/>
          <w:i w:val="0"/>
          <w:color w:val="000000"/>
          <w:sz w:val="24"/>
        </w:rPr>
        <w:t>GFN2-xTB calculations were run with ORCA 6.1.0 on a Dell Latitude E6430 laptop with 16 GB of memory and one processor core. The DFT calculations were run with ORCA 6.1.1 on a cloud virtual machine using four MPI processes (Neese, 2025). Molecular structures were prepared and checked with Spartan and Avogadro. Python scripts parsed the ORCA output files and supported the calculation tables.</w:t>
      </w:r>
    </w:p>
    <w:p>
      <w:pPr>
        <w:pStyle w:val="Heading2"/>
        <w:jc w:val="left"/>
      </w:pPr>
      <w:r>
        <w:rPr>
          <w:rFonts w:ascii="Times New Roman" w:hAnsi="Times New Roman" w:cs="Times New Roman" w:eastAsia="Times New Roman"/>
          <w:b/>
          <w:i w:val="0"/>
          <w:color w:val="000000"/>
          <w:sz w:val="24"/>
        </w:rPr>
        <w:t>3.2 Zeolite Y Cluster and Adsorbate Models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model was a gas-phase cluster with formula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containing 22 atoms. It represented one framework aluminium atom, four neighbouring silicon atoms, four bridging oxygen atoms, twelve terminal hydrogen atoms, and one proton on a bridging oxygen. The protonated oxygen formed the model Brønsted acid site, while the terminal hydrogen atoms capped bonds at the cluster boundary. The cluster, vanadic acid, and water were treated as neutral singlets.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twelve terminal hydrogen atoms were held fixed during geometry optimisation. The aluminium atom, four silicon atoms, bridging oxygen atoms, and Brønsted proton were allowed to relax. Vanadic acid was modelled with one V=O bond and three V–OH groups, while water was modelled as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Several starting orientations of each adsorbate were prepared around the acid site before screening. Figure 3.2 shows the cluster and isolated reference species.</w:t>
      </w:r>
    </w:p>
    <w:p>
      <w:pPr>
        <w:keepNext/>
        <w:keepLines/>
        <w:spacing w:line="240" w:lineRule="auto" w:before="120" w:after="80"/>
        <w:jc w:val="center"/>
      </w:pPr>
      <w:r>
        <w:drawing>
          <wp:inline xmlns:a="http://schemas.openxmlformats.org/drawingml/2006/main" xmlns:pic="http://schemas.openxmlformats.org/drawingml/2006/picture">
            <wp:extent cx="5400000" cy="2076163"/>
            <wp:docPr id="6" name="Picture 6"/>
            <wp:cNvGraphicFramePr>
              <a:graphicFrameLocks noChangeAspect="1"/>
            </wp:cNvGraphicFramePr>
            <a:graphic>
              <a:graphicData uri="http://schemas.openxmlformats.org/drawingml/2006/picture">
                <pic:pic>
                  <pic:nvPicPr>
                    <pic:cNvPr id="0" name="fig3_2_cluster.png"/>
                    <pic:cNvPicPr/>
                  </pic:nvPicPr>
                  <pic:blipFill>
                    <a:blip r:embed="rId15"/>
                    <a:stretch>
                      <a:fillRect/>
                    </a:stretch>
                  </pic:blipFill>
                  <pic:spPr>
                    <a:xfrm>
                      <a:off x="0" y="0"/>
                      <a:ext cx="5400000" cy="2076163"/>
                    </a:xfrm>
                    <a:prstGeom prst="rect"/>
                  </pic:spPr>
                </pic:pic>
              </a:graphicData>
            </a:graphic>
          </wp:inline>
        </w:drawing>
      </w:r>
    </w:p>
    <w:p>
      <w:pPr>
        <w:keepLines/>
        <w:widowControl/>
        <w:spacing w:line="480" w:lineRule="auto" w:before="0" w:after="240"/>
        <w:ind w:firstLine="0" w:left="0"/>
        <w:jc w:val="center"/>
      </w:pPr>
      <w:bookmarkStart w:id="7" w:name="Figure_3_2"/>
      <w:r>
        <w:rPr>
          <w:rFonts w:ascii="Times New Roman" w:hAnsi="Times New Roman" w:cs="Times New Roman" w:eastAsia="Times New Roman"/>
          <w:b w:val="0"/>
          <w:i w:val="0"/>
          <w:color w:val="000000"/>
          <w:sz w:val="24"/>
        </w:rPr>
        <w:t>Figure 3.2: Zeolite Y cluster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vanadic acid, and water used in the calculations</w:t>
      </w:r>
      <w:bookmarkEnd w:id="7"/>
    </w:p>
    <w:p>
      <w:pPr>
        <w:pStyle w:val="Heading2"/>
        <w:jc w:val="left"/>
      </w:pPr>
      <w:r>
        <w:rPr>
          <w:rFonts w:ascii="Times New Roman" w:hAnsi="Times New Roman" w:cs="Times New Roman" w:eastAsia="Times New Roman"/>
          <w:b/>
          <w:i w:val="0"/>
          <w:color w:val="000000"/>
          <w:sz w:val="24"/>
        </w:rPr>
        <w:t>3.3 Structure Refinement and Adsorption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isolated cluster, vanadic acid, and water were first optimised with GFN2-xTB. Adsorption complexes were generated by placing each adsorbate in several orientations near the Brønsted proton and optimising the resulting structures. The lowest-energy converged structures were carried forward for DFT refinement. This screening step supplied starting geometries and was not used as the final DFT adsorption-energy estimate.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accepted reference structures and adsorption complexes were re-optimised with B3LYP-D3(BJ)/def2-TZVP. The calculations used the RIJCOSX approximation, the def2/J auxiliary basis, the DefGrid3 integration grid, tight self-consistent-field convergence, and tight geometry convergence. Harmonic frequencies were calculated for the optimised structures at the same level. PBE0-D3(BJ)/def2-TZVP single-point calculations were performed on the B3LYP-optimised geometries of the isolated reference species and the two adsorption complexes; the PBE0 geometries were not re-optimised.</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electronic adsorption energy was calculated as:</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w:t>
      </w:r>
      <w:r>
        <w:rPr>
          <w:rFonts w:ascii="Times New Roman" w:hAnsi="Times New Roman" w:cs="Times New Roman" w:eastAsia="Times New Roman"/>
          <w:b w:val="0"/>
          <w:i w:val="0"/>
          <w:color w:val="000000"/>
          <w:sz w:val="24"/>
        </w:rPr>
        <w:t>d</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 E(complex) − [E(cluster) + E(adsorbate)]</w:t>
      </w:r>
    </w:p>
    <w:p>
      <w:pPr>
        <w:spacing w:line="240" w:lineRule="auto" w:after="240"/>
        <w:jc w:val="right"/>
      </w:pPr>
      <w:r>
        <w:rPr>
          <w:rFonts w:ascii="Times New Roman" w:hAnsi="Times New Roman" w:cs="Times New Roman" w:eastAsia="Times New Roman"/>
          <w:b w:val="0"/>
          <w:i w:val="0"/>
          <w:color w:val="000000"/>
          <w:sz w:val="24"/>
        </w:rPr>
        <w:t>(3.1)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negative value indicated that the complex had a lower electronic energy than the separated cluster and adsorbate. The relative adsorption-energy difference was calculated as:</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ΔΔE = ΔE</w:t>
      </w:r>
      <w:r>
        <w:rPr>
          <w:rFonts w:ascii="Times New Roman" w:hAnsi="Times New Roman" w:cs="Times New Roman" w:eastAsia="Times New Roman"/>
          <w:b w:val="0"/>
          <w:i w:val="0"/>
          <w:color w:val="000000"/>
          <w:sz w:val="24"/>
          <w:vertAlign w:val="subscript"/>
        </w:rPr>
        <w:t>a</w:t>
      </w:r>
      <w:r>
        <w:rPr>
          <w:rFonts w:ascii="Times New Roman" w:hAnsi="Times New Roman" w:cs="Times New Roman" w:eastAsia="Times New Roman"/>
          <w:b w:val="0"/>
          <w:i w:val="0"/>
          <w:color w:val="000000"/>
          <w:sz w:val="24"/>
        </w:rPr>
        <w:t>d</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ΔE</w:t>
      </w:r>
      <w:r>
        <w:rPr>
          <w:rFonts w:ascii="Times New Roman" w:hAnsi="Times New Roman" w:cs="Times New Roman" w:eastAsia="Times New Roman"/>
          <w:b w:val="0"/>
          <w:i w:val="0"/>
          <w:color w:val="000000"/>
          <w:sz w:val="24"/>
          <w:vertAlign w:val="subscript"/>
        </w:rPr>
        <w:t>a</w:t>
      </w:r>
      <w:r>
        <w:rPr>
          <w:rFonts w:ascii="Times New Roman" w:hAnsi="Times New Roman" w:cs="Times New Roman" w:eastAsia="Times New Roman"/>
          <w:b w:val="0"/>
          <w:i w:val="0"/>
          <w:color w:val="000000"/>
          <w:sz w:val="24"/>
        </w:rPr>
        <w:t>d</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p>
      <w:pPr>
        <w:spacing w:line="240" w:lineRule="auto" w:after="240"/>
        <w:jc w:val="right"/>
      </w:pPr>
      <w:r>
        <w:rPr>
          <w:rFonts w:ascii="Times New Roman" w:hAnsi="Times New Roman" w:cs="Times New Roman" w:eastAsia="Times New Roman"/>
          <w:b w:val="0"/>
          <w:i w:val="0"/>
          <w:color w:val="000000"/>
          <w:sz w:val="24"/>
        </w:rPr>
        <w:t>(3.2)</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negative ΔΔE indicated a more negative electronic adsorption energy for vanadic acid. Counterpoise calculations were attempted to estimate basis-set-superposition error, but they did not produce a complete set of converged fragment energies. No counterpoise-corrected values were therefore used.</w:t>
      </w:r>
    </w:p>
    <w:p>
      <w:pPr>
        <w:pStyle w:val="Heading2"/>
        <w:jc w:val="left"/>
      </w:pPr>
      <w:r>
        <w:rPr>
          <w:rFonts w:ascii="Times New Roman" w:hAnsi="Times New Roman" w:cs="Times New Roman" w:eastAsia="Times New Roman"/>
          <w:b/>
          <w:i w:val="0"/>
          <w:color w:val="000000"/>
          <w:sz w:val="24"/>
        </w:rPr>
        <w:t>3.4 Transition-State Searches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Candidate reaction paths were explored for the vanadic-acid route and for a water-hydrolysis control. GFN2-xTB nudged elastic band calculations were followed by eigenvector-following transition-state optimisations (Henkelman &amp; Jónsson, 2000). Frequency calculations and displacements in both directions along each candidate imaginary mode were used to test whether the structure connected the expected neighbouring minima.</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GFN2-xTB transition-state candidate was accepted only when the optimisation converged, the frequency calculation gave one chemically meaningful imaginary mode, and the two displaced structures relaxed towards different minima. The accepted Tier 1 candidate for the first framework Al–O cleavage was retained for DFT assessment. The corresponding DFT optimisation was checked by its convergence and vibrational frequencies. Unconverged structures and candidates that failed the mode or displacement checks were not treated as validated transition states.</w:t>
      </w:r>
    </w:p>
    <w:p>
      <w:pPr>
        <w:pStyle w:val="Heading2"/>
        <w:jc w:val="left"/>
      </w:pPr>
      <w:r>
        <w:rPr>
          <w:rFonts w:ascii="Times New Roman" w:hAnsi="Times New Roman" w:cs="Times New Roman" w:eastAsia="Times New Roman"/>
          <w:b/>
          <w:i w:val="0"/>
          <w:color w:val="000000"/>
          <w:sz w:val="24"/>
        </w:rPr>
        <w:t>3.5 Gibbs Energies and Conditional Site Occupation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Harmonic Gibbs energies were obtained from ORCA frequency calculations at 298.15 K and 1003.15 K. The higher temperature represented an RFCC regenerator condition of about 730 °C. The Gibbs energy of adsorption was calculated from the complex, cluster, and isolated adsorbate:</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bscript"/>
        </w:rPr>
        <w:t>a</w:t>
      </w:r>
      <w:r>
        <w:rPr>
          <w:rFonts w:ascii="Times New Roman" w:hAnsi="Times New Roman" w:cs="Times New Roman" w:eastAsia="Times New Roman"/>
          <w:b w:val="0"/>
          <w:i w:val="0"/>
          <w:color w:val="000000"/>
          <w:sz w:val="24"/>
        </w:rPr>
        <w:t>d</w:t>
      </w:r>
      <w:r>
        <w:rPr>
          <w:rFonts w:ascii="Times New Roman" w:hAnsi="Times New Roman" w:cs="Times New Roman" w:eastAsia="Times New Roman"/>
          <w:b w:val="0"/>
          <w:i w:val="0"/>
          <w:color w:val="000000"/>
          <w:sz w:val="24"/>
          <w:vertAlign w:val="subscript"/>
        </w:rPr>
        <w:t>s</w:t>
      </w:r>
      <w:r>
        <w:rPr>
          <w:rFonts w:ascii="Times New Roman" w:hAnsi="Times New Roman" w:cs="Times New Roman" w:eastAsia="Times New Roman"/>
          <w:b w:val="0"/>
          <w:i w:val="0"/>
          <w:color w:val="000000"/>
          <w:sz w:val="24"/>
        </w:rPr>
        <w:t xml:space="preserve"> = G(complex) − G(cluster) − G(adsorbate)</w:t>
      </w:r>
    </w:p>
    <w:p>
      <w:pPr>
        <w:spacing w:line="240" w:lineRule="auto" w:after="240"/>
        <w:jc w:val="right"/>
      </w:pPr>
      <w:r>
        <w:rPr>
          <w:rFonts w:ascii="Times New Roman" w:hAnsi="Times New Roman" w:cs="Times New Roman" w:eastAsia="Times New Roman"/>
          <w:b w:val="0"/>
          <w:i w:val="0"/>
          <w:color w:val="000000"/>
          <w:sz w:val="24"/>
        </w:rPr>
        <w:t>(3.3)</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values used ideal-gas, rigid-rotor, harmonic-oscillator thermochemistry at a standard pressure of 1 atm. The free-energy difference was evaluated separately from the electronic adsorption-energy difference because thermal corrections affected the relative ordering.</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formal competitive-site estimate was made at 1003.15 K using the regenerator partial pressures discussed by Wormsbecher et al. (1986). Twenty per cent steam at 2 atm total pressure corresponded to a water partial pressure of 0.4 atm. The reported range of 1–10 ppm vanadic acid corresponded to partial pressures of 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to 2 × 10</w:t>
      </w:r>
      <w:r>
        <w:rPr>
          <w:rFonts w:ascii="Times New Roman" w:hAnsi="Times New Roman" w:cs="Times New Roman" w:eastAsia="Times New Roman"/>
          <w:b w:val="0"/>
          <w:i w:val="0"/>
          <w:color w:val="000000"/>
          <w:sz w:val="24"/>
          <w:vertAlign w:val="superscript"/>
        </w:rPr>
        <w:t>-5</w:t>
      </w:r>
      <w:r>
        <w:rPr>
          <w:rFonts w:ascii="Times New Roman" w:hAnsi="Times New Roman" w:cs="Times New Roman" w:eastAsia="Times New Roman"/>
          <w:b w:val="0"/>
          <w:i w:val="0"/>
          <w:color w:val="000000"/>
          <w:sz w:val="24"/>
        </w:rPr>
        <w:t xml:space="preserve"> atm. For each species, the dimensionless standard equilibrium constant and the competitive site fraction were calculated as:</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K°ᵢ = exp[−ΔG°ᵢ/(RT)]</w:t>
      </w:r>
    </w:p>
    <w:p>
      <w:pPr>
        <w:spacing w:line="240" w:lineRule="auto" w:after="240"/>
        <w:jc w:val="right"/>
      </w:pPr>
      <w:r>
        <w:rPr>
          <w:rFonts w:ascii="Times New Roman" w:hAnsi="Times New Roman" w:cs="Times New Roman" w:eastAsia="Times New Roman"/>
          <w:b w:val="0"/>
          <w:i w:val="0"/>
          <w:color w:val="000000"/>
          <w:sz w:val="24"/>
        </w:rPr>
        <w:t>(3.4)</w:t>
      </w:r>
    </w:p>
    <w:p>
      <w:pPr>
        <w:widowControl/>
        <w:spacing w:line="240" w:lineRule="auto" w:before="0" w:after="0"/>
        <w:ind w:firstLine="0" w:left="0"/>
        <w:jc w:val="center"/>
      </w:pPr>
      <w:r>
        <w:rPr>
          <w:rFonts w:ascii="Times New Roman" w:hAnsi="Times New Roman" w:cs="Times New Roman" w:eastAsia="Times New Roman"/>
          <w:b w:val="0"/>
          <w:i w:val="0"/>
          <w:color w:val="000000"/>
          <w:sz w:val="24"/>
        </w:rPr>
        <w:t>θᵢ = K°ᵢ(pᵢ/p°) / [1 + Σⱼ K°ⱼ(pⱼ/p°)]</w:t>
      </w:r>
    </w:p>
    <w:p>
      <w:pPr>
        <w:spacing w:line="240" w:lineRule="auto" w:after="240"/>
        <w:jc w:val="right"/>
      </w:pPr>
      <w:r>
        <w:rPr>
          <w:rFonts w:ascii="Times New Roman" w:hAnsi="Times New Roman" w:cs="Times New Roman" w:eastAsia="Times New Roman"/>
          <w:b w:val="0"/>
          <w:i w:val="0"/>
          <w:color w:val="000000"/>
          <w:sz w:val="24"/>
        </w:rPr>
        <w:t>(3.5)</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calculation assumed one equivalent site, ideal-gas standard states, and no interaction between adsorbed molecules. It was used as a conditional thermochemical scenario, not as a definitive prediction of occupancy in the zeolite pore.</w:t>
      </w:r>
    </w:p>
    <w:p>
      <w:pPr>
        <w:pStyle w:val="Heading2"/>
        <w:jc w:val="left"/>
      </w:pPr>
      <w:r>
        <w:rPr>
          <w:rFonts w:ascii="Times New Roman" w:hAnsi="Times New Roman" w:cs="Times New Roman" w:eastAsia="Times New Roman"/>
          <w:b/>
          <w:i w:val="0"/>
          <w:color w:val="000000"/>
          <w:sz w:val="24"/>
        </w:rPr>
        <w:t>3.6 Data Handling and Acceptance Criteria</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ORCA input files, output files, final geometries, and calculation registers were retained in the repository. Reported adsorption energies and thermochemical values were checked against the output logs and the calculation register. The same reference cluster and isolated adsorbate energies were used when calculating each adsorption energy.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minimum was accepted when the geometry optimisation converged and the frequency calculation showed no chemically meaningful imaginary mode. Frequencies below 20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were treated as numerical noise only when the associated displacement did not describe a reaction; borderline modes were assessed using their displacement behaviour. The cluster-reference frequency of −4.64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met the low-frequency-noise criterion. A transition-state candidate required one chemically meaningful imaginary frequency and a successful two-sided displacement check. These criteria separated the GFN2-xTB screening result from the DFT pathway assessment.</w:t>
      </w:r>
    </w:p>
    <w:p>
      <w:pPr>
        <w:pStyle w:val="Heading1"/>
        <w:pageBreakBefore/>
        <w:jc w:val="left"/>
      </w:pPr>
      <w:r>
        <w:rPr>
          <w:rFonts w:ascii="Times New Roman" w:hAnsi="Times New Roman" w:cs="Times New Roman" w:eastAsia="Times New Roman"/>
          <w:b/>
          <w:i w:val="0"/>
          <w:color w:val="000000"/>
          <w:sz w:val="24"/>
        </w:rPr>
        <w:t>4.0 RESULTS AND DISCUSSION</w:t>
      </w:r>
    </w:p>
    <w:p>
      <w:pPr>
        <w:pStyle w:val="Heading2"/>
        <w:jc w:val="left"/>
      </w:pPr>
      <w:r>
        <w:rPr>
          <w:rFonts w:ascii="Times New Roman" w:hAnsi="Times New Roman" w:cs="Times New Roman" w:eastAsia="Times New Roman"/>
          <w:b/>
          <w:i w:val="0"/>
          <w:color w:val="000000"/>
          <w:sz w:val="24"/>
        </w:rPr>
        <w:t>4.1 Model and Adsorption Geometries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22-atom cluster retained the local structure needed for the adsorption comparison. Table 4.1 summarises convergence and vibrational checks, while Table 4.2 lists selected aluminium–oxygen distances. The cluster reference had a small imaginary frequency, which was treated as numerical noise under the criterion in Section 3.6. The two pre-reaction adsorption complexes converged as minima, allowing their energies to be compared with the same cluster reference.</w:t>
      </w:r>
    </w:p>
    <w:p>
      <w:pPr>
        <w:keepNext/>
        <w:keepLines/>
        <w:widowControl/>
        <w:spacing w:line="480" w:lineRule="auto" w:before="0" w:after="80"/>
        <w:ind w:firstLine="0" w:left="0"/>
        <w:jc w:val="left"/>
      </w:pPr>
      <w:bookmarkStart w:id="8" w:name="Table_4_1"/>
      <w:r>
        <w:rPr>
          <w:rFonts w:ascii="Times New Roman" w:hAnsi="Times New Roman" w:cs="Times New Roman" w:eastAsia="Times New Roman"/>
          <w:b w:val="0"/>
          <w:i w:val="0"/>
          <w:color w:val="000000"/>
          <w:sz w:val="24"/>
        </w:rPr>
        <w:t>Table 4.1: Convergence and vibrational checks for the DFT structures</w:t>
      </w:r>
      <w:bookmarkEnd w:id="8"/>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Optimisation status</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Imaginary frequencies</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Assessment</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Cluster reference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 (−4.64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Retained as a flat reference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V-TS2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Rejected as a transition state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calculated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accepted, cycle limit reached</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Did not terminate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calculated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accepted, job stopped before completion</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minimum</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Figure 4.1 compares the optimised pre-reaction complexes. The vanadic-acid oxygen approached aluminium closely, while water remained farther from the aluminium centre. The structural difference is consistent with the electronic-energy comparison in Section 4.2, but geometry alone does not establish either the equilibrium population or the rate of framework hydrolysis.</w:t>
      </w:r>
    </w:p>
    <w:p>
      <w:pPr>
        <w:keepNext/>
        <w:keepLines/>
        <w:spacing w:line="240" w:lineRule="auto" w:before="120" w:after="80"/>
        <w:jc w:val="center"/>
      </w:pPr>
      <w:r>
        <w:drawing>
          <wp:inline xmlns:a="http://schemas.openxmlformats.org/drawingml/2006/main" xmlns:pic="http://schemas.openxmlformats.org/drawingml/2006/picture">
            <wp:extent cx="5400000" cy="2731926"/>
            <wp:docPr id="7" name="Picture 7"/>
            <wp:cNvGraphicFramePr>
              <a:graphicFrameLocks noChangeAspect="1"/>
            </wp:cNvGraphicFramePr>
            <a:graphic>
              <a:graphicData uri="http://schemas.openxmlformats.org/drawingml/2006/picture">
                <pic:pic>
                  <pic:nvPicPr>
                    <pic:cNvPr id="0" name="fig4_1_complexes.png"/>
                    <pic:cNvPicPr/>
                  </pic:nvPicPr>
                  <pic:blipFill>
                    <a:blip r:embed="rId16"/>
                    <a:stretch>
                      <a:fillRect/>
                    </a:stretch>
                  </pic:blipFill>
                  <pic:spPr>
                    <a:xfrm>
                      <a:off x="0" y="0"/>
                      <a:ext cx="5400000" cy="2731926"/>
                    </a:xfrm>
                    <a:prstGeom prst="rect"/>
                  </pic:spPr>
                </pic:pic>
              </a:graphicData>
            </a:graphic>
          </wp:inline>
        </w:drawing>
      </w:r>
    </w:p>
    <w:p>
      <w:pPr>
        <w:keepLines/>
        <w:widowControl/>
        <w:spacing w:line="480" w:lineRule="auto" w:before="0" w:after="240"/>
        <w:ind w:firstLine="0" w:left="0"/>
        <w:jc w:val="center"/>
      </w:pPr>
      <w:bookmarkStart w:id="9" w:name="Figure_4_1"/>
      <w:r>
        <w:rPr>
          <w:rFonts w:ascii="Times New Roman" w:hAnsi="Times New Roman" w:cs="Times New Roman" w:eastAsia="Times New Roman"/>
          <w:b w:val="0"/>
          <w:i w:val="0"/>
          <w:color w:val="000000"/>
          <w:sz w:val="24"/>
        </w:rPr>
        <w:t>Figure 4.1: Optimised adsorption complexes at B3LYP-D3(BJ)/def2-TZVP. Left, vanadic acid (V-PRC); right, water (W-PRC)</w:t>
      </w:r>
      <w:bookmarkEnd w:id="9"/>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4.2 gives selected aluminium–oxygen distances from the converged structures. In V-PRC, vanadic acid formed a close contact with aluminium and the acid-site aluminium–oxygen bond lengthened relative to the isolated cluster. In W-PRC, water remained outside the aluminium coordination sphere. The converged water product showed a longer framework aluminium–oxygen distance and a new short contact to an oxygen from water, consistent with one hydrolysis step in the model.</w:t>
      </w:r>
    </w:p>
    <w:p>
      <w:pPr>
        <w:keepNext/>
        <w:keepLines/>
        <w:widowControl/>
        <w:spacing w:line="480" w:lineRule="auto" w:before="0" w:after="80"/>
        <w:ind w:firstLine="0" w:left="0"/>
        <w:jc w:val="left"/>
      </w:pPr>
      <w:bookmarkStart w:id="10" w:name="Table_4_2"/>
      <w:r>
        <w:rPr>
          <w:rFonts w:ascii="Times New Roman" w:hAnsi="Times New Roman" w:cs="Times New Roman" w:eastAsia="Times New Roman"/>
          <w:b w:val="0"/>
          <w:i w:val="0"/>
          <w:color w:val="000000"/>
          <w:sz w:val="24"/>
        </w:rPr>
        <w:t>Table 4.2: Selected aluminium–oxygen distances in converged DFT structures (Å)</w:t>
      </w:r>
      <w:bookmarkEnd w:id="10"/>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Structure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Nearest Al···O distance to adsorbate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Longest framework Al–O distance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Structural interpretation</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Cluster reference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applicable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1.919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Protonated framework reference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1.947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2.042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Vanadic oxygen approached Al and the acid-site Al–O bond lengthened</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3.529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1.791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Framework Al–O bonds remained short after the first intermediate formed</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3.337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1.885</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 remained outside the Al coordination sphere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1.718</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3.129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Water-derived oxygen approached Al as one framework Al–O bond lengthened</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distances indicate that vanadic acid and water followed different local geometries at the model site. The short V-PRC contact was consistent with direct interaction between a vanadic-acid oxygen and aluminium. The W-P geometry showed that water could also reach a structure with an elongated framework bond, so the geometry comparison did not uniquely identify the operative catalyst mechanism.</w:t>
      </w:r>
    </w:p>
    <w:p>
      <w:pPr>
        <w:pStyle w:val="Heading2"/>
        <w:jc w:val="left"/>
      </w:pPr>
      <w:r>
        <w:rPr>
          <w:rFonts w:ascii="Times New Roman" w:hAnsi="Times New Roman" w:cs="Times New Roman" w:eastAsia="Times New Roman"/>
          <w:b/>
          <w:i w:val="0"/>
          <w:color w:val="000000"/>
          <w:sz w:val="24"/>
        </w:rPr>
        <w:t>4.2 Electronic Adsorption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4.3 compares the adsorption energies obtained at the GFN2-xTB, B3LYP-D3(BJ)/def2-TZVP, and PBE0-D3(BJ)/def2-TZVP levels. The negative values indicate that both molecules formed lower-electronic-energy complexes than the separated cluster and adsorbate. The difference, ΔΔE, was defined as the vanadic-acid adsorption energy minus the water adsorption energy; a negative value therefore favoured vanadic acid.</w:t>
      </w:r>
    </w:p>
    <w:p>
      <w:pPr>
        <w:keepNext/>
        <w:keepLines/>
        <w:widowControl/>
        <w:spacing w:line="480" w:lineRule="auto" w:before="0" w:after="80"/>
        <w:ind w:firstLine="0" w:left="0"/>
        <w:jc w:val="left"/>
      </w:pPr>
      <w:bookmarkStart w:id="11" w:name="Table_4_3"/>
      <w:r>
        <w:rPr>
          <w:rFonts w:ascii="Times New Roman" w:hAnsi="Times New Roman" w:cs="Times New Roman" w:eastAsia="Times New Roman"/>
          <w:b w:val="0"/>
          <w:i w:val="0"/>
          <w:color w:val="000000"/>
          <w:sz w:val="24"/>
        </w:rPr>
        <w:t>Table 4.3: Electronic adsorption energies of vanadic acid and water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1"/>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Level of theory</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3</w:t>
            </w:r>
            <w:r>
              <w:rPr>
                <w:rFonts w:ascii="Times New Roman" w:hAnsi="Times New Roman" w:cs="Times New Roman" w:eastAsia="Times New Roman"/>
                <w:b/>
                <w:i w:val="0"/>
                <w:color w:val="000000"/>
                <w:sz w:val="24"/>
              </w:rPr>
              <w:t>VO</w:t>
            </w:r>
            <w:r>
              <w:rPr>
                <w:rFonts w:ascii="Times New Roman" w:hAnsi="Times New Roman" w:cs="Times New Roman" w:eastAsia="Times New Roman"/>
                <w:b/>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2</w:t>
            </w:r>
            <w:r>
              <w:rPr>
                <w:rFonts w:ascii="Times New Roman" w:hAnsi="Times New Roman" w:cs="Times New Roman" w:eastAsia="Times New Roman"/>
                <w:b/>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ΔΔE = ΔE(H</w:t>
            </w:r>
            <w:r>
              <w:rPr>
                <w:rFonts w:ascii="Times New Roman" w:hAnsi="Times New Roman" w:cs="Times New Roman" w:eastAsia="Times New Roman"/>
                <w:b/>
                <w:i w:val="0"/>
                <w:color w:val="000000"/>
                <w:sz w:val="24"/>
                <w:vertAlign w:val="subscript"/>
              </w:rPr>
              <w:t>3</w:t>
            </w:r>
            <w:r>
              <w:rPr>
                <w:rFonts w:ascii="Times New Roman" w:hAnsi="Times New Roman" w:cs="Times New Roman" w:eastAsia="Times New Roman"/>
                <w:b/>
                <w:i w:val="0"/>
                <w:color w:val="000000"/>
                <w:sz w:val="24"/>
              </w:rPr>
              <w:t>VO</w:t>
            </w:r>
            <w:r>
              <w:rPr>
                <w:rFonts w:ascii="Times New Roman" w:hAnsi="Times New Roman" w:cs="Times New Roman" w:eastAsia="Times New Roman"/>
                <w:b/>
                <w:i w:val="0"/>
                <w:color w:val="000000"/>
                <w:sz w:val="24"/>
                <w:vertAlign w:val="subscript"/>
              </w:rPr>
              <w:t>4</w:t>
            </w:r>
            <w:r>
              <w:rPr>
                <w:rFonts w:ascii="Times New Roman" w:hAnsi="Times New Roman" w:cs="Times New Roman" w:eastAsia="Times New Roman"/>
                <w:b/>
                <w:i w:val="0"/>
                <w:color w:val="000000"/>
                <w:sz w:val="24"/>
              </w:rPr>
              <w:t>) − ΔE(H</w:t>
            </w:r>
            <w:r>
              <w:rPr>
                <w:rFonts w:ascii="Times New Roman" w:hAnsi="Times New Roman" w:cs="Times New Roman" w:eastAsia="Times New Roman"/>
                <w:b/>
                <w:i w:val="0"/>
                <w:color w:val="000000"/>
                <w:sz w:val="24"/>
                <w:vertAlign w:val="subscript"/>
              </w:rPr>
              <w:t>2</w:t>
            </w:r>
            <w:r>
              <w:rPr>
                <w:rFonts w:ascii="Times New Roman" w:hAnsi="Times New Roman" w:cs="Times New Roman" w:eastAsia="Times New Roman"/>
                <w:b/>
                <w:i w:val="0"/>
                <w:color w:val="000000"/>
                <w:sz w:val="24"/>
              </w:rPr>
              <w:t>O)</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GFN2-xTB</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−196.9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−69.6</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−127.3</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B3LYP-D3(BJ)/def2-TZVP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−93.01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−78.32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−14.69</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PBE0-D3(BJ)/def2-TZVP, single point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−93.07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−78.62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−14.44</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Both DFT methods predicted more negative electronic adsorption energy for vanadic acid than for water. Their close agreement showed that the relative ordering was stable to the functional change, although it did not establish the absolute accuracy of either method. The DFT comparison therefore supported a modest electronic binding preference for vanadic acid at this cluster site.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GFN2-xTB predicted a much larger vanadic-acid preference than either DFT calculation. It was useful for generating starting geometries and screening candidate structures, but its adsorption-energy difference was not suitable as the final quantitative result. The DFT adsorption energies were not counterpoise-corrected because the fragment calculations did not produce a complete correction; the values in Table 4.3 are therefore uncorrected electronic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4.4 shows the relative electronic energies of the two converged post-adsorption minima. V-I1 and W-P lay below their respective separated cluster-and-adsorbate references at all three levels. The two pathways use separate reference energies, so the values should not be compared as a direct reaction barrier. The larger GFN2-xTB stabilization of V-I1 than the DFT estimates also shows why the semi-empirical values were used for screening rather than quantitative pathway energetics.</w:t>
      </w:r>
    </w:p>
    <w:p>
      <w:pPr>
        <w:keepNext/>
        <w:keepLines/>
        <w:widowControl/>
        <w:spacing w:line="480" w:lineRule="auto" w:before="0" w:after="80"/>
        <w:ind w:firstLine="0" w:left="0"/>
        <w:jc w:val="left"/>
      </w:pPr>
      <w:bookmarkStart w:id="12" w:name="Table_4_4"/>
      <w:r>
        <w:rPr>
          <w:rFonts w:ascii="Times New Roman" w:hAnsi="Times New Roman" w:cs="Times New Roman" w:eastAsia="Times New Roman"/>
          <w:b w:val="0"/>
          <w:i w:val="0"/>
          <w:color w:val="000000"/>
          <w:sz w:val="24"/>
        </w:rPr>
        <w:t>Table 4.4: Relative electronic energies of converged post-adsorption minima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2"/>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GFN2-xTB</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B3LYP-D3(BJ)/def2-TZVP</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PBE0-D3(BJ)/def2-TZVP single point</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−385.1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−115.38</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−120.13</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−65.9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−24.02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−22.88</w:t>
            </w:r>
          </w:p>
        </w:tc>
      </w:tr>
    </w:tbl>
    <w:p>
      <w:pPr>
        <w:spacing w:after="160"/>
      </w:pPr>
    </w:p>
    <w:p>
      <w:pPr>
        <w:pStyle w:val="Heading2"/>
        <w:jc w:val="left"/>
      </w:pPr>
      <w:r>
        <w:rPr>
          <w:rFonts w:ascii="Times New Roman" w:hAnsi="Times New Roman" w:cs="Times New Roman" w:eastAsia="Times New Roman"/>
          <w:b/>
          <w:i w:val="0"/>
          <w:color w:val="000000"/>
          <w:sz w:val="24"/>
        </w:rPr>
        <w:t>4.3 Transition-State Assessment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pathway searches produced one accepted GFN2-xTB saddle-point candidate for the first Al–O cleavage step in the vanadic-acid route. Table 4.5 summarises this result alongside the water-hydrolysis candidate. The vanadic-acid candidate passed the Tier 1 frequency and two-sided displacement checks, so it provided a screening-level barrier for the model. The water candidate did not pass the displacement test because both displaced structures returned to the pre-reaction complex.</w:t>
      </w:r>
    </w:p>
    <w:p>
      <w:pPr>
        <w:keepNext/>
        <w:keepLines/>
        <w:widowControl/>
        <w:spacing w:line="480" w:lineRule="auto" w:before="0" w:after="80"/>
        <w:ind w:firstLine="0" w:left="0"/>
        <w:jc w:val="left"/>
      </w:pPr>
      <w:bookmarkStart w:id="13" w:name="Table_4_5"/>
      <w:r>
        <w:rPr>
          <w:rFonts w:ascii="Times New Roman" w:hAnsi="Times New Roman" w:cs="Times New Roman" w:eastAsia="Times New Roman"/>
          <w:b w:val="0"/>
          <w:i w:val="0"/>
          <w:color w:val="000000"/>
          <w:sz w:val="24"/>
        </w:rPr>
        <w:t>Table 4.5: Transition-state search results for the first framework Al–O cleavage steps</w:t>
      </w:r>
      <w:bookmarkEnd w:id="13"/>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Route and step</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GFN2-xTB result</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DFT assessment</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 to V-I2</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Tier 1 candidate, one imaginary mode at −78.21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barrier of 160.70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V-I1</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DFT refinement did not retain first-order saddle-point character, as summarised in Table 4.1</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 to W-P</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Candidate with one imaginary mode at −226.10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barrier of 29.29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W-PRC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Two-sided displacement returned to W-PRC, so the candidate was not accepted and was not refined at DFT</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Tier 1 result showed that the GFN2-xTB search could locate a saddle-point candidate for the vanadic-acid cleavage step. Its DFT refinement did not retain first-order saddle-point character, so the GFN2-xTB barrier could not be treated as a DFT activation barrier. No validated DFT barrier was obtained for the water step. The calculations therefore established a useful screening result, but not a DFT comparison of reaction rates.</w:t>
      </w:r>
    </w:p>
    <w:p>
      <w:pPr>
        <w:pStyle w:val="Heading2"/>
        <w:jc w:val="left"/>
      </w:pPr>
      <w:r>
        <w:rPr>
          <w:rFonts w:ascii="Times New Roman" w:hAnsi="Times New Roman" w:cs="Times New Roman" w:eastAsia="Times New Roman"/>
          <w:b/>
          <w:i w:val="0"/>
          <w:color w:val="000000"/>
          <w:sz w:val="24"/>
        </w:rPr>
        <w:t>4.4 Harmonic Gibbs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4.6 gives the harmonic Gibbs free energies of the accepted minima relative to the separated cluster and adsorbate. At both temperatures, the free-energy ordering differed from the electronic adsorption-energy ordering: the model favoured water adsorption after thermal corrections were included. The separation between the two pre-reaction complexes was larger at the regenerator temperature than at room temperature. At 1003.15 K, both pre-reaction complexes lay above their separated gas-phase references, so the model predicted unfavourable gas-phase adsorption at that temperature.</w:t>
      </w:r>
    </w:p>
    <w:p>
      <w:pPr>
        <w:keepNext/>
        <w:keepLines/>
        <w:widowControl/>
        <w:spacing w:line="480" w:lineRule="auto" w:before="0" w:after="80"/>
        <w:ind w:firstLine="0" w:left="0"/>
        <w:jc w:val="left"/>
      </w:pPr>
      <w:bookmarkStart w:id="14" w:name="Table_4_6"/>
      <w:r>
        <w:rPr>
          <w:rFonts w:ascii="Times New Roman" w:hAnsi="Times New Roman" w:cs="Times New Roman" w:eastAsia="Times New Roman"/>
          <w:b w:val="0"/>
          <w:i w:val="0"/>
          <w:color w:val="000000"/>
          <w:sz w:val="24"/>
        </w:rPr>
        <w:t>Table 4.6: Harmonic Gibbs free energies relative to the separated cluster and adsorbate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4"/>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ΔG at 298.15 K</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ΔG at 1003.15 K</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−17.0</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+133.4</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−35.8</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+108.3</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−28.9</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+67.0</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+30.8</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+132.7</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These results show why an electronic adsorption energy should not be substituted for a Gibbs free energy in a high-temperature site-occupation calculation. The harmonic thermochemistry incorporated temperature-dependent contributions that changed the relative preference. The calculation nevertheless treated the adsorbed complex as an ideal-gas species and did not include pore confinement, so its Gibbs energies were not a definitive description of a working RFCC catalyst.</w:t>
      </w:r>
    </w:p>
    <w:p>
      <w:pPr>
        <w:pStyle w:val="Heading2"/>
        <w:jc w:val="left"/>
      </w:pPr>
      <w:r>
        <w:rPr>
          <w:rFonts w:ascii="Times New Roman" w:hAnsi="Times New Roman" w:cs="Times New Roman" w:eastAsia="Times New Roman"/>
          <w:b/>
          <w:i w:val="0"/>
          <w:color w:val="000000"/>
          <w:sz w:val="24"/>
        </w:rPr>
        <w:t>4.5 Conditional Competitive Site-Occupation Estimate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Gibbs energies of V-PRC and W-PRC were combined with the reported gas partial pressures to calculate a formal competitive-site estimate at 1003.15 K. Table 4.7 gives the resulting equilibrium constants and site fractions under the single-site Langmuir expression described in Section 3.5. Under these assumptions, water had the larger adsorption term because its harmonic Gibbs energy was more favourable and its partial pressure was much higher. The calculation therefore predicted a very small vanadic-acid fraction for the assumed gas composition.</w:t>
      </w:r>
    </w:p>
    <w:p>
      <w:pPr>
        <w:keepNext/>
        <w:keepLines/>
        <w:widowControl/>
        <w:spacing w:line="480" w:lineRule="auto" w:before="0" w:after="80"/>
        <w:ind w:firstLine="0" w:left="0"/>
        <w:jc w:val="left"/>
      </w:pPr>
      <w:bookmarkStart w:id="15" w:name="Table_4_7"/>
      <w:r>
        <w:rPr>
          <w:rFonts w:ascii="Times New Roman" w:hAnsi="Times New Roman" w:cs="Times New Roman" w:eastAsia="Times New Roman"/>
          <w:b w:val="0"/>
          <w:i w:val="0"/>
          <w:color w:val="000000"/>
          <w:sz w:val="24"/>
        </w:rPr>
        <w:t>Table 4.7: Formal single-site occupation estimate at 1003.15 K</w:t>
      </w:r>
      <w:bookmarkEnd w:id="15"/>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Species or ratio</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K° at 1003.15 K</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Partial pressure p/p°</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Calculated site fraction or ratio</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1.13 × 10</w:t>
            </w:r>
            <w:r>
              <w:rPr>
                <w:rFonts w:ascii="Times New Roman" w:hAnsi="Times New Roman" w:cs="Times New Roman" w:eastAsia="Times New Roman"/>
                <w:b w:val="0"/>
                <w:i w:val="0"/>
                <w:color w:val="000000"/>
                <w:sz w:val="24"/>
                <w:vertAlign w:val="superscript"/>
              </w:rPr>
              <w:t>-7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to 2 × 10</w:t>
            </w:r>
            <w:r>
              <w:rPr>
                <w:rFonts w:ascii="Times New Roman" w:hAnsi="Times New Roman" w:cs="Times New Roman" w:eastAsia="Times New Roman"/>
                <w:b w:val="0"/>
                <w:i w:val="0"/>
                <w:color w:val="000000"/>
                <w:sz w:val="24"/>
                <w:vertAlign w:val="superscript"/>
              </w:rPr>
              <w:t>-5</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2.27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to 2.27 × 10</w:t>
            </w:r>
            <w:r>
              <w:rPr>
                <w:rFonts w:ascii="Times New Roman" w:hAnsi="Times New Roman" w:cs="Times New Roman" w:eastAsia="Times New Roman"/>
                <w:b w:val="0"/>
                <w:i w:val="0"/>
                <w:color w:val="000000"/>
                <w:sz w:val="24"/>
                <w:vertAlign w:val="superscript"/>
              </w:rPr>
              <w:t>-12</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3.23 × 10</w:t>
            </w:r>
            <w:r>
              <w:rPr>
                <w:rFonts w:ascii="Times New Roman" w:hAnsi="Times New Roman" w:cs="Times New Roman" w:eastAsia="Times New Roman"/>
                <w:b w:val="0"/>
                <w:i w:val="0"/>
                <w:color w:val="000000"/>
                <w:sz w:val="24"/>
                <w:vertAlign w:val="super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1.29 × 10</w:t>
            </w:r>
            <w:r>
              <w:rPr>
                <w:rFonts w:ascii="Times New Roman" w:hAnsi="Times New Roman" w:cs="Times New Roman" w:eastAsia="Times New Roman"/>
                <w:b w:val="0"/>
                <w:i w:val="0"/>
                <w:color w:val="000000"/>
                <w:sz w:val="24"/>
                <w:vertAlign w:val="superscript"/>
              </w:rPr>
              <w:t>-4</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applicable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Not applicable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formal estimate quantified the effect of the specified partial pressures and harmonic free energies; it did not establish the actual site population in an operating catalyst. The calculation assumed an ideal-gas standard state, one equivalent site, and no interactions between adsorbed molecules. The local cluster and harmonic treatment did not include pore confinement, local enrichment of vanadic acid, or anharmonic effects. The calculated ratio should therefore be interpreted as a conditional comparison of thermal and pressure terms, not as a measured or definitive equilibrium prediction.</w:t>
      </w:r>
    </w:p>
    <w:p>
      <w:pPr>
        <w:pStyle w:val="Heading2"/>
        <w:jc w:val="left"/>
      </w:pPr>
      <w:r>
        <w:rPr>
          <w:rFonts w:ascii="Times New Roman" w:hAnsi="Times New Roman" w:cs="Times New Roman" w:eastAsia="Times New Roman"/>
          <w:b/>
          <w:i w:val="0"/>
          <w:color w:val="000000"/>
          <w:sz w:val="24"/>
        </w:rPr>
        <w:t>4.6 Implications for the Proposed Mechanisms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model's electronic-energy preference for vanadic acid was consistent with a direct interaction at the acid site, but it did not demonstrate that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drove framework dealumination. Under the stated pressure range, the conditional high-temperature estimate favoured water occupation, showing that thermal corrections and gas composition changed the comparison. These results neither verified nor excluded the vanadic-acid route discussed by Wormsbecher et al. (1986) and Trujillo et al. (1997). They also did not rule out Pine's (1990) steam-driven explanation or Xu et al.'s (2002) sodium-mediated pathway.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GFN2-xTB saddle-point candidate provided a starting point for further work, while the DFT frequency analysis showed that the same candidate was not a validated DFT transition state. Adsorption and conditional site occupation do not determine a reaction rate without a reliable activation barrier. The calculations therefore clarified the model's relative binding and thermochemical predictions but did not establish which mechanism controlled catalyst dealumination.</w:t>
      </w:r>
    </w:p>
    <w:p>
      <w:pPr>
        <w:pStyle w:val="Heading1"/>
        <w:pageBreakBefore/>
        <w:jc w:val="left"/>
      </w:pPr>
      <w:r>
        <w:rPr>
          <w:rFonts w:ascii="Times New Roman" w:hAnsi="Times New Roman" w:cs="Times New Roman" w:eastAsia="Times New Roman"/>
          <w:b/>
          <w:i w:val="0"/>
          <w:color w:val="000000"/>
          <w:sz w:val="24"/>
        </w:rPr>
        <w:t>5.0 CONCLUSIONS AND RECOMMENDATIONS</w:t>
      </w:r>
    </w:p>
    <w:p>
      <w:pPr>
        <w:pStyle w:val="Heading2"/>
        <w:jc w:val="left"/>
      </w:pPr>
      <w:r>
        <w:rPr>
          <w:rFonts w:ascii="Times New Roman" w:hAnsi="Times New Roman" w:cs="Times New Roman" w:eastAsia="Times New Roman"/>
          <w:b/>
          <w:i w:val="0"/>
          <w:color w:val="000000"/>
          <w:sz w:val="24"/>
        </w:rPr>
        <w:t>5.1 Summary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study compared vanadic acid and water at a model Zeolite Y Brønsted acid site. A 22-atom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cluster was screened with GFN2-xTB and refined with B3LYP-D3(BJ)/def2-TZVP; PBE0 single-point calculations checked the electronic-energy comparison. The study also assessed a GFN2-xTB transition-state candidate and calculated harmonic Gibbs energies and a conditional site-occupation estimate.</w:t>
      </w:r>
    </w:p>
    <w:p>
      <w:pPr>
        <w:pStyle w:val="Heading2"/>
        <w:jc w:val="left"/>
      </w:pPr>
      <w:r>
        <w:rPr>
          <w:rFonts w:ascii="Times New Roman" w:hAnsi="Times New Roman" w:cs="Times New Roman" w:eastAsia="Times New Roman"/>
          <w:b/>
          <w:i w:val="0"/>
          <w:color w:val="000000"/>
          <w:sz w:val="24"/>
        </w:rPr>
        <w:t>5.2 Conclusions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conclusions follow the four objectives in the order used in the methodology and results chapters: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A local cluster containing one framework aluminium atom and four silicon atoms represented the Zeolite Y acid site. Optimised vanadic-acid and water complexes were obtained at this site, and selected aluminium–oxygen distances showed distinct local geometries for the two adsorbates.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B3LYP-D3(BJ)/def2-TZVP predicted that vanadic acid had a more negative electronic adsorption energy than water, with a relative preference of 14.69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PBE0 single-point calculations gave a similar preference of 14.44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while GFN2-xTB predicted a much larger difference. The two DFT estimates therefore supported a modest, method-consistent electronic binding preference for vanadic acid in this cluster model.</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The GFN2-xTB search produced an accepted screening-level saddle-point candidate for the first vanadic-acid Al–O cleavage step, with a barrier of 160.70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V-I1. Its DFT refinement did not retain first-order saddle-point character, and the water-path candidate failed the two-sided displacement check. The calculations therefore did not establish a validated DFT activation barrier or permit a DFT rate comparison.</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Harmonic Gibbs energies favoured water over vanadic acid at both 298.15 K and 1003.15 K, reversing the electronic adsorption-energy ordering. Under the assumed regenerator partial pressures, the formal ideal-gas single-site calculation gave a water-to-vanadic-acid occupation ratio of about 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 This result was conditional on the gas-phase harmonic and Langmuir assumptions and was not a definitive prediction of real catalyst occupancy.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Overall, the study established an electronic binding preference for vanadic acid but did not demonstrate that vanadic acid was the principal cause of framework dealumination. The thermochemical estimate highlighted the importance of steam abundance and thermal corrections, while the pathway assessment showed that DFT transition-state validation remained necessary before reaction rates could be compared.</w:t>
      </w:r>
    </w:p>
    <w:p>
      <w:pPr>
        <w:pStyle w:val="Heading2"/>
        <w:jc w:val="left"/>
      </w:pPr>
      <w:r>
        <w:rPr>
          <w:rFonts w:ascii="Times New Roman" w:hAnsi="Times New Roman" w:cs="Times New Roman" w:eastAsia="Times New Roman"/>
          <w:b/>
          <w:i w:val="0"/>
          <w:color w:val="000000"/>
          <w:sz w:val="24"/>
        </w:rPr>
        <w:t>5.3 Contribution to Knowledge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study provided a like-for-like DFT comparison of vanadic-acid and water adsorption at the same local Zeolite Y acid site. It separated electronic adsorption energies from harmonic Gibbs energies and showed that the two measures gave different relative preferences. It also reported a conditional competitive-site calculation and distinguished a GFN2-xTB screening saddle point from a validated DFT activation barrier.</w:t>
      </w:r>
    </w:p>
    <w:p>
      <w:pPr>
        <w:pStyle w:val="Heading2"/>
        <w:jc w:val="left"/>
      </w:pPr>
      <w:r>
        <w:rPr>
          <w:rFonts w:ascii="Times New Roman" w:hAnsi="Times New Roman" w:cs="Times New Roman" w:eastAsia="Times New Roman"/>
          <w:b/>
          <w:i w:val="0"/>
          <w:color w:val="000000"/>
          <w:sz w:val="24"/>
        </w:rPr>
        <w:t>5.4 Recommendations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Expand the cluster or use a periodic Zeolite Y model that includes pore confinement, explicit water, and the local electrostatic environment. This would improve the structural basis for the adsorption comparison and the thermochemical site-occupation estimate.</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Complete a consistent counterpoise correction for both adsorbates and compare the corrected and uncorrected adsorption energies. This would establish how much basis-set-superposition error affects the electronic-energy margin.</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Refine the accepted GFN2-xTB saddle-point candidate with improved DFT starting geometries and verify the resulting mode by two-sided displacement or a reaction-path calculation. Search for and validate the corresponding water-path transition state using the same acceptance criteria.</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Include exchangeable sodium and other relevant vanadium species in a follow-up model and compare the resulting predictions with measurements on steamed, vanadium-contaminated catalyst. Recalculate the formal site-occupation estimate using the improved model before treating it as a prediction for catalyst operation.</w:t>
      </w:r>
    </w:p>
    <w:p>
      <w:pPr>
        <w:pStyle w:val="Heading1"/>
        <w:pageBreakBefore/>
        <w:jc w:val="left"/>
      </w:pPr>
      <w:r>
        <w:rPr>
          <w:rFonts w:ascii="Times New Roman" w:hAnsi="Times New Roman" w:cs="Times New Roman" w:eastAsia="Times New Roman"/>
          <w:b/>
          <w:i w:val="0"/>
          <w:color w:val="000000"/>
          <w:sz w:val="24"/>
        </w:rPr>
        <w:t>REFERENCES</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Adamo, C., &amp; Barone, V. (1999). Toward reliable density functional methods without adjustable parameters: The PBE0 model. </w:t>
      </w:r>
      <w:r>
        <w:rPr>
          <w:rFonts w:ascii="Times New Roman" w:hAnsi="Times New Roman" w:cs="Times New Roman" w:eastAsia="Times New Roman"/>
          <w:b w:val="0"/>
          <w:i/>
          <w:color w:val="000000"/>
          <w:sz w:val="24"/>
        </w:rPr>
        <w:t>The Journal of Chemical Physics, 110</w:t>
      </w:r>
      <w:r>
        <w:rPr>
          <w:rFonts w:ascii="Times New Roman" w:hAnsi="Times New Roman" w:cs="Times New Roman" w:eastAsia="Times New Roman"/>
          <w:b w:val="0"/>
          <w:i w:val="0"/>
          <w:color w:val="000000"/>
          <w:sz w:val="24"/>
        </w:rPr>
        <w:t>(13), 6158–6170. https://doi.org/10.1063/1.478522</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Adanenche, D. E., Aliyu, A., Atta, A. Y., &amp; El-Yakubu, B. J. (2023). Residue fluid catalytic cracking: A review on the mitigation strategies of metal poisoning of RFCC catalyst using metal passivators/traps. </w:t>
      </w:r>
      <w:r>
        <w:rPr>
          <w:rFonts w:ascii="Times New Roman" w:hAnsi="Times New Roman" w:cs="Times New Roman" w:eastAsia="Times New Roman"/>
          <w:b w:val="0"/>
          <w:i/>
          <w:color w:val="000000"/>
          <w:sz w:val="24"/>
        </w:rPr>
        <w:t>Fuel, 343</w:t>
      </w:r>
      <w:r>
        <w:rPr>
          <w:rFonts w:ascii="Times New Roman" w:hAnsi="Times New Roman" w:cs="Times New Roman" w:eastAsia="Times New Roman"/>
          <w:b w:val="0"/>
          <w:i w:val="0"/>
          <w:color w:val="000000"/>
          <w:sz w:val="24"/>
        </w:rPr>
        <w:t>, 127894. https://doi.org/10.1016/j.fuel.2023.127894</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Bannwarth, C., Ehlert, S., &amp; Grimme, S. (2019). GFN2-xTB: An accurate and broadly parametrized self-consistent tight-binding quantum chemical method with multipole electrostatics and density-dependent dispersion contributions. </w:t>
      </w:r>
      <w:r>
        <w:rPr>
          <w:rFonts w:ascii="Times New Roman" w:hAnsi="Times New Roman" w:cs="Times New Roman" w:eastAsia="Times New Roman"/>
          <w:b w:val="0"/>
          <w:i/>
          <w:color w:val="000000"/>
          <w:sz w:val="24"/>
        </w:rPr>
        <w:t>Journal of Chemical Theory and Computation, 15</w:t>
      </w:r>
      <w:r>
        <w:rPr>
          <w:rFonts w:ascii="Times New Roman" w:hAnsi="Times New Roman" w:cs="Times New Roman" w:eastAsia="Times New Roman"/>
          <w:b w:val="0"/>
          <w:i w:val="0"/>
          <w:color w:val="000000"/>
          <w:sz w:val="24"/>
        </w:rPr>
        <w:t>(3), 1652–1671. https://doi.org/10.1021/acs.jctc.8b01176</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Becke, A. D. (1993). Density-functional thermochemistry. III. The role of exact exchange. </w:t>
      </w:r>
      <w:r>
        <w:rPr>
          <w:rFonts w:ascii="Times New Roman" w:hAnsi="Times New Roman" w:cs="Times New Roman" w:eastAsia="Times New Roman"/>
          <w:b w:val="0"/>
          <w:i/>
          <w:color w:val="000000"/>
          <w:sz w:val="24"/>
        </w:rPr>
        <w:t>The Journal of Chemical Physics, 98</w:t>
      </w:r>
      <w:r>
        <w:rPr>
          <w:rFonts w:ascii="Times New Roman" w:hAnsi="Times New Roman" w:cs="Times New Roman" w:eastAsia="Times New Roman"/>
          <w:b w:val="0"/>
          <w:i w:val="0"/>
          <w:color w:val="000000"/>
          <w:sz w:val="24"/>
        </w:rPr>
        <w:t>(7), 5648–5652. https://doi.org/10.1063/1.464913</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Etim, U. J., Xu, B., Ullah, R., &amp; Yan, Z. (2016). Effect of vanadium contamination on the framework and micropore structure of ultra stable Y-zeolite. </w:t>
      </w:r>
      <w:r>
        <w:rPr>
          <w:rFonts w:ascii="Times New Roman" w:hAnsi="Times New Roman" w:cs="Times New Roman" w:eastAsia="Times New Roman"/>
          <w:b w:val="0"/>
          <w:i/>
          <w:color w:val="000000"/>
          <w:sz w:val="24"/>
        </w:rPr>
        <w:t>Journal of Colloid and Interface Science, 463</w:t>
      </w:r>
      <w:r>
        <w:rPr>
          <w:rFonts w:ascii="Times New Roman" w:hAnsi="Times New Roman" w:cs="Times New Roman" w:eastAsia="Times New Roman"/>
          <w:b w:val="0"/>
          <w:i w:val="0"/>
          <w:color w:val="000000"/>
          <w:sz w:val="24"/>
        </w:rPr>
        <w:t>, 188–198. https://doi.org/10.1016/j.jcis.2015.10.049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Etim, U. J., Bai, P., Ullah, R., Subhan, F., &amp; Yan, Z. (2018). Vanadium contamination of FCC catalyst: Understanding the destruction and passivation mechanisms. </w:t>
      </w:r>
      <w:r>
        <w:rPr>
          <w:rFonts w:ascii="Times New Roman" w:hAnsi="Times New Roman" w:cs="Times New Roman" w:eastAsia="Times New Roman"/>
          <w:b w:val="0"/>
          <w:i/>
          <w:color w:val="000000"/>
          <w:sz w:val="24"/>
        </w:rPr>
        <w:t>Applied Catalysis A: General, 555</w:t>
      </w:r>
      <w:r>
        <w:rPr>
          <w:rFonts w:ascii="Times New Roman" w:hAnsi="Times New Roman" w:cs="Times New Roman" w:eastAsia="Times New Roman"/>
          <w:b w:val="0"/>
          <w:i w:val="0"/>
          <w:color w:val="000000"/>
          <w:sz w:val="24"/>
        </w:rPr>
        <w:t>, 108–117. https://doi.org/10.1016/j.apcata.2018.02.011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Grimme, S., Ehrlich, S., &amp; Goerigk, L. (2011). Effect of the damping function in dispersion corrected density functional theory. </w:t>
      </w:r>
      <w:r>
        <w:rPr>
          <w:rFonts w:ascii="Times New Roman" w:hAnsi="Times New Roman" w:cs="Times New Roman" w:eastAsia="Times New Roman"/>
          <w:b w:val="0"/>
          <w:i/>
          <w:color w:val="000000"/>
          <w:sz w:val="24"/>
        </w:rPr>
        <w:t>Journal of Computational Chemistry, 32</w:t>
      </w:r>
      <w:r>
        <w:rPr>
          <w:rFonts w:ascii="Times New Roman" w:hAnsi="Times New Roman" w:cs="Times New Roman" w:eastAsia="Times New Roman"/>
          <w:b w:val="0"/>
          <w:i w:val="0"/>
          <w:color w:val="000000"/>
          <w:sz w:val="24"/>
        </w:rPr>
        <w:t>(7), 1456–1465. https://doi.org/10.1002/jcc.21759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Henkelman, G., &amp; Jónsson, H. (2000). Improved tangent estimate in the nudged elastic band method for finding minimum energy paths and saddle points. </w:t>
      </w:r>
      <w:r>
        <w:rPr>
          <w:rFonts w:ascii="Times New Roman" w:hAnsi="Times New Roman" w:cs="Times New Roman" w:eastAsia="Times New Roman"/>
          <w:b w:val="0"/>
          <w:i/>
          <w:color w:val="000000"/>
          <w:sz w:val="24"/>
        </w:rPr>
        <w:t>The Journal of Chemical Physics, 113</w:t>
      </w:r>
      <w:r>
        <w:rPr>
          <w:rFonts w:ascii="Times New Roman" w:hAnsi="Times New Roman" w:cs="Times New Roman" w:eastAsia="Times New Roman"/>
          <w:b w:val="0"/>
          <w:i w:val="0"/>
          <w:color w:val="000000"/>
          <w:sz w:val="24"/>
        </w:rPr>
        <w:t>(22), 9978–9985.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Lee, C., Yang, W., &amp; Parr, R. G. (1988). Development of the Colle-Salvetti correlation-energy formula into a functional of the electron density. </w:t>
      </w:r>
      <w:r>
        <w:rPr>
          <w:rFonts w:ascii="Times New Roman" w:hAnsi="Times New Roman" w:cs="Times New Roman" w:eastAsia="Times New Roman"/>
          <w:b w:val="0"/>
          <w:i/>
          <w:color w:val="000000"/>
          <w:sz w:val="24"/>
        </w:rPr>
        <w:t>Physical Review B, 37</w:t>
      </w:r>
      <w:r>
        <w:rPr>
          <w:rFonts w:ascii="Times New Roman" w:hAnsi="Times New Roman" w:cs="Times New Roman" w:eastAsia="Times New Roman"/>
          <w:b w:val="0"/>
          <w:i w:val="0"/>
          <w:color w:val="000000"/>
          <w:sz w:val="24"/>
        </w:rPr>
        <w:t>(2), 785–789. https://doi.org/10.1103/PhysRevB.37.785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Malola, S., Svelle, S., Lønstad Bleken, F., &amp; Swang, O. (2012). Detailed reaction paths for zeolite dealumination and desilication from density functional calculations. </w:t>
      </w:r>
      <w:r>
        <w:rPr>
          <w:rFonts w:ascii="Times New Roman" w:hAnsi="Times New Roman" w:cs="Times New Roman" w:eastAsia="Times New Roman"/>
          <w:b w:val="0"/>
          <w:i/>
          <w:color w:val="000000"/>
          <w:sz w:val="24"/>
        </w:rPr>
        <w:t>Angewandte Chemie International Edition, 51</w:t>
      </w:r>
      <w:r>
        <w:rPr>
          <w:rFonts w:ascii="Times New Roman" w:hAnsi="Times New Roman" w:cs="Times New Roman" w:eastAsia="Times New Roman"/>
          <w:b w:val="0"/>
          <w:i w:val="0"/>
          <w:color w:val="000000"/>
          <w:sz w:val="24"/>
        </w:rPr>
        <w:t>(3), 652–655. https://doi.org/10.1002/anie.201104462</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Mitchell, B. R. (1980). Metal contamination of cracking catalysts. 1. Synthetic metals deposition on fresh catalysts. </w:t>
      </w:r>
      <w:r>
        <w:rPr>
          <w:rFonts w:ascii="Times New Roman" w:hAnsi="Times New Roman" w:cs="Times New Roman" w:eastAsia="Times New Roman"/>
          <w:b w:val="0"/>
          <w:i/>
          <w:color w:val="000000"/>
          <w:sz w:val="24"/>
        </w:rPr>
        <w:t>Industrial &amp; Engineering Chemistry Product Research and Development, 19</w:t>
      </w:r>
      <w:r>
        <w:rPr>
          <w:rFonts w:ascii="Times New Roman" w:hAnsi="Times New Roman" w:cs="Times New Roman" w:eastAsia="Times New Roman"/>
          <w:b w:val="0"/>
          <w:i w:val="0"/>
          <w:color w:val="000000"/>
          <w:sz w:val="24"/>
        </w:rPr>
        <w:t>(2), 209–213. https://doi.org/10.1021/i360074a015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Neese, F. (2025). Software update: The ORCA program system: Version 6.0. </w:t>
      </w:r>
      <w:r>
        <w:rPr>
          <w:rFonts w:ascii="Times New Roman" w:hAnsi="Times New Roman" w:cs="Times New Roman" w:eastAsia="Times New Roman"/>
          <w:b w:val="0"/>
          <w:i/>
          <w:color w:val="000000"/>
          <w:sz w:val="24"/>
        </w:rPr>
        <w:t>Wiley Interdisciplinary Reviews: Computational Molecular Science, 15</w:t>
      </w:r>
      <w:r>
        <w:rPr>
          <w:rFonts w:ascii="Times New Roman" w:hAnsi="Times New Roman" w:cs="Times New Roman" w:eastAsia="Times New Roman"/>
          <w:b w:val="0"/>
          <w:i w:val="0"/>
          <w:color w:val="000000"/>
          <w:sz w:val="24"/>
        </w:rPr>
        <w:t>, e70019. https://doi.org/10.1002/wcms.70019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Occelli, M. L. (1991). Vanadium-zeolite interactions in fluidized cracking catalysts. </w:t>
      </w:r>
      <w:r>
        <w:rPr>
          <w:rFonts w:ascii="Times New Roman" w:hAnsi="Times New Roman" w:cs="Times New Roman" w:eastAsia="Times New Roman"/>
          <w:b w:val="0"/>
          <w:i/>
          <w:color w:val="000000"/>
          <w:sz w:val="24"/>
        </w:rPr>
        <w:t>Catalysis Reviews: Science and Engineering, 33</w:t>
      </w:r>
      <w:r>
        <w:rPr>
          <w:rFonts w:ascii="Times New Roman" w:hAnsi="Times New Roman" w:cs="Times New Roman" w:eastAsia="Times New Roman"/>
          <w:b w:val="0"/>
          <w:i w:val="0"/>
          <w:color w:val="000000"/>
          <w:sz w:val="24"/>
        </w:rPr>
        <w:t>(3–4), 241–280. https://doi.org/10.1080/01614949108020301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Pine, L. A. (1990). Vanadium-catalyzed destruction of USY zeolites. </w:t>
      </w:r>
      <w:r>
        <w:rPr>
          <w:rFonts w:ascii="Times New Roman" w:hAnsi="Times New Roman" w:cs="Times New Roman" w:eastAsia="Times New Roman"/>
          <w:b w:val="0"/>
          <w:i/>
          <w:color w:val="000000"/>
          <w:sz w:val="24"/>
        </w:rPr>
        <w:t>Journal of Catalysis, 125</w:t>
      </w:r>
      <w:r>
        <w:rPr>
          <w:rFonts w:ascii="Times New Roman" w:hAnsi="Times New Roman" w:cs="Times New Roman" w:eastAsia="Times New Roman"/>
          <w:b w:val="0"/>
          <w:i w:val="0"/>
          <w:color w:val="000000"/>
          <w:sz w:val="24"/>
        </w:rPr>
        <w:t>(2), 514–524. https://doi.org/10.1016/0021-9517(90)90323-C</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Silaghi, M.-C., Chizallet, C., Sauer, J., &amp; Raybaud, P. (2016). Dealumination mechanisms of zeolites and extra-framework aluminum confinement. </w:t>
      </w:r>
      <w:r>
        <w:rPr>
          <w:rFonts w:ascii="Times New Roman" w:hAnsi="Times New Roman" w:cs="Times New Roman" w:eastAsia="Times New Roman"/>
          <w:b w:val="0"/>
          <w:i/>
          <w:color w:val="000000"/>
          <w:sz w:val="24"/>
        </w:rPr>
        <w:t>Journal of Catalysis, 339</w:t>
      </w:r>
      <w:r>
        <w:rPr>
          <w:rFonts w:ascii="Times New Roman" w:hAnsi="Times New Roman" w:cs="Times New Roman" w:eastAsia="Times New Roman"/>
          <w:b w:val="0"/>
          <w:i w:val="0"/>
          <w:color w:val="000000"/>
          <w:sz w:val="24"/>
        </w:rPr>
        <w:t>, 242–255. https://doi.org/10.1016/j.jcat.2016.04.021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Tielens, F., &amp; Dzwigaj, S. (2010). Probing acid-base sites in vanadium redox zeolites by DFT calculation and compared with FTIR results. </w:t>
      </w:r>
      <w:r>
        <w:rPr>
          <w:rFonts w:ascii="Times New Roman" w:hAnsi="Times New Roman" w:cs="Times New Roman" w:eastAsia="Times New Roman"/>
          <w:b w:val="0"/>
          <w:i/>
          <w:color w:val="000000"/>
          <w:sz w:val="24"/>
        </w:rPr>
        <w:t>Catalysis Today, 152</w:t>
      </w:r>
      <w:r>
        <w:rPr>
          <w:rFonts w:ascii="Times New Roman" w:hAnsi="Times New Roman" w:cs="Times New Roman" w:eastAsia="Times New Roman"/>
          <w:b w:val="0"/>
          <w:i w:val="0"/>
          <w:color w:val="000000"/>
          <w:sz w:val="24"/>
        </w:rPr>
        <w:t>(1–4), 66–69. https://doi.org/10.1016/j.cattod.2009.09.006</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Trujillo, C. A., Navarro Uribe, U., Knops-Gerrits, P.-P., Oviedo A., L. A., &amp; Jacobs, P. A. (1997). The mechanism of zeolite Y destruction by steam in the presence of vanadium. </w:t>
      </w:r>
      <w:r>
        <w:rPr>
          <w:rFonts w:ascii="Times New Roman" w:hAnsi="Times New Roman" w:cs="Times New Roman" w:eastAsia="Times New Roman"/>
          <w:b w:val="0"/>
          <w:i/>
          <w:color w:val="000000"/>
          <w:sz w:val="24"/>
        </w:rPr>
        <w:t>Journal of Catalysis, 168</w:t>
      </w:r>
      <w:r>
        <w:rPr>
          <w:rFonts w:ascii="Times New Roman" w:hAnsi="Times New Roman" w:cs="Times New Roman" w:eastAsia="Times New Roman"/>
          <w:b w:val="0"/>
          <w:i w:val="0"/>
          <w:color w:val="000000"/>
          <w:sz w:val="24"/>
        </w:rPr>
        <w:t>(1), 1–15. https://doi.org/10.1006/jcat.1997.1550</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Weigend, F., &amp; Ahlrichs, R. (2005). Balanced basis sets of split valence, triple zeta valence and quadruple zeta valence quality for H to Rn: Design and assessment of accuracy. </w:t>
      </w:r>
      <w:r>
        <w:rPr>
          <w:rFonts w:ascii="Times New Roman" w:hAnsi="Times New Roman" w:cs="Times New Roman" w:eastAsia="Times New Roman"/>
          <w:b w:val="0"/>
          <w:i/>
          <w:color w:val="000000"/>
          <w:sz w:val="24"/>
        </w:rPr>
        <w:t>Physical Chemistry Chemical Physics, 7</w:t>
      </w:r>
      <w:r>
        <w:rPr>
          <w:rFonts w:ascii="Times New Roman" w:hAnsi="Times New Roman" w:cs="Times New Roman" w:eastAsia="Times New Roman"/>
          <w:b w:val="0"/>
          <w:i w:val="0"/>
          <w:color w:val="000000"/>
          <w:sz w:val="24"/>
        </w:rPr>
        <w:t>(18), 3297–3305. https://doi.org/10.1039/b508541a</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Wormsbecher, R. F., Peters, A. W., &amp; Maselli, J. M. (1986). Vanadium poisoning of cracking catalysts: Mechanism of poisoning and design of vanadium tolerant catalyst system. </w:t>
      </w:r>
      <w:r>
        <w:rPr>
          <w:rFonts w:ascii="Times New Roman" w:hAnsi="Times New Roman" w:cs="Times New Roman" w:eastAsia="Times New Roman"/>
          <w:b w:val="0"/>
          <w:i/>
          <w:color w:val="000000"/>
          <w:sz w:val="24"/>
        </w:rPr>
        <w:t>Journal of Catalysis, 100</w:t>
      </w:r>
      <w:r>
        <w:rPr>
          <w:rFonts w:ascii="Times New Roman" w:hAnsi="Times New Roman" w:cs="Times New Roman" w:eastAsia="Times New Roman"/>
          <w:b w:val="0"/>
          <w:i w:val="0"/>
          <w:color w:val="000000"/>
          <w:sz w:val="24"/>
        </w:rPr>
        <w:t>(1), 130–137. https://doi.org/10.1016/0021-9517(86)90078-3</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Xu, M., Liu, X., &amp; Madon, R. J. (2002). Pathways for Y zeolite destruction: The role of sodium and vanadium. </w:t>
      </w:r>
      <w:r>
        <w:rPr>
          <w:rFonts w:ascii="Times New Roman" w:hAnsi="Times New Roman" w:cs="Times New Roman" w:eastAsia="Times New Roman"/>
          <w:b w:val="0"/>
          <w:i/>
          <w:color w:val="000000"/>
          <w:sz w:val="24"/>
        </w:rPr>
        <w:t>Journal of Catalysis, 207</w:t>
      </w:r>
      <w:r>
        <w:rPr>
          <w:rFonts w:ascii="Times New Roman" w:hAnsi="Times New Roman" w:cs="Times New Roman" w:eastAsia="Times New Roman"/>
          <w:b w:val="0"/>
          <w:i w:val="0"/>
          <w:color w:val="000000"/>
          <w:sz w:val="24"/>
        </w:rPr>
        <w:t>(2), 237–246. https://doi.org/10.1006/jcat.2002.3517</w:t>
      </w:r>
    </w:p>
    <w:sectPr w:rsidR="00FC693F" w:rsidRPr="0006063C" w:rsidSect="00034616">
      <w:footerReference w:type="default" r:id="rId9"/>
      <w:pgSz w:w="11906" w:h="16838"/>
      <w:pgMar w:top="1417" w:right="1417" w:bottom="1417"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fldChar w:fldCharType="begin"/>
    </w:r>
    <w:r>
      <w:instrText xml:space="preserve">PAGE</w:instrText>
    </w:r>
    <w:r>
      <w:fldChar w:fldCharType="separate"/>
    </w:r>
    <w:r>
      <w:rPr>
        <w:rFonts w:ascii="Times New Roman" w:hAnsi="Times New Roman" w:cs="Times New Roman" w:eastAsia="Times New Roman"/>
        <w:b w:val="0"/>
        <w:i w:val="0"/>
        <w:color w:val="000000"/>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240"/>
      <w:ind w:firstLine="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240" w:lineRule="auto"/>
      <w:ind w:firstLine="0"/>
      <w:jc w:val="left"/>
      <w:outlineLvl w:val="0"/>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ind w:firstLine="0"/>
      <w:jc w:val="left"/>
      <w:outlineLvl w:val="2"/>
    </w:pPr>
    <w:rPr>
      <w:rFonts w:asciiTheme="majorHAnsi" w:eastAsiaTheme="majorEastAsia" w:hAnsiTheme="majorHAnsi" w:cstheme="majorBidi" w:ascii="Times New Roman" w:hAnsi="Times New Roman" w:cs="Times New Roman" w:eastAsia="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line="240" w:lineRule="auto"/>
      <w:ind w:firstLine="0"/>
      <w:jc w:val="left"/>
      <w:outlineLvl w:val="3"/>
    </w:pPr>
    <w:rPr>
      <w:rFonts w:asciiTheme="majorHAnsi" w:eastAsiaTheme="majorEastAsia" w:hAnsiTheme="majorHAnsi" w:cstheme="majorBidi" w:ascii="Times New Roman" w:hAnsi="Times New Roman" w:cs="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DENSITY FUNCTIONAL THEORY EVALUATION OF VANADIC ACID ZEOLITE Y DEALUMINATION IN RESIDUE FLUID CATALYTIC CRACKING REGENERATOR</dc:title>
  <dc:subject>B.Eng. Chemical Engineering undergraduate research project</dc:subject>
  <dc:creator>Ahmad Usman Shehu</dc:creator>
  <cp:keywords/>
  <dc:description>generated by python-docx</dc:description>
  <cp:lastModifiedBy>Ahmad Usman Shehu</cp:lastModifiedBy>
  <cp:revision>1</cp:revision>
  <dcterms:created xsi:type="dcterms:W3CDTF">2013-12-23T23:15:00Z</dcterms:created>
  <dcterms:modified xsi:type="dcterms:W3CDTF">2013-12-23T23:15:00Z</dcterms:modified>
  <cp:category/>
</cp:coreProperties>
</file>