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DENSITY FUNCTIONAL THEORY EVALUATION OF VANADIC ACID ZEOLITE Y DEALUMINATION IN RESIDUE FLUID CATALYTIC CRACKING REGENERATOR</w:t>
      </w:r>
    </w:p>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BY</w:t>
      </w:r>
    </w:p>
    <w:p>
      <w:pPr>
        <w:spacing w:line="240" w:lineRule="auto" w:after="280"/>
        <w:jc w:val="center"/>
      </w:pPr>
    </w:p>
    <w:p>
      <w:pPr>
        <w:keepLines/>
        <w:spacing w:line="240" w:lineRule="auto" w:after="120"/>
        <w:jc w:val="center"/>
      </w:pPr>
      <w:r>
        <w:rPr>
          <w:rFonts w:ascii="Times New Roman" w:hAnsi="Times New Roman" w:cs="Times New Roman" w:eastAsia="Times New Roman"/>
          <w:b w:val="0"/>
          <w:i w:val="0"/>
          <w:color w:val="000000"/>
          <w:sz w:val="24"/>
        </w:rPr>
        <w:t>Ahmad Usman Shehu</w:t>
      </w:r>
    </w:p>
    <w:p>
      <w:pPr>
        <w:keepLines/>
        <w:spacing w:line="240" w:lineRule="auto" w:after="120"/>
        <w:jc w:val="center"/>
      </w:pPr>
      <w:r>
        <w:rPr>
          <w:rFonts w:ascii="Times New Roman" w:hAnsi="Times New Roman" w:cs="Times New Roman" w:eastAsia="Times New Roman"/>
          <w:b/>
          <w:i w:val="0"/>
          <w:color w:val="000000"/>
          <w:sz w:val="24"/>
        </w:rPr>
        <w:t>U19CE1068</w:t>
      </w:r>
    </w:p>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A RESEARCH PROJECT SUBMITTED TO THE DEPARTMENT OF CHEMICAL ENGINEERING,</w:t>
      </w:r>
    </w:p>
    <w:p>
      <w:pPr>
        <w:keepLines/>
        <w:spacing w:line="240" w:lineRule="auto" w:after="120"/>
        <w:jc w:val="center"/>
      </w:pPr>
      <w:r>
        <w:rPr>
          <w:rFonts w:ascii="Times New Roman" w:hAnsi="Times New Roman" w:cs="Times New Roman" w:eastAsia="Times New Roman"/>
          <w:b/>
          <w:i w:val="0"/>
          <w:color w:val="000000"/>
          <w:sz w:val="24"/>
        </w:rPr>
        <w:t>FACULTY OF ENGINEERING, AHMADU BELLO UNIVERSITY, ZARIA,</w:t>
      </w:r>
    </w:p>
    <w:p>
      <w:pPr>
        <w:keepLines/>
        <w:spacing w:line="240" w:lineRule="auto" w:after="120"/>
        <w:jc w:val="center"/>
      </w:pPr>
      <w:r>
        <w:rPr>
          <w:rFonts w:ascii="Times New Roman" w:hAnsi="Times New Roman" w:cs="Times New Roman" w:eastAsia="Times New Roman"/>
          <w:b/>
          <w:i w:val="0"/>
          <w:color w:val="000000"/>
          <w:sz w:val="24"/>
        </w:rPr>
        <w:t>IN PARTIAL FULFILMENT OF THE REQUIREMENTS FOR THE AWARD OF THE DEGREE OF</w:t>
      </w:r>
    </w:p>
    <w:p>
      <w:pPr>
        <w:keepLines/>
        <w:spacing w:line="240" w:lineRule="auto" w:after="120"/>
        <w:jc w:val="center"/>
      </w:pPr>
      <w:r>
        <w:rPr>
          <w:rFonts w:ascii="Times New Roman" w:hAnsi="Times New Roman" w:cs="Times New Roman" w:eastAsia="Times New Roman"/>
          <w:b/>
          <w:i w:val="0"/>
          <w:color w:val="000000"/>
          <w:sz w:val="24"/>
        </w:rPr>
        <w:t>BACHELOR OF ENGINEERING (B.ENG.) IN CHEMICAL ENGINEERING</w:t>
      </w:r>
    </w:p>
    <w:p>
      <w:pPr>
        <w:spacing w:line="240" w:lineRule="auto" w:after="280"/>
        <w:jc w:val="center"/>
      </w:pPr>
    </w:p>
    <w:p>
      <w:pPr>
        <w:keepLines/>
        <w:spacing w:line="240" w:lineRule="auto" w:after="120"/>
        <w:jc w:val="center"/>
      </w:pPr>
      <w:r>
        <w:rPr>
          <w:rFonts w:ascii="Times New Roman" w:hAnsi="Times New Roman" w:cs="Times New Roman" w:eastAsia="Times New Roman"/>
          <w:b/>
          <w:i w:val="0"/>
          <w:color w:val="000000"/>
          <w:sz w:val="24"/>
        </w:rPr>
        <w:t>NOVEMBER, 2026</w:t>
      </w:r>
    </w:p>
    <w:p>
      <w:pPr>
        <w:sectPr>
          <w:footerReference w:type="default" r:id="rId9"/>
          <w:pgSz w:w="11906" w:h="16838"/>
          <w:pgMar w:top="1417" w:right="1417" w:bottom="1417" w:left="1984" w:header="720" w:footer="720" w:gutter="0"/>
          <w:cols w:space="720"/>
          <w:titlePg/>
          <w:docGrid w:linePitch="360"/>
        </w:sectPr>
      </w:pPr>
    </w:p>
    <w:p>
      <w:pPr>
        <w:pStyle w:val="Heading1"/>
        <w:pageBreakBefore w:val="0"/>
        <w:jc w:val="left"/>
      </w:pPr>
      <w:r>
        <w:rPr>
          <w:rFonts w:ascii="Times New Roman" w:hAnsi="Times New Roman" w:cs="Times New Roman" w:eastAsia="Times New Roman"/>
          <w:b/>
          <w:i w:val="0"/>
          <w:color w:val="000000"/>
          <w:sz w:val="24"/>
        </w:rPr>
        <w:t>DECLARATION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I declare that this project, entitled “Density Functional Theory Evaluation of Vanadic Acid Zeolite Y Dealumination in Residue Fluid Catalytic Cracking Regenerator,” was carried out by me in the Department of Chemical Engineering, Ahmadu Bello University, Zaria. Sources used in the work have been acknowledged in the text and listed in the references. This project has not been submitted, in whole or in part, for another degree or diploma at this or any other institution.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Ahmad Usman Shehu (Student)</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Date</w:t>
      </w:r>
    </w:p>
    <w:p>
      <w:pPr>
        <w:pStyle w:val="Heading1"/>
        <w:pageBreakBefore/>
        <w:jc w:val="left"/>
      </w:pPr>
      <w:r>
        <w:rPr>
          <w:rFonts w:ascii="Times New Roman" w:hAnsi="Times New Roman" w:cs="Times New Roman" w:eastAsia="Times New Roman"/>
          <w:b/>
          <w:i w:val="0"/>
          <w:color w:val="000000"/>
          <w:sz w:val="24"/>
        </w:rPr>
        <w:t>CERTIFICATION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project, entitled “Density Functional Theory Evaluation of Vanadic Acid Zeolite Y Dealumination in Residue Fluid Catalytic Cracking Regenerator,” was carried out by Ahmad Usman Shehu (U19CE1068). It is submitted to the Department of Chemical Engineering, Ahmadu Bello University, Zaria, in partial fulfilment of the requirements for the award of the degree of Bachelor of Engineering in Chemical Engineering.</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Project Supervisor                         Date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Head of Department                         Date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_______________________________ External Examiner                          Date</w:t>
      </w:r>
    </w:p>
    <w:p>
      <w:pPr>
        <w:pStyle w:val="Heading1"/>
        <w:pageBreakBefore/>
        <w:jc w:val="left"/>
      </w:pPr>
      <w:r>
        <w:rPr>
          <w:rFonts w:ascii="Times New Roman" w:hAnsi="Times New Roman" w:cs="Times New Roman" w:eastAsia="Times New Roman"/>
          <w:b/>
          <w:i w:val="0"/>
          <w:color w:val="000000"/>
          <w:sz w:val="24"/>
        </w:rPr>
        <w:t>DEDICATION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work is dedicated to my parents for their support throughout my education.</w:t>
      </w:r>
    </w:p>
    <w:p>
      <w:pPr>
        <w:pStyle w:val="Heading1"/>
        <w:pageBreakBefore/>
        <w:jc w:val="left"/>
      </w:pPr>
      <w:r>
        <w:rPr>
          <w:rFonts w:ascii="Times New Roman" w:hAnsi="Times New Roman" w:cs="Times New Roman" w:eastAsia="Times New Roman"/>
          <w:b/>
          <w:i w:val="0"/>
          <w:color w:val="000000"/>
          <w:sz w:val="24"/>
        </w:rPr>
        <w:t>ACKNOWLEDGEMENTS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I thank my project supervisor for guidance and for the detailed comments that improved this work. I also thank the Head of Department and the academic and technical staff of the Department of Chemical Engineering, Ahmadu Bello University, Zaria, for their support during my studies.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I am grateful to my family and colleagues for their encouragement. I acknowledge the researchers whose published work informed this project and provided the scientific background for the study.</w:t>
      </w:r>
    </w:p>
    <w:p>
      <w:pPr>
        <w:pStyle w:val="Heading1"/>
        <w:pageBreakBefore/>
        <w:jc w:val="left"/>
      </w:pPr>
      <w:r>
        <w:rPr>
          <w:rFonts w:ascii="Times New Roman" w:hAnsi="Times New Roman" w:cs="Times New Roman" w:eastAsia="Times New Roman"/>
          <w:b/>
          <w:i w:val="0"/>
          <w:color w:val="000000"/>
          <w:sz w:val="24"/>
        </w:rPr>
        <w:t>ABSTRACT</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Vanadium contamination reduced Zeolite Y activity in residue fluid catalytic cracking (RFCC). Proposed mechanisms attributed framework damage to vanadic acid or steam hydrolysis. This study compared vanadic acid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and water at a model Zeolite Y Brønsted acid site using a 22-atom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xml:space="preserve"> cluster. Initial geometries were screened with GFN2-xTB, optimised with B3LYP-D3(BJ)/def2-TZVP, and checked with PBE0 single-point calculations. Harmonic Gibbs energies were calculated at 298.15 and 1003.15 K. B3LYP and PBE0 favoured vanadic acid electronically by 14.69 and 14.44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respectively, while harmonic Gibbs energies favoured water by 11.82 and 66.36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at the two temperatures. Vanadic acid formed Al···O and V···O contacts of 1.947 and 2.274 Å; water formed two hydrogen bonds with H···O distances of 1.587 and 1.825 Å. A formal competitive-site estimate using regenerator partial pressures gave a water-to-vanadic-acid site-fraction ratio of 5.7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to 5.7 × 10</w:t>
      </w:r>
      <w:r>
        <w:rPr>
          <w:rFonts w:ascii="Times New Roman" w:hAnsi="Times New Roman" w:cs="Times New Roman" w:eastAsia="Times New Roman"/>
          <w:b w:val="0"/>
          <w:i w:val="0"/>
          <w:color w:val="000000"/>
          <w:sz w:val="24"/>
          <w:vertAlign w:val="superscript"/>
        </w:rPr>
        <w:t>8</w:t>
      </w:r>
      <w:r>
        <w:rPr>
          <w:rFonts w:ascii="Times New Roman" w:hAnsi="Times New Roman" w:cs="Times New Roman" w:eastAsia="Times New Roman"/>
          <w:b w:val="0"/>
          <w:i w:val="0"/>
          <w:color w:val="000000"/>
          <w:sz w:val="24"/>
        </w:rPr>
        <w:t>. The GFN2-xTB search yielded a 160.70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candidate barrier for the first Al–O cleavage step; Appendix A records the DFT frequency and water-path displacement assessments. Electronic binding and high-temperature site occupation favoured different adsorbates. Larger pore-aware models and validated DFT reaction paths were recommended.</w:t>
      </w:r>
    </w:p>
    <w:p>
      <w:pPr>
        <w:keepNext/>
        <w:pageBreakBefore/>
        <w:spacing w:line="240" w:lineRule="auto" w:before="360" w:after="240"/>
        <w:jc w:val="left"/>
      </w:pPr>
      <w:r>
        <w:rPr>
          <w:rFonts w:ascii="Times New Roman" w:hAnsi="Times New Roman" w:cs="Times New Roman" w:eastAsia="Times New Roman"/>
          <w:b/>
          <w:i w:val="0"/>
          <w:color w:val="000000"/>
          <w:sz w:val="24"/>
        </w:rPr>
        <w:t>TABLE OF CONTENTS</w:t>
      </w:r>
    </w:p>
    <w:p>
      <w:pPr>
        <w:spacing w:line="480" w:lineRule="auto" w:after="0"/>
      </w:pPr>
      <w:r>
        <w:fldChar w:fldCharType="begin" w:dirty="true"/>
      </w:r>
      <w:r>
        <w:instrText xml:space="preserve">TOC \o "1-4" \h \z \u</w:instrText>
      </w:r>
      <w:r>
        <w:fldChar w:fldCharType="separate"/>
      </w:r>
      <w:r>
        <w:fldChar w:fldCharType="end"/>
      </w:r>
    </w:p>
    <w:p>
      <w:pPr>
        <w:keepNext/>
        <w:pageBreakBefore/>
        <w:spacing w:line="240" w:lineRule="auto" w:before="360" w:after="240"/>
        <w:jc w:val="left"/>
      </w:pPr>
      <w:r>
        <w:rPr>
          <w:rFonts w:ascii="Times New Roman" w:hAnsi="Times New Roman" w:cs="Times New Roman" w:eastAsia="Times New Roman"/>
          <w:b/>
          <w:i w:val="0"/>
          <w:color w:val="000000"/>
          <w:sz w:val="24"/>
        </w:rPr>
        <w:t>LIST OF TABLES</w:t>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2.1: Proposed explanations for vanadium-related damage to Zeolite Y</w:t>
      </w:r>
      <w:r>
        <w:tab/>
      </w:r>
      <w:r>
        <w:fldChar w:fldCharType="begin" w:dirty="true"/>
      </w:r>
      <w:r>
        <w:instrText xml:space="preserve">PAGEREF Table_2_1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4.1: Accepted DFT reference and adsorption minima</w:t>
      </w:r>
      <w:r>
        <w:tab/>
      </w:r>
      <w:r>
        <w:fldChar w:fldCharType="begin" w:dirty="true"/>
      </w:r>
      <w:r>
        <w:instrText xml:space="preserve">PAGEREF Table_4_1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4.2: Selected aluminium–oxygen distances in converged DFT structures (Å)</w:t>
      </w:r>
      <w:r>
        <w:tab/>
      </w:r>
      <w:r>
        <w:fldChar w:fldCharType="begin" w:dirty="true"/>
      </w:r>
      <w:r>
        <w:instrText xml:space="preserve">PAGEREF Table_4_2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4.3: Electronic adsorption energies of vanadic acid and water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r>
        <w:tab/>
      </w:r>
      <w:r>
        <w:fldChar w:fldCharType="begin" w:dirty="true"/>
      </w:r>
      <w:r>
        <w:instrText xml:space="preserve">PAGEREF Table_4_3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4.4: Relative electronic energies of converged post-adsorption minima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r>
        <w:tab/>
      </w:r>
      <w:r>
        <w:fldChar w:fldCharType="begin" w:dirty="true"/>
      </w:r>
      <w:r>
        <w:instrText xml:space="preserve">PAGEREF Table_4_4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4.5: Tier 1 pathway candidates for framework Al–O cleavage and water hydrolysis</w:t>
      </w:r>
      <w:r>
        <w:tab/>
      </w:r>
      <w:r>
        <w:fldChar w:fldCharType="begin" w:dirty="true"/>
      </w:r>
      <w:r>
        <w:instrText xml:space="preserve">PAGEREF Table_4_5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4.6: Harmonic standard Gibbs energies of adsorption relative to the separated cluster and adsorbate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r>
        <w:tab/>
      </w:r>
      <w:r>
        <w:fldChar w:fldCharType="begin" w:dirty="true"/>
      </w:r>
      <w:r>
        <w:instrText xml:space="preserve">PAGEREF Table_4_6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4.7: Formal single-site occupation estimate at 1003.15 K</w:t>
      </w:r>
      <w:r>
        <w:tab/>
      </w:r>
      <w:r>
        <w:fldChar w:fldCharType="begin" w:dirty="true"/>
      </w:r>
      <w:r>
        <w:instrText xml:space="preserve">PAGEREF Table_4_7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A.1: DFT reference, adsorption, and pathway calculation register</w:t>
      </w:r>
      <w:r>
        <w:tab/>
      </w:r>
      <w:r>
        <w:fldChar w:fldCharType="begin" w:dirty="true"/>
      </w:r>
      <w:r>
        <w:instrText xml:space="preserve">PAGEREF Table_Table_A_1__DFT_reference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A.2: PBE0 counterpoise ghost-fragment calculation register</w:t>
      </w:r>
      <w:r>
        <w:tab/>
      </w:r>
      <w:r>
        <w:fldChar w:fldCharType="begin" w:dirty="true"/>
      </w:r>
      <w:r>
        <w:instrText xml:space="preserve">PAGEREF Table_Table_A_2__PBE0_counterp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A.3: Tier 1 pathway candidate and two-sided displacement register</w:t>
      </w:r>
      <w:r>
        <w:tab/>
      </w:r>
      <w:r>
        <w:fldChar w:fldCharType="begin" w:dirty="true"/>
      </w:r>
      <w:r>
        <w:instrText xml:space="preserve">PAGEREF Table_Table_A_3__Tier_1_pathwa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Table B.1: Electronic and harmonic Gibbs-energy terms for accepted DFT states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r>
        <w:tab/>
      </w:r>
      <w:r>
        <w:fldChar w:fldCharType="begin" w:dirty="true"/>
      </w:r>
      <w:r>
        <w:instrText xml:space="preserve">PAGEREF Table_Table_B_1__Electronic_an \h \# "00"</w:instrText>
      </w:r>
      <w:r>
        <w:fldChar w:fldCharType="separate"/>
      </w:r>
      <w:r>
        <w:fldChar w:fldCharType="end"/>
      </w:r>
    </w:p>
    <w:p>
      <w:pPr>
        <w:keepNext/>
        <w:pageBreakBefore/>
        <w:spacing w:line="240" w:lineRule="auto" w:before="360" w:after="240"/>
        <w:jc w:val="left"/>
      </w:pPr>
      <w:r>
        <w:rPr>
          <w:rFonts w:ascii="Times New Roman" w:hAnsi="Times New Roman" w:cs="Times New Roman" w:eastAsia="Times New Roman"/>
          <w:b/>
          <w:i w:val="0"/>
          <w:color w:val="000000"/>
          <w:sz w:val="24"/>
        </w:rPr>
        <w:t>LIST OF FIGURES</w:t>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2.1: Structure of Zeolite Y showing the supercage and its twelve-membered-ring opening</w:t>
      </w:r>
      <w:r>
        <w:tab/>
      </w:r>
      <w:r>
        <w:fldChar w:fldCharType="begin" w:dirty="true"/>
      </w:r>
      <w:r>
        <w:instrText xml:space="preserve">PAGEREF Figure_2_1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2.2: Calculated reaction paths for dealumination and desilication using gas-phase and adsorbed water references</w:t>
      </w:r>
      <w:r>
        <w:tab/>
      </w:r>
      <w:r>
        <w:fldChar w:fldCharType="begin" w:dirty="true"/>
      </w:r>
      <w:r>
        <w:instrText xml:space="preserve">PAGEREF Figure_2_2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2.3: Transmission electron micrographs of ultra-stable Y zeolite before and after vanadium contamination and steaming</w:t>
      </w:r>
      <w:r>
        <w:tab/>
      </w:r>
      <w:r>
        <w:fldChar w:fldCharType="begin" w:dirty="true"/>
      </w:r>
      <w:r>
        <w:instrText xml:space="preserve">PAGEREF Figure_2_3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3.1: Structure-screening, DFT, pathway, and thermochemistry workflow</w:t>
      </w:r>
      <w:r>
        <w:tab/>
      </w:r>
      <w:r>
        <w:fldChar w:fldCharType="begin" w:dirty="true"/>
      </w:r>
      <w:r>
        <w:instrText xml:space="preserve">PAGEREF Figure_3_1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3.2: Zeolite Y cluster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vanadic acid, and water used in the calculations</w:t>
      </w:r>
      <w:r>
        <w:tab/>
      </w:r>
      <w:r>
        <w:fldChar w:fldCharType="begin" w:dirty="true"/>
      </w:r>
      <w:r>
        <w:instrText xml:space="preserve">PAGEREF Figure_3_2 \h \# "00"</w:instrText>
      </w:r>
      <w:r>
        <w:fldChar w:fldCharType="separate"/>
      </w:r>
      <w:r>
        <w:fldChar w:fldCharType="end"/>
      </w:r>
    </w:p>
    <w:p>
      <w:pPr>
        <w:tabs>
          <w:tab w:pos="8504" w:val="right"/>
        </w:tabs>
        <w:spacing w:line="480" w:lineRule="auto" w:after="80"/>
        <w:ind w:left="0" w:firstLine="0"/>
        <w:jc w:val="left"/>
      </w:pPr>
      <w:r>
        <w:rPr>
          <w:rFonts w:ascii="Times New Roman" w:hAnsi="Times New Roman" w:cs="Times New Roman" w:eastAsia="Times New Roman"/>
          <w:b w:val="0"/>
          <w:i w:val="0"/>
          <w:color w:val="000000"/>
          <w:sz w:val="24"/>
        </w:rPr>
        <w:t>Figure 4.1: Optimised adsorption complexes at B3LYP-D3(BJ)/def2-TZVP. Left, vanadic acid (V-PRC); right, water (W-PRC)</w:t>
      </w:r>
      <w:r>
        <w:tab/>
      </w:r>
      <w:r>
        <w:fldChar w:fldCharType="begin" w:dirty="true"/>
      </w:r>
      <w:r>
        <w:instrText xml:space="preserve">PAGEREF Figure_4_1 \h \# "00"</w:instrText>
      </w:r>
      <w:r>
        <w:fldChar w:fldCharType="separate"/>
      </w:r>
      <w:r>
        <w:fldChar w:fldCharType="end"/>
      </w:r>
    </w:p>
    <w:p>
      <w:pPr>
        <w:sectPr>
          <w:headerReference w:type="default" r:id="rId10"/>
          <w:footerReference w:type="default" r:id="rId11"/>
          <w:pgSz w:w="11906" w:h="16838"/>
          <w:pgMar w:top="1417" w:right="1417" w:bottom="1417" w:left="1984" w:header="720" w:footer="720" w:gutter="0"/>
          <w:pgNumType w:fmt="lowerRoman" w:start="1"/>
          <w:cols w:space="720"/>
          <w:docGrid w:linePitch="360"/>
        </w:sectPr>
      </w:pPr>
    </w:p>
    <w:p>
      <w:pPr>
        <w:keepNext/>
        <w:keepLines/>
        <w:pageBreakBefore w:val="0"/>
        <w:spacing w:line="240" w:lineRule="auto" w:before="0" w:after="0"/>
        <w:ind w:firstLine="0"/>
        <w:jc w:val="center"/>
      </w:pPr>
      <w:r>
        <w:rPr>
          <w:rFonts w:ascii="Times New Roman" w:hAnsi="Times New Roman" w:cs="Times New Roman" w:eastAsia="Times New Roman"/>
          <w:b/>
          <w:i w:val="0"/>
          <w:color w:val="000000"/>
          <w:sz w:val="24"/>
        </w:rPr>
        <w:t>CHAPTER ONE</w:t>
      </w:r>
    </w:p>
    <w:p>
      <w:pPr>
        <w:pStyle w:val="Heading1"/>
        <w:pageBreakBefore w:val="0"/>
        <w:spacing w:before="0"/>
        <w:jc w:val="left"/>
      </w:pPr>
      <w:r>
        <w:rPr>
          <w:rFonts w:ascii="Times New Roman" w:hAnsi="Times New Roman" w:cs="Times New Roman" w:eastAsia="Times New Roman"/>
          <w:b/>
          <w:i w:val="0"/>
          <w:color w:val="000000"/>
          <w:sz w:val="24"/>
        </w:rPr>
        <w:t>1.0 INTRODUCTION</w:t>
      </w:r>
    </w:p>
    <w:p>
      <w:pPr>
        <w:pStyle w:val="Heading2"/>
        <w:jc w:val="left"/>
      </w:pPr>
      <w:r>
        <w:rPr>
          <w:rFonts w:ascii="Times New Roman" w:hAnsi="Times New Roman" w:cs="Times New Roman" w:eastAsia="Times New Roman"/>
          <w:b/>
          <w:i w:val="0"/>
          <w:color w:val="000000"/>
          <w:sz w:val="24"/>
        </w:rPr>
        <w:t>1.1 Background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In residue fluid catalytic cracking (RFCC), the catalyst repeatedly moves between a reactor and a hot regenerator. Each cycle exposes Zeolite Y to heavy-feed contaminants and steam, placing its aluminium-bearing framework and acid sites under stress. Vanadium accumulates on the catalyst and is linked to a loss of cracking activity, but the molecular route from metal deposition to framework damage remains uncertain.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Steam hydrolyses framework Al–O–Si bonds during regeneration and removes framework aluminium. Each framework aluminium atom is associated with a Brønsted acid site; dealumination therefore reduces the number of sites available for cracking (Malola, Svelle, Lønstad Bleken, &amp; Swang, 2012). This loss of acid sites links framework damage to catalyst activity.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Three explanations describe vanadium-related damage. Wormsbecher et al. (1986) proposed that vanadium oxide reacts with steam to form volatile vanadic acid, which attacks the zeolite. Pine (1990) attributed the main framework attack to steam and assigned vanadium a catalytic or secondary role. Xu, Liu, and Madon (2002) proposed a sodium-mediated route in which vanadium mobilises sodium and steam enables sodium hydroxide attack. These explanations focus on vanadic acid, steam, and sodium, respectively.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Wormsbecher et al. (1986) estimated low-parts-per-million vanadic-acid levels for a high-steam regenerator at about 2 atm. Water therefore occupies a much larger fraction of the bulk gas under those conditions. Comparing both adsorbates at the same model acid site clarifies their electronic and thermochemical preferences within this environment.</w:t>
      </w:r>
    </w:p>
    <w:p>
      <w:pPr>
        <w:pStyle w:val="Heading2"/>
        <w:jc w:val="left"/>
      </w:pPr>
      <w:r>
        <w:rPr>
          <w:rFonts w:ascii="Times New Roman" w:hAnsi="Times New Roman" w:cs="Times New Roman" w:eastAsia="Times New Roman"/>
          <w:b/>
          <w:i w:val="0"/>
          <w:color w:val="000000"/>
          <w:sz w:val="24"/>
        </w:rPr>
        <w:t>1.2 Statement of the Problem</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Vanadium contamination is associated with accelerated loss of Zeolite Y activity, while the molecular explanation remains debated. The proposed mechanisms assign different roles to vanadic acid, steam, and sodium (Pine, 1990; Trujillo et al., 1997; Xu et al., 2002; Wormsbecher et al., 1986). A common-site comparison of vanadic acid and water provides a focused way to evaluate their relative adsorption and thermochemical preferences.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present work examined these adsorbates at one Zeolite Y Brønsted acid site and assessed candidate pathways for framework Al–O cleavage. The resulting adsorption energies, pathway assessment, and high-temperature site-occupation estimate provide molecular-level evidence for interpreting the mechanisms reviewed in Chapter Two. These measures separate molecular association from the chemical steps involved in framework damage.</w:t>
      </w:r>
    </w:p>
    <w:p>
      <w:pPr>
        <w:pStyle w:val="Heading2"/>
        <w:jc w:val="left"/>
      </w:pPr>
      <w:r>
        <w:rPr>
          <w:rFonts w:ascii="Times New Roman" w:hAnsi="Times New Roman" w:cs="Times New Roman" w:eastAsia="Times New Roman"/>
          <w:b/>
          <w:i w:val="0"/>
          <w:color w:val="000000"/>
          <w:sz w:val="24"/>
        </w:rPr>
        <w:t>1.3 Aim and Objectives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aim was to compare vanadic acid and water at a model Zeolite Y Brønsted acid site and assess their implications for dealumination.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objectives were to:</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1. construct and optimise a local Zeolite Y cluster and the initial vanadic-acid and water adsorption structures using ORCA;</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2. calculate and compare the electronic adsorption energies of the selected vanadic-acid and water structures;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3. assess candidate pathways for the first framework Al–O cleavage step in the vanadic-acid route and a water-hydrolysis control; and</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4. calculate harmonic Gibbs energies at 298.15 K and 1003.15 K and evaluate conditional competitive site occupation using RFCC gas partial pressures from the literature.</w:t>
      </w:r>
    </w:p>
    <w:p>
      <w:pPr>
        <w:pStyle w:val="Heading2"/>
        <w:jc w:val="left"/>
      </w:pPr>
      <w:r>
        <w:rPr>
          <w:rFonts w:ascii="Times New Roman" w:hAnsi="Times New Roman" w:cs="Times New Roman" w:eastAsia="Times New Roman"/>
          <w:b/>
          <w:i w:val="0"/>
          <w:color w:val="000000"/>
          <w:sz w:val="24"/>
        </w:rPr>
        <w:t>1.4 Scope and Limitations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calculations used a gas-phase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xml:space="preserve"> cluster representing one Zeolite Y Brønsted acid site. Vanadic acid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and water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were compared at this site. GFN2-xTB screened initial structures and pathway candidates; selected structures were optimised at B3LYP-D3(BJ)/def2-TZVP, and PBE0-D3(BJ)/def2-TZVP single-point energies checked the electronic comparison. Harmonic Gibbs energies were evaluated at 298.15 K and 1003.15 K, and the high-temperature values were combined with literature gas partial pressures in a single-site equilibrium estimate.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model describes a local acid-site environment, with terminal hydrogen atoms fixed at the cluster boundary. Its thermochemical estimates use ideal-gas standard states, one equivalent adsorption site, and independent adsorbates. Pore confinement, local vanadium enrichment, and exchangeable sodium define extensions for future models. Appendix A provides the calculation register, and Appendix B gives the numerical substitutions behind the reported energies and site fractions.</w:t>
      </w:r>
    </w:p>
    <w:p>
      <w:pPr>
        <w:pStyle w:val="Heading2"/>
        <w:jc w:val="left"/>
      </w:pPr>
      <w:r>
        <w:rPr>
          <w:rFonts w:ascii="Times New Roman" w:hAnsi="Times New Roman" w:cs="Times New Roman" w:eastAsia="Times New Roman"/>
          <w:b/>
          <w:i w:val="0"/>
          <w:color w:val="000000"/>
          <w:sz w:val="24"/>
        </w:rPr>
        <w:t>1.5 Justification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matched comparison at one model acid site separates electronic binding from harmonic thermochemical preference. This distinction helps interpret the proposed direct vanadic-acid interaction alongside the high steam abundance of an RFCC regenerator. The pathway assessment and conditional site-occupation estimate also identify the molecular quantities most relevant to larger-pore models and experimental comparison (Adanenche et al., 2023; Etim et al., 2018).</w:t>
      </w:r>
    </w:p>
    <w:p>
      <w:pPr>
        <w:keepNext/>
        <w:keepLines/>
        <w:pageBreakBefore/>
        <w:spacing w:line="240" w:lineRule="auto" w:before="0" w:after="0"/>
        <w:ind w:firstLine="0"/>
        <w:jc w:val="center"/>
      </w:pPr>
      <w:r>
        <w:rPr>
          <w:rFonts w:ascii="Times New Roman" w:hAnsi="Times New Roman" w:cs="Times New Roman" w:eastAsia="Times New Roman"/>
          <w:b/>
          <w:i w:val="0"/>
          <w:color w:val="000000"/>
          <w:sz w:val="24"/>
        </w:rPr>
        <w:t>CHAPTER TWO</w:t>
      </w:r>
    </w:p>
    <w:p>
      <w:pPr>
        <w:pStyle w:val="Heading1"/>
        <w:pageBreakBefore w:val="0"/>
        <w:spacing w:before="0"/>
        <w:jc w:val="left"/>
      </w:pPr>
      <w:r>
        <w:rPr>
          <w:rFonts w:ascii="Times New Roman" w:hAnsi="Times New Roman" w:cs="Times New Roman" w:eastAsia="Times New Roman"/>
          <w:b/>
          <w:i w:val="0"/>
          <w:color w:val="000000"/>
          <w:sz w:val="24"/>
        </w:rPr>
        <w:t>2.0 LITERATURE REVIEW</w:t>
      </w:r>
    </w:p>
    <w:p>
      <w:pPr>
        <w:pStyle w:val="Heading2"/>
        <w:jc w:val="left"/>
      </w:pPr>
      <w:r>
        <w:rPr>
          <w:rFonts w:ascii="Times New Roman" w:hAnsi="Times New Roman" w:cs="Times New Roman" w:eastAsia="Times New Roman"/>
          <w:b/>
          <w:i w:val="0"/>
          <w:color w:val="000000"/>
          <w:sz w:val="24"/>
        </w:rPr>
        <w:t>2.1 Zeolite Y in Residue Fluid Catalytic Cracking</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Residue fluid catalytic cracking processes heavy refinery feeds that contain metals and other contaminants. The catalyst circulates between a reactor and a regenerator, where coke is burned in air and steam. Zeolite Y supplies many of the catalyst's cracking sites, and vanadium carried in the feed can accumulate on the catalyst during operation (Adanenche et al., 2023; Mitchell, 1980).</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Zeolite Y has the faujasite framework, a crystalline network of silicon, aluminium, and oxygen atoms. A framework aluminium atom introduces a negative charge balanced by a proton on a neighbouring oxygen, forming a Brønsted acid site. Figure 2.1 shows the supercage and its twelve-membered-ring opening. Removal of framework aluminium removes the associated acid site and can leave silanol groups on neighbouring framework oxygens (Malola et al., 2012).</w:t>
      </w:r>
    </w:p>
    <w:p>
      <w:pPr>
        <w:keepNext/>
        <w:keepLines/>
        <w:spacing w:line="240" w:lineRule="auto" w:before="120" w:after="80"/>
        <w:jc w:val="center"/>
      </w:pPr>
      <w:r>
        <w:drawing>
          <wp:inline xmlns:a="http://schemas.openxmlformats.org/drawingml/2006/main" xmlns:pic="http://schemas.openxmlformats.org/drawingml/2006/picture">
            <wp:extent cx="5400000" cy="5359651"/>
            <wp:docPr id="1" name="Picture 1"/>
            <wp:cNvGraphicFramePr>
              <a:graphicFrameLocks noChangeAspect="1"/>
            </wp:cNvGraphicFramePr>
            <a:graphic>
              <a:graphicData uri="http://schemas.openxmlformats.org/drawingml/2006/picture">
                <pic:pic>
                  <pic:nvPicPr>
                    <pic:cNvPr id="0" name="etim2016_fig1_y_zeolite.png"/>
                    <pic:cNvPicPr/>
                  </pic:nvPicPr>
                  <pic:blipFill>
                    <a:blip r:embed="rId14"/>
                    <a:stretch>
                      <a:fillRect/>
                    </a:stretch>
                  </pic:blipFill>
                  <pic:spPr>
                    <a:xfrm>
                      <a:off x="0" y="0"/>
                      <a:ext cx="5400000" cy="5359651"/>
                    </a:xfrm>
                    <a:prstGeom prst="rect"/>
                  </pic:spPr>
                </pic:pic>
              </a:graphicData>
            </a:graphic>
          </wp:inline>
        </w:drawing>
      </w:r>
    </w:p>
    <w:p>
      <w:pPr>
        <w:keepLines/>
        <w:widowControl/>
        <w:spacing w:line="480" w:lineRule="auto" w:before="0" w:after="240"/>
        <w:ind w:firstLine="0" w:left="0"/>
        <w:jc w:val="center"/>
      </w:pPr>
      <w:bookmarkStart w:id="1" w:name="Figure_2_1"/>
      <w:r>
        <w:rPr>
          <w:rFonts w:ascii="Times New Roman" w:hAnsi="Times New Roman" w:cs="Times New Roman" w:eastAsia="Times New Roman"/>
          <w:b w:val="0"/>
          <w:i w:val="0"/>
          <w:color w:val="000000"/>
          <w:sz w:val="24"/>
        </w:rPr>
        <w:t>Figure 2.1: Structure of Zeolite Y showing the supercage and its twelve-membered-ring opening</w:t>
      </w:r>
      <w:bookmarkEnd w:id="1"/>
    </w:p>
    <w:p>
      <w:pPr>
        <w:pStyle w:val="Heading2"/>
        <w:jc w:val="left"/>
      </w:pPr>
      <w:r>
        <w:rPr>
          <w:rFonts w:ascii="Times New Roman" w:hAnsi="Times New Roman" w:cs="Times New Roman" w:eastAsia="Times New Roman"/>
          <w:b/>
          <w:i w:val="0"/>
          <w:color w:val="000000"/>
          <w:sz w:val="24"/>
        </w:rPr>
        <w:t>2.2 Dealumination by Steam</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Steam hydrolyses framework Al–O–Si bonds during catalyst regeneration. Density functional theory (DFT) calculations by Malola et al. (2012) described dealumination as a sequence of water-assisted bond-cleavage steps. Their calculated effective barriers depended on the reference state for incoming water, demonstrating the role of adsorption thermochemistry in reaction energetics. Figure 2.2 presents their calculated reaction paths for dealumination and desilication.</w:t>
      </w:r>
    </w:p>
    <w:p>
      <w:pPr>
        <w:keepNext/>
        <w:keepLines/>
        <w:spacing w:line="240" w:lineRule="auto" w:before="120" w:after="80"/>
        <w:jc w:val="center"/>
      </w:pPr>
      <w:r>
        <w:drawing>
          <wp:inline xmlns:a="http://schemas.openxmlformats.org/drawingml/2006/main" xmlns:pic="http://schemas.openxmlformats.org/drawingml/2006/picture">
            <wp:extent cx="3918126" cy="7199998"/>
            <wp:docPr id="2" name="Picture 2"/>
            <wp:cNvGraphicFramePr>
              <a:graphicFrameLocks noChangeAspect="1"/>
            </wp:cNvGraphicFramePr>
            <a:graphic>
              <a:graphicData uri="http://schemas.openxmlformats.org/drawingml/2006/picture">
                <pic:pic>
                  <pic:nvPicPr>
                    <pic:cNvPr id="0" name="malola2012_fig2_paths.png"/>
                    <pic:cNvPicPr/>
                  </pic:nvPicPr>
                  <pic:blipFill>
                    <a:blip r:embed="rId15"/>
                    <a:stretch>
                      <a:fillRect/>
                    </a:stretch>
                  </pic:blipFill>
                  <pic:spPr>
                    <a:xfrm>
                      <a:off x="0" y="0"/>
                      <a:ext cx="3918126" cy="7199998"/>
                    </a:xfrm>
                    <a:prstGeom prst="rect"/>
                  </pic:spPr>
                </pic:pic>
              </a:graphicData>
            </a:graphic>
          </wp:inline>
        </w:drawing>
      </w:r>
    </w:p>
    <w:p>
      <w:pPr>
        <w:keepLines/>
        <w:widowControl/>
        <w:spacing w:line="480" w:lineRule="auto" w:before="0" w:after="240"/>
        <w:ind w:firstLine="0" w:left="0"/>
        <w:jc w:val="center"/>
      </w:pPr>
      <w:bookmarkStart w:id="2" w:name="Figure_2_2"/>
      <w:r>
        <w:rPr>
          <w:rFonts w:ascii="Times New Roman" w:hAnsi="Times New Roman" w:cs="Times New Roman" w:eastAsia="Times New Roman"/>
          <w:b w:val="0"/>
          <w:i w:val="0"/>
          <w:color w:val="000000"/>
          <w:sz w:val="24"/>
        </w:rPr>
        <w:t>Figure 2.2: Calculated reaction paths for dealumination and desilication using gas-phase and adsorbed water references</w:t>
      </w:r>
      <w:bookmarkEnd w:id="2"/>
    </w:p>
    <w:p>
      <w:pPr>
        <w:widowControl/>
        <w:spacing w:line="480" w:lineRule="auto" w:before="0" w:after="240"/>
        <w:ind w:firstLine="0" w:left="0"/>
        <w:jc w:val="both"/>
      </w:pPr>
      <w:r>
        <w:rPr>
          <w:rFonts w:ascii="Times New Roman" w:hAnsi="Times New Roman" w:cs="Times New Roman" w:eastAsia="Times New Roman"/>
          <w:b w:val="0"/>
          <w:i w:val="0"/>
          <w:color w:val="000000"/>
          <w:sz w:val="24"/>
        </w:rPr>
        <w:t>Silaghi et al. (2016) examined dealumination in several zeolite frameworks and discussed how extra-framework aluminium could remain confined within the pores. Their work supported a stepwise description of hydrolysis. Steam hydrolysis therefore provides the baseline reaction for assessing additional effects associated with vanadium.</w:t>
      </w:r>
    </w:p>
    <w:p>
      <w:pPr>
        <w:pStyle w:val="Heading2"/>
        <w:jc w:val="left"/>
      </w:pPr>
      <w:r>
        <w:rPr>
          <w:rFonts w:ascii="Times New Roman" w:hAnsi="Times New Roman" w:cs="Times New Roman" w:eastAsia="Times New Roman"/>
          <w:b/>
          <w:i w:val="0"/>
          <w:color w:val="000000"/>
          <w:sz w:val="24"/>
        </w:rPr>
        <w:t>2.3 Vanadium under Regenerator Conditions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Vanadium in a regenerated catalyst is commonly associated with oxidised species, including vanadium pentoxide. Wormsbecher et al. (1986) proposed that vanadium pentoxide reacts with steam to form volatile vanadic acid:</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V</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5</w:t>
      </w:r>
      <w:r>
        <w:rPr>
          <w:rFonts w:ascii="Times New Roman" w:hAnsi="Times New Roman" w:cs="Times New Roman" w:eastAsia="Times New Roman"/>
          <w:b w:val="0"/>
          <w:i w:val="0"/>
          <w:color w:val="000000"/>
          <w:sz w:val="24"/>
        </w:rPr>
        <w:t>(s) + 3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O(g) ⇌ 2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(g)</w:t>
      </w:r>
      <w:r>
        <w:tab/>
      </w:r>
      <w:r>
        <w:rPr>
          <w:rFonts w:ascii="Times New Roman" w:hAnsi="Times New Roman" w:cs="Times New Roman" w:eastAsia="Times New Roman"/>
          <w:b w:val="0"/>
          <w:i w:val="0"/>
          <w:color w:val="000000"/>
          <w:sz w:val="24"/>
        </w:rPr>
        <w:t>(2.1)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 (2.1) represents the gas-phase vanadic-acid source in the proposed route. Wormsbecher et al. (1986) discussed regenerator conditions near 730 °C, with about 20% steam at a total pressure of 2 atm, and estimated vanadic-acid concentrations in the low-parts-per-million range. Trujillo et al. (1997) considered the same high-steam environment and calculated an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partial pressure of about 3.37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atm, corresponding to approximately 1.7 ppm at 2 atm. Appendix B.1 shows the pressure conversion used for the reported gas composition.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Occelli (1991) reviewed interactions of vanadium species with cracking catalysts and described changes in vanadium speciation during steaming and hydrolysis. Trujillo et al. (1997) proposed that vanadium could reach acid sites and form vanadic acid in the presence of water. Their local-enrichment proposal provides a pore-scale context for the acid-site comparison in this study.</w:t>
      </w:r>
    </w:p>
    <w:p>
      <w:pPr>
        <w:pStyle w:val="Heading2"/>
        <w:jc w:val="left"/>
      </w:pPr>
      <w:r>
        <w:rPr>
          <w:rFonts w:ascii="Times New Roman" w:hAnsi="Times New Roman" w:cs="Times New Roman" w:eastAsia="Times New Roman"/>
          <w:b/>
          <w:i w:val="0"/>
          <w:color w:val="000000"/>
          <w:sz w:val="24"/>
        </w:rPr>
        <w:t>2.4 Proposed Explanations for Vanadium-Related Damage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Three explanations are central to vanadium-related damage. The vanadic-acid route assigns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a direct role in framework hydrolysis. The steam-dominated route assigns the principal attack to water and a catalytic or secondary role to vanadium. The sodium-mediated route proposes that vanadium mobilises sodium, after which sodium hydroxide attacks the framework. Table 2.1 summarises these proposed mechanisms and the studies supporting them.</w:t>
      </w:r>
    </w:p>
    <w:p>
      <w:pPr>
        <w:keepNext/>
        <w:keepLines/>
        <w:widowControl/>
        <w:spacing w:line="480" w:lineRule="auto" w:before="0" w:after="80"/>
        <w:ind w:firstLine="0" w:left="0"/>
        <w:jc w:val="left"/>
      </w:pPr>
      <w:bookmarkStart w:id="3" w:name="Table_2_1"/>
      <w:r>
        <w:rPr>
          <w:rFonts w:ascii="Times New Roman" w:hAnsi="Times New Roman" w:cs="Times New Roman" w:eastAsia="Times New Roman"/>
          <w:b w:val="0"/>
          <w:i w:val="0"/>
          <w:color w:val="000000"/>
          <w:sz w:val="24"/>
        </w:rPr>
        <w:t>Table 2.1: Proposed explanations for vanadium-related damage to Zeolite Y</w:t>
      </w:r>
      <w:bookmarkEnd w:id="3"/>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Proposed mechanism</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Proposed role of vanadium</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Evidence discussed in the literature</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Vanadic-acid route</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directly promotes framework hydrolysis</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Vanadium species in steamed catalysts and proposed acid-site chemistry, Wormsbecher et al. (1986) and Trujillo et al. (1997)</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Steam-dominated route</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Steam hydrolyses the framework and vanadium is secondary or catalytic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Similar apparent activation energies for vanadium-loaded and control catalysts, and damage to silicalite, Pine (1990)</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Sodium-mediated route</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Vanadium helps mobilise sodium and steam enables NaOH attack</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Dependence of destruction on sodium availability and experiments with sodium vanadate, Xu et al. (2002)</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Pine (1990) reported similar apparent activation energies for destruction of ultra-stable Y zeolite under vanadium-loaded and control conditions. He also reported damage to silicalite, which contains little framework aluminium. These observations support a steam-led contribution and place vanadium's role within the broader catalyst environment.</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Xu et al. (2002) proposed that vanadium and sodium act together. In their mechanism, vanadium-containing species mobilise sodium, and steam enables sodium hydroxide formation and framework attack. This pathway makes sodium availability a relevant variable alongside the vanadic-acid and steam routes in Table 2.1.</w:t>
      </w:r>
    </w:p>
    <w:p>
      <w:pPr>
        <w:pStyle w:val="Heading2"/>
        <w:jc w:val="left"/>
      </w:pPr>
      <w:r>
        <w:rPr>
          <w:rFonts w:ascii="Times New Roman" w:hAnsi="Times New Roman" w:cs="Times New Roman" w:eastAsia="Times New Roman"/>
          <w:b/>
          <w:i w:val="0"/>
          <w:color w:val="000000"/>
          <w:sz w:val="24"/>
        </w:rPr>
        <w:t>2.5 Evidence of Damage and Mitigation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Etim et al. (2016) examined vanadium-contaminated ultra-stable Y zeolite after steaming and reported changes in the framework and micropore structure. Figure 2.3 presents transmission electron micrographs from their study. These structural observations establish damage under the combined treatment and motivate molecular studies of the elementary steps.</w:t>
      </w:r>
    </w:p>
    <w:p>
      <w:pPr>
        <w:keepNext/>
        <w:keepLines/>
        <w:spacing w:line="240" w:lineRule="auto" w:before="120" w:after="80"/>
        <w:jc w:val="center"/>
      </w:pPr>
      <w:r>
        <w:drawing>
          <wp:inline xmlns:a="http://schemas.openxmlformats.org/drawingml/2006/main" xmlns:pic="http://schemas.openxmlformats.org/drawingml/2006/picture">
            <wp:extent cx="5399999" cy="3011294"/>
            <wp:docPr id="3" name="Picture 3"/>
            <wp:cNvGraphicFramePr>
              <a:graphicFrameLocks noChangeAspect="1"/>
            </wp:cNvGraphicFramePr>
            <a:graphic>
              <a:graphicData uri="http://schemas.openxmlformats.org/drawingml/2006/picture">
                <pic:pic>
                  <pic:nvPicPr>
                    <pic:cNvPr id="0" name="etim2016_fig8_tem.png"/>
                    <pic:cNvPicPr/>
                  </pic:nvPicPr>
                  <pic:blipFill>
                    <a:blip r:embed="rId16"/>
                    <a:stretch>
                      <a:fillRect/>
                    </a:stretch>
                  </pic:blipFill>
                  <pic:spPr>
                    <a:xfrm>
                      <a:off x="0" y="0"/>
                      <a:ext cx="5399999" cy="3011294"/>
                    </a:xfrm>
                    <a:prstGeom prst="rect"/>
                  </pic:spPr>
                </pic:pic>
              </a:graphicData>
            </a:graphic>
          </wp:inline>
        </w:drawing>
      </w:r>
    </w:p>
    <w:p>
      <w:pPr>
        <w:keepLines/>
        <w:widowControl/>
        <w:spacing w:line="480" w:lineRule="auto" w:before="0" w:after="240"/>
        <w:ind w:firstLine="0" w:left="0"/>
        <w:jc w:val="center"/>
      </w:pPr>
      <w:bookmarkStart w:id="4" w:name="Figure_2_3"/>
      <w:r>
        <w:rPr>
          <w:rFonts w:ascii="Times New Roman" w:hAnsi="Times New Roman" w:cs="Times New Roman" w:eastAsia="Times New Roman"/>
          <w:b w:val="0"/>
          <w:i w:val="0"/>
          <w:color w:val="000000"/>
          <w:sz w:val="24"/>
        </w:rPr>
        <w:t>Figure 2.3: Transmission electron micrographs of ultra-stable Y zeolite before and after vanadium contamination and steaming</w:t>
      </w:r>
      <w:bookmarkEnd w:id="4"/>
    </w:p>
    <w:p>
      <w:pPr>
        <w:widowControl/>
        <w:spacing w:line="480" w:lineRule="auto" w:before="0" w:after="240"/>
        <w:ind w:firstLine="0" w:left="0"/>
        <w:jc w:val="both"/>
      </w:pPr>
      <w:r>
        <w:rPr>
          <w:rFonts w:ascii="Times New Roman" w:hAnsi="Times New Roman" w:cs="Times New Roman" w:eastAsia="Times New Roman"/>
          <w:b w:val="0"/>
          <w:i w:val="0"/>
          <w:color w:val="000000"/>
          <w:sz w:val="24"/>
        </w:rPr>
        <w:t>Wormsbecher et al. (1986) reported catalyst protection by basic oxides under their test conditions. Etim et al. (2018) evaluated a magnesium–yttrium oxide trap and linked vanadium capture to formation of immobile yttrium vanadate. These studies demonstrate the practical importance of vanadium control and connect molecular speciation with catalyst performance.</w:t>
      </w:r>
    </w:p>
    <w:p>
      <w:pPr>
        <w:pStyle w:val="Heading2"/>
        <w:jc w:val="left"/>
      </w:pPr>
      <w:r>
        <w:rPr>
          <w:rFonts w:ascii="Times New Roman" w:hAnsi="Times New Roman" w:cs="Times New Roman" w:eastAsia="Times New Roman"/>
          <w:b/>
          <w:i w:val="0"/>
          <w:color w:val="000000"/>
          <w:sz w:val="24"/>
        </w:rPr>
        <w:t>2.6 Computational Studies and Research Context</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Periodic DFT studies have calculated water-driven dealumination pathways in zeolites (Malola et al., 2012; Silaghi et al., 2016). Tielens and Dzwigaj (2010) studied acid-base sites in vanadium redox zeolites, focusing on vanadium incorporated within the framework. The present comparison complements these studies by evaluating an external vanadic-acid molecule and water at the same Zeolite Y Brønsted acid site.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Together, these studies describe steam-assisted hydrolysis, vanadium–zeolite interactions, and sodium-mediated damage as relevant parts of RFCC catalyst chemistry. These mechanisms provide context for the adsorption, pathway, and thermochemical comparisons in Chapter Four.</w:t>
      </w:r>
    </w:p>
    <w:p>
      <w:pPr>
        <w:keepNext/>
        <w:keepLines/>
        <w:pageBreakBefore/>
        <w:spacing w:line="240" w:lineRule="auto" w:before="0" w:after="0"/>
        <w:ind w:firstLine="0"/>
        <w:jc w:val="center"/>
      </w:pPr>
      <w:r>
        <w:rPr>
          <w:rFonts w:ascii="Times New Roman" w:hAnsi="Times New Roman" w:cs="Times New Roman" w:eastAsia="Times New Roman"/>
          <w:b/>
          <w:i w:val="0"/>
          <w:color w:val="000000"/>
          <w:sz w:val="24"/>
        </w:rPr>
        <w:t>CHAPTER THREE</w:t>
      </w:r>
    </w:p>
    <w:p>
      <w:pPr>
        <w:pStyle w:val="Heading1"/>
        <w:pageBreakBefore w:val="0"/>
        <w:spacing w:before="0"/>
        <w:jc w:val="left"/>
      </w:pPr>
      <w:r>
        <w:rPr>
          <w:rFonts w:ascii="Times New Roman" w:hAnsi="Times New Roman" w:cs="Times New Roman" w:eastAsia="Times New Roman"/>
          <w:b/>
          <w:i w:val="0"/>
          <w:color w:val="000000"/>
          <w:sz w:val="24"/>
        </w:rPr>
        <w:t>3.0 METHODOLOGY</w:t>
      </w:r>
    </w:p>
    <w:p>
      <w:pPr>
        <w:pStyle w:val="Heading2"/>
        <w:jc w:val="left"/>
      </w:pPr>
      <w:r>
        <w:rPr>
          <w:rFonts w:ascii="Times New Roman" w:hAnsi="Times New Roman" w:cs="Times New Roman" w:eastAsia="Times New Roman"/>
          <w:b/>
          <w:i w:val="0"/>
          <w:color w:val="000000"/>
          <w:sz w:val="24"/>
        </w:rPr>
        <w:t>3.1 Computational Workflow and Resources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calculations modelled vanadic acid and water at one Zeolite Y Brønsted acid site. They evaluated optimised structures, electronic adsorption energies, candidate reaction paths, and harmonic thermochemistry. GFN2-xTB provided the Tier 1 screening calculations, which were run with ORCA 6.1.0 on a Dell Latitude E6430 laptop with 16 GB of memory and one processor core. Tier 2 DFT calculations were run with ORCA 6.1.1 on a cloud virtual machine using four MPI processes (Neese, 2025). Molecular structures were prepared and checked with Spartan and Avogadro; Python scripts processed ORCA outputs and calculation registers. Figure 3.1 summarises the structure-screening, DFT, pathway, and thermochemistry stages.</w:t>
      </w:r>
    </w:p>
    <w:p>
      <w:pPr>
        <w:keepNext/>
        <w:keepLines/>
        <w:spacing w:line="240" w:lineRule="auto" w:before="120" w:after="80"/>
        <w:jc w:val="center"/>
      </w:pPr>
      <w:r>
        <w:drawing>
          <wp:inline xmlns:a="http://schemas.openxmlformats.org/drawingml/2006/main" xmlns:pic="http://schemas.openxmlformats.org/drawingml/2006/picture">
            <wp:extent cx="5400000" cy="3817137"/>
            <wp:docPr id="4" name="Picture 4"/>
            <wp:cNvGraphicFramePr>
              <a:graphicFrameLocks noChangeAspect="1"/>
            </wp:cNvGraphicFramePr>
            <a:graphic>
              <a:graphicData uri="http://schemas.openxmlformats.org/drawingml/2006/picture">
                <pic:pic>
                  <pic:nvPicPr>
                    <pic:cNvPr id="0" name="fig3_1_workflow.png"/>
                    <pic:cNvPicPr/>
                  </pic:nvPicPr>
                  <pic:blipFill>
                    <a:blip r:embed="rId17"/>
                    <a:stretch>
                      <a:fillRect/>
                    </a:stretch>
                  </pic:blipFill>
                  <pic:spPr>
                    <a:xfrm>
                      <a:off x="0" y="0"/>
                      <a:ext cx="5400000" cy="3817137"/>
                    </a:xfrm>
                    <a:prstGeom prst="rect"/>
                  </pic:spPr>
                </pic:pic>
              </a:graphicData>
            </a:graphic>
          </wp:inline>
        </w:drawing>
      </w:r>
    </w:p>
    <w:p>
      <w:pPr>
        <w:keepLines/>
        <w:widowControl/>
        <w:spacing w:line="480" w:lineRule="auto" w:before="0" w:after="240"/>
        <w:ind w:firstLine="0" w:left="0"/>
        <w:jc w:val="center"/>
      </w:pPr>
      <w:bookmarkStart w:id="5" w:name="Figure_3_1"/>
      <w:r>
        <w:rPr>
          <w:rFonts w:ascii="Times New Roman" w:hAnsi="Times New Roman" w:cs="Times New Roman" w:eastAsia="Times New Roman"/>
          <w:b w:val="0"/>
          <w:i w:val="0"/>
          <w:color w:val="000000"/>
          <w:sz w:val="24"/>
        </w:rPr>
        <w:t>Figure 3.1: Structure-screening, DFT, pathway, and thermochemistry workflow</w:t>
      </w:r>
      <w:bookmarkEnd w:id="5"/>
    </w:p>
    <w:p>
      <w:pPr>
        <w:pStyle w:val="Heading2"/>
        <w:jc w:val="left"/>
      </w:pPr>
      <w:r>
        <w:rPr>
          <w:rFonts w:ascii="Times New Roman" w:hAnsi="Times New Roman" w:cs="Times New Roman" w:eastAsia="Times New Roman"/>
          <w:b/>
          <w:i w:val="0"/>
          <w:color w:val="000000"/>
          <w:sz w:val="24"/>
        </w:rPr>
        <w:t>3.2 Zeolite Y Cluster and Adsorbate Models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gas-phase cluster had formula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xml:space="preserve"> and contained 22 atoms. It represented one framework aluminium atom, four neighbouring silicon atoms, four bridging oxygen atoms, twelve terminal hydrogen atoms, and one proton on a bridging oxygen. The protonated oxygen formed the model Brønsted acid site, and terminal hydrogens capped bonds at the cluster boundary. The cluster, vanadic acid, and water were treated as neutral singlets.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twelve terminal hydrogen atoms were held fixed during geometry optimisation. Aluminium, silicon, bridging oxygen atoms, and the Brønsted proton were allowed to relax. Vanadic acid was modelled with one V=O bond and three V–OH groups; water was modelled as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Several starting orientations of each adsorbate were prepared near the acid site. Figure 3.2 shows the cluster and isolated reference species.</w:t>
      </w:r>
    </w:p>
    <w:p>
      <w:pPr>
        <w:keepNext/>
        <w:keepLines/>
        <w:spacing w:line="240" w:lineRule="auto" w:before="120" w:after="80"/>
        <w:jc w:val="center"/>
      </w:pPr>
      <w:r>
        <w:drawing>
          <wp:inline xmlns:a="http://schemas.openxmlformats.org/drawingml/2006/main" xmlns:pic="http://schemas.openxmlformats.org/drawingml/2006/picture">
            <wp:extent cx="5400000" cy="2076163"/>
            <wp:docPr id="5" name="Picture 5"/>
            <wp:cNvGraphicFramePr>
              <a:graphicFrameLocks noChangeAspect="1"/>
            </wp:cNvGraphicFramePr>
            <a:graphic>
              <a:graphicData uri="http://schemas.openxmlformats.org/drawingml/2006/picture">
                <pic:pic>
                  <pic:nvPicPr>
                    <pic:cNvPr id="0" name="fig3_2_cluster.png"/>
                    <pic:cNvPicPr/>
                  </pic:nvPicPr>
                  <pic:blipFill>
                    <a:blip r:embed="rId18"/>
                    <a:stretch>
                      <a:fillRect/>
                    </a:stretch>
                  </pic:blipFill>
                  <pic:spPr>
                    <a:xfrm>
                      <a:off x="0" y="0"/>
                      <a:ext cx="5400000" cy="2076163"/>
                    </a:xfrm>
                    <a:prstGeom prst="rect"/>
                  </pic:spPr>
                </pic:pic>
              </a:graphicData>
            </a:graphic>
          </wp:inline>
        </w:drawing>
      </w:r>
    </w:p>
    <w:p>
      <w:pPr>
        <w:keepLines/>
        <w:widowControl/>
        <w:spacing w:line="480" w:lineRule="auto" w:before="0" w:after="240"/>
        <w:ind w:firstLine="0" w:left="0"/>
        <w:jc w:val="center"/>
      </w:pPr>
      <w:bookmarkStart w:id="6" w:name="Figure_3_2"/>
      <w:r>
        <w:rPr>
          <w:rFonts w:ascii="Times New Roman" w:hAnsi="Times New Roman" w:cs="Times New Roman" w:eastAsia="Times New Roman"/>
          <w:b w:val="0"/>
          <w:i w:val="0"/>
          <w:color w:val="000000"/>
          <w:sz w:val="24"/>
        </w:rPr>
        <w:t>Figure 3.2: Zeolite Y cluster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vanadic acid, and water used in the calculations</w:t>
      </w:r>
      <w:bookmarkEnd w:id="6"/>
    </w:p>
    <w:p>
      <w:pPr>
        <w:pStyle w:val="Heading2"/>
        <w:jc w:val="left"/>
      </w:pPr>
      <w:r>
        <w:rPr>
          <w:rFonts w:ascii="Times New Roman" w:hAnsi="Times New Roman" w:cs="Times New Roman" w:eastAsia="Times New Roman"/>
          <w:b/>
          <w:i w:val="0"/>
          <w:color w:val="000000"/>
          <w:sz w:val="24"/>
        </w:rPr>
        <w:t>3.3 Electronic Structure and Adsorption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isolated cluster, vanadic acid, and water were optimised with GFN2-xTB. Adsorption complexes were generated by placing each adsorbate in several orientations near the Brønsted proton and optimising each structure. Selected structures and reference species were optimised with B3LYP-D3(BJ)/def2-TZVP using the RIJCOSX approximation, def2/J auxiliary basis, DefGrid3 integration grid, tight self-consistent-field convergence, and tight geometry convergence. Harmonic frequencies were calculated at the same level. PBE0-D3(BJ)/def2-TZVP single-point energies were evaluated on the B3LYP-optimised geometries of the isolated reference species, pre-reaction complexes, and converged post-adsorption minima.</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electronic adsorption energy was calculated using Eq. (3.1):</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E(complex) − [E(cluster) + E(adsorbate)]</w:t>
      </w:r>
      <w:r>
        <w:tab/>
      </w:r>
      <w:r>
        <w:rPr>
          <w:rFonts w:ascii="Times New Roman" w:hAnsi="Times New Roman" w:cs="Times New Roman" w:eastAsia="Times New Roman"/>
          <w:b w:val="0"/>
          <w:i w:val="0"/>
          <w:color w:val="000000"/>
          <w:sz w:val="24"/>
        </w:rPr>
        <w:t>(3.1)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 (3.1) defines the separated cluster and optimised adsorbate as the reference state. A negative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indicates that the complex has lower electronic energy than the separated species. The relative adsorption-energy difference was calculated using Eq. (3.2):</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r>
        <w:tab/>
      </w:r>
      <w:r>
        <w:rPr>
          <w:rFonts w:ascii="Times New Roman" w:hAnsi="Times New Roman" w:cs="Times New Roman" w:eastAsia="Times New Roman"/>
          <w:b w:val="0"/>
          <w:i w:val="0"/>
          <w:color w:val="000000"/>
          <w:sz w:val="24"/>
        </w:rPr>
        <w:t>(3.2)</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 (3.2) assigns negative values to an electronic preference for vanadic acid. Appendix B.2 shows the numerical substitutions for both DFT levels. The adsorption energies reported in Chapter Four are direct electronic values; Appendix A.2 records the counterpoise fragment calculations.</w:t>
      </w:r>
    </w:p>
    <w:p>
      <w:pPr>
        <w:pStyle w:val="Heading2"/>
        <w:jc w:val="left"/>
      </w:pPr>
      <w:r>
        <w:rPr>
          <w:rFonts w:ascii="Times New Roman" w:hAnsi="Times New Roman" w:cs="Times New Roman" w:eastAsia="Times New Roman"/>
          <w:b/>
          <w:i w:val="0"/>
          <w:color w:val="000000"/>
          <w:sz w:val="24"/>
        </w:rPr>
        <w:t>3.4 Transition-State Searches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Candidate reaction paths were explored for the vanadic-acid route and a water-hydrolysis control. GFN2-xTB nudged elastic band calculations were followed by eigenvector-following transition-state optimisations (Henkelman &amp; Jónsson, 2000). For each candidate, frequency analysis located the imaginary mode; structures displaced in both directions along that mode were reoptimised to test whether the candidate connected different minima. The pre-reaction complexes are denoted V-PRC (vanadic acid) and W-PRC (water). V-I1 and V-I2 denote successive vanadic-acid pathway states, W-P denotes the water-path post-adsorption minimum, and V-TS2 and W-TS label the transition-state candidates for the two routes.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Acceptance required a converged optimisation, one chemically meaningful imaginary mode, and two displaced structures that relaxed towards different minima. The V-TS2 candidate for the first framework Al–O cleavage step met these Tier 1 criteria. Appendix A.3 records the candidate frequencies, displacement destinations, and final pathway classifications.</w:t>
      </w:r>
    </w:p>
    <w:p>
      <w:pPr>
        <w:pStyle w:val="Heading2"/>
        <w:jc w:val="left"/>
      </w:pPr>
      <w:r>
        <w:rPr>
          <w:rFonts w:ascii="Times New Roman" w:hAnsi="Times New Roman" w:cs="Times New Roman" w:eastAsia="Times New Roman"/>
          <w:b/>
          <w:i w:val="0"/>
          <w:color w:val="000000"/>
          <w:sz w:val="24"/>
        </w:rPr>
        <w:t>3.5 Gibbs Energies and Conditional Site Occupation</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Harmonic Gibbs energies were obtained from ORCA frequency calculations at 298.15 K and 1003.15 K. The higher temperature represents an RFCC regenerator condition of about 730 °C. The Gibbs energy of adsorption was calculated using Eq. (3.3):</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(complex) − 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(cluster) − 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(adsorbate)</w:t>
      </w:r>
      <w:r>
        <w:tab/>
      </w:r>
      <w:r>
        <w:rPr>
          <w:rFonts w:ascii="Times New Roman" w:hAnsi="Times New Roman" w:cs="Times New Roman" w:eastAsia="Times New Roman"/>
          <w:b w:val="0"/>
          <w:i w:val="0"/>
          <w:color w:val="000000"/>
          <w:sz w:val="24"/>
        </w:rPr>
        <w:t>(3.3)</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 (3.3) evaluates the complex against the separated cluster and isolated molecule at the same temperature. The calculations used ideal-gas, rigid-rotor, harmonic-oscillator thermochemistry at a standard pressure of 1 atm. Appendix B.4 shows the temperature-dependent substitutions for the two pre-reaction complexes.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conditional competitive-site estimate was calculated at 1003.15 K using the RFCC gas partial pressures reported by Wormsbecher et al. (1986). At 2 atm total pressure, 20% steam gave a water partial pressure of 0.4 atm. At the same pressure, 1–10 ppm vanadic acid corresponded to partial pressures of 2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to 2 × 10</w:t>
      </w:r>
      <w:r>
        <w:rPr>
          <w:rFonts w:ascii="Times New Roman" w:hAnsi="Times New Roman" w:cs="Times New Roman" w:eastAsia="Times New Roman"/>
          <w:b w:val="0"/>
          <w:i w:val="0"/>
          <w:color w:val="000000"/>
          <w:sz w:val="24"/>
          <w:vertAlign w:val="superscript"/>
        </w:rPr>
        <w:t>-5</w:t>
      </w:r>
      <w:r>
        <w:rPr>
          <w:rFonts w:ascii="Times New Roman" w:hAnsi="Times New Roman" w:cs="Times New Roman" w:eastAsia="Times New Roman"/>
          <w:b w:val="0"/>
          <w:i w:val="0"/>
          <w:color w:val="000000"/>
          <w:sz w:val="24"/>
        </w:rPr>
        <w:t xml:space="preserve"> atm. Appendix B.1 shows these conversions. The dimensionless standard equilibrium constant for each adsorbate was calculated using Eq. (3.4). Equation (3.5) gives the fraction of sites occupied by each adsorbate:</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K</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 xml:space="preserve"> = exp[−ΔG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i,ads</w:t>
      </w:r>
      <w:r>
        <w:rPr>
          <w:rFonts w:ascii="Times New Roman" w:hAnsi="Times New Roman" w:cs="Times New Roman" w:eastAsia="Times New Roman"/>
          <w:b w:val="0"/>
          <w:i w:val="0"/>
          <w:color w:val="000000"/>
          <w:sz w:val="24"/>
        </w:rPr>
        <w:t>/(RT)]</w:t>
      </w:r>
      <w:r>
        <w:tab/>
      </w:r>
      <w:r>
        <w:rPr>
          <w:rFonts w:ascii="Times New Roman" w:hAnsi="Times New Roman" w:cs="Times New Roman" w:eastAsia="Times New Roman"/>
          <w:b w:val="0"/>
          <w:i w:val="0"/>
          <w:color w:val="000000"/>
          <w:sz w:val="24"/>
        </w:rPr>
        <w:t>(3.4)</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θ</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rPr>
        <w:t xml:space="preserve"> = K</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(p</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rPr>
        <w:t>/p</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 / [1 + Σ</w:t>
      </w:r>
      <w:r>
        <w:rPr>
          <w:rFonts w:ascii="Times New Roman" w:hAnsi="Times New Roman" w:cs="Times New Roman" w:eastAsia="Times New Roman"/>
          <w:b w:val="0"/>
          <w:i w:val="0"/>
          <w:color w:val="000000"/>
          <w:sz w:val="24"/>
          <w:vertAlign w:val="subscript"/>
        </w:rPr>
        <w:t>j</w:t>
      </w:r>
      <w:r>
        <w:rPr>
          <w:rFonts w:ascii="Times New Roman" w:hAnsi="Times New Roman" w:cs="Times New Roman" w:eastAsia="Times New Roman"/>
          <w:b w:val="0"/>
          <w:i w:val="0"/>
          <w:color w:val="000000"/>
          <w:sz w:val="24"/>
        </w:rPr>
        <w:t xml:space="preserve"> K</w:t>
      </w:r>
      <w:r>
        <w:rPr>
          <w:rFonts w:ascii="Times New Roman" w:hAnsi="Times New Roman" w:cs="Times New Roman" w:eastAsia="Times New Roman"/>
          <w:b w:val="0"/>
          <w:i w:val="0"/>
          <w:color w:val="000000"/>
          <w:sz w:val="24"/>
          <w:vertAlign w:val="subscript"/>
        </w:rPr>
        <w:t>j</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(p</w:t>
      </w:r>
      <w:r>
        <w:rPr>
          <w:rFonts w:ascii="Times New Roman" w:hAnsi="Times New Roman" w:cs="Times New Roman" w:eastAsia="Times New Roman"/>
          <w:b w:val="0"/>
          <w:i w:val="0"/>
          <w:color w:val="000000"/>
          <w:sz w:val="24"/>
          <w:vertAlign w:val="subscript"/>
        </w:rPr>
        <w:t>j</w:t>
      </w:r>
      <w:r>
        <w:rPr>
          <w:rFonts w:ascii="Times New Roman" w:hAnsi="Times New Roman" w:cs="Times New Roman" w:eastAsia="Times New Roman"/>
          <w:b w:val="0"/>
          <w:i w:val="0"/>
          <w:color w:val="000000"/>
          <w:sz w:val="24"/>
        </w:rPr>
        <w:t>/p</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w:t>
      </w:r>
      <w:r>
        <w:tab/>
      </w:r>
      <w:r>
        <w:rPr>
          <w:rFonts w:ascii="Times New Roman" w:hAnsi="Times New Roman" w:cs="Times New Roman" w:eastAsia="Times New Roman"/>
          <w:b w:val="0"/>
          <w:i w:val="0"/>
          <w:color w:val="000000"/>
          <w:sz w:val="24"/>
        </w:rPr>
        <w:t>(3.5)</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leading 1 in Eq. (3.5) represents an unoccupied site. The estimate used one equivalent site, ideal-gas standard states, and independent adsorbates. Equations (3.4) and (3.5) define a conditional model calculation for the stated gas composition. Appendix B.5 provides each numerical substitution and the resulting site fractions.</w:t>
      </w:r>
    </w:p>
    <w:p>
      <w:pPr>
        <w:pStyle w:val="Heading2"/>
        <w:jc w:val="left"/>
      </w:pPr>
      <w:r>
        <w:rPr>
          <w:rFonts w:ascii="Times New Roman" w:hAnsi="Times New Roman" w:cs="Times New Roman" w:eastAsia="Times New Roman"/>
          <w:b/>
          <w:i w:val="0"/>
          <w:color w:val="000000"/>
          <w:sz w:val="24"/>
        </w:rPr>
        <w:t>3.6 Data Handling and Acceptance Criteria</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ORCA inputs, outputs, final geometries, and calculation registers were retained under `simulation/`. A minimum was classified from geometry convergence and its vibrational frequencies. Frequencies below 20 cm</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were treated as numerical noise when displacement analysis indicated flat cluster motion; borderline modes were assessed from their displacement behaviour. Transition-state candidates were assessed by optimisation convergence, mode count, and two-sided displacement. Appendix A provides the calculation register for the selected structural and pathway jobs.</w:t>
      </w:r>
    </w:p>
    <w:p>
      <w:pPr>
        <w:keepNext/>
        <w:keepLines/>
        <w:pageBreakBefore/>
        <w:spacing w:line="240" w:lineRule="auto" w:before="0" w:after="0"/>
        <w:ind w:firstLine="0"/>
        <w:jc w:val="center"/>
      </w:pPr>
      <w:r>
        <w:rPr>
          <w:rFonts w:ascii="Times New Roman" w:hAnsi="Times New Roman" w:cs="Times New Roman" w:eastAsia="Times New Roman"/>
          <w:b/>
          <w:i w:val="0"/>
          <w:color w:val="000000"/>
          <w:sz w:val="24"/>
        </w:rPr>
        <w:t>CHAPTER FOUR</w:t>
      </w:r>
    </w:p>
    <w:p>
      <w:pPr>
        <w:pStyle w:val="Heading1"/>
        <w:pageBreakBefore w:val="0"/>
        <w:spacing w:before="0"/>
        <w:jc w:val="left"/>
      </w:pPr>
      <w:r>
        <w:rPr>
          <w:rFonts w:ascii="Times New Roman" w:hAnsi="Times New Roman" w:cs="Times New Roman" w:eastAsia="Times New Roman"/>
          <w:b/>
          <w:i w:val="0"/>
          <w:color w:val="000000"/>
          <w:sz w:val="24"/>
        </w:rPr>
        <w:t>4.0 RESULTS AND DISCUSSION</w:t>
      </w:r>
    </w:p>
    <w:p>
      <w:pPr>
        <w:pStyle w:val="Heading2"/>
        <w:jc w:val="left"/>
      </w:pPr>
      <w:r>
        <w:rPr>
          <w:rFonts w:ascii="Times New Roman" w:hAnsi="Times New Roman" w:cs="Times New Roman" w:eastAsia="Times New Roman"/>
          <w:b/>
          <w:i w:val="0"/>
          <w:color w:val="000000"/>
          <w:sz w:val="24"/>
        </w:rPr>
        <w:t>4.1 Local Cluster and Adsorption Structures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GFN2-xTB screening selected starting orientations for vanadic acid and water at the local Zeolite Y acid site. Subsequent B3LYP-D3(BJ)/def2-TZVP optimisations produced the accepted reference, pre-reaction, and post-adsorption minima listed in Table 4.1. The protonated framework Al–O bond in the cluster reference was 1.919 Å, compared with 1.695–1.716 Å for the other three Al–O bonds, identifying the model acid-site distortion.</w:t>
      </w:r>
    </w:p>
    <w:p>
      <w:pPr>
        <w:keepNext/>
        <w:keepLines/>
        <w:widowControl/>
        <w:spacing w:line="480" w:lineRule="auto" w:before="0" w:after="80"/>
        <w:ind w:firstLine="0" w:left="0"/>
        <w:jc w:val="left"/>
      </w:pPr>
      <w:bookmarkStart w:id="7" w:name="Table_4_1"/>
      <w:r>
        <w:rPr>
          <w:rFonts w:ascii="Times New Roman" w:hAnsi="Times New Roman" w:cs="Times New Roman" w:eastAsia="Times New Roman"/>
          <w:b w:val="0"/>
          <w:i w:val="0"/>
          <w:color w:val="000000"/>
          <w:sz w:val="24"/>
        </w:rPr>
        <w:t>Table 4.1: Accepted DFT reference and adsorption minima</w:t>
      </w:r>
      <w:bookmarkEnd w:id="7"/>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State</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Optimisation result</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Vibrational assessment</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Cluster reference</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One flat reference mode at −4.64 cm</w:t>
            </w:r>
            <w:r>
              <w:rPr>
                <w:rFonts w:ascii="Times New Roman" w:hAnsi="Times New Roman" w:cs="Times New Roman" w:eastAsia="Times New Roman"/>
                <w:b w:val="0"/>
                <w:i w:val="0"/>
                <w:color w:val="000000"/>
                <w:sz w:val="24"/>
                <w:vertAlign w:val="superscript"/>
              </w:rPr>
              <w:t>-1</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Minimum, zero imaginary modes</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Minimum, zero imaginary modes</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Minimum, zero imaginary modes</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Minimum, zero imaginary modes</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Minimum, zero imaginary modes</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Minimum, zero imaginary modes</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cluster's −4.64 cm</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mode was a flat reference motion; the other accepted DFT minima had zero imaginary modes. Figure 4.1 shows the distinct pre-reaction orientations: vanadic acid approached framework aluminium in V-PRC, whereas water remained farther from aluminium in W-PRC. The selected aluminium–oxygen distances in Table 4.2 quantify these differences and the rearrangements in the post-adsorption structures.</w:t>
      </w:r>
    </w:p>
    <w:p>
      <w:pPr>
        <w:keepNext/>
        <w:keepLines/>
        <w:spacing w:line="240" w:lineRule="auto" w:before="120" w:after="80"/>
        <w:jc w:val="center"/>
      </w:pPr>
      <w:r>
        <w:drawing>
          <wp:inline xmlns:a="http://schemas.openxmlformats.org/drawingml/2006/main" xmlns:pic="http://schemas.openxmlformats.org/drawingml/2006/picture">
            <wp:extent cx="5400000" cy="2731926"/>
            <wp:docPr id="6" name="Picture 6"/>
            <wp:cNvGraphicFramePr>
              <a:graphicFrameLocks noChangeAspect="1"/>
            </wp:cNvGraphicFramePr>
            <a:graphic>
              <a:graphicData uri="http://schemas.openxmlformats.org/drawingml/2006/picture">
                <pic:pic>
                  <pic:nvPicPr>
                    <pic:cNvPr id="0" name="fig4_1_complexes.png"/>
                    <pic:cNvPicPr/>
                  </pic:nvPicPr>
                  <pic:blipFill>
                    <a:blip r:embed="rId19"/>
                    <a:stretch>
                      <a:fillRect/>
                    </a:stretch>
                  </pic:blipFill>
                  <pic:spPr>
                    <a:xfrm>
                      <a:off x="0" y="0"/>
                      <a:ext cx="5400000" cy="2731926"/>
                    </a:xfrm>
                    <a:prstGeom prst="rect"/>
                  </pic:spPr>
                </pic:pic>
              </a:graphicData>
            </a:graphic>
          </wp:inline>
        </w:drawing>
      </w:r>
    </w:p>
    <w:p>
      <w:pPr>
        <w:keepLines/>
        <w:widowControl/>
        <w:spacing w:line="480" w:lineRule="auto" w:before="0" w:after="240"/>
        <w:ind w:firstLine="0" w:left="0"/>
        <w:jc w:val="center"/>
      </w:pPr>
      <w:bookmarkStart w:id="8" w:name="Figure_4_1"/>
      <w:r>
        <w:rPr>
          <w:rFonts w:ascii="Times New Roman" w:hAnsi="Times New Roman" w:cs="Times New Roman" w:eastAsia="Times New Roman"/>
          <w:b w:val="0"/>
          <w:i w:val="0"/>
          <w:color w:val="000000"/>
          <w:sz w:val="24"/>
        </w:rPr>
        <w:t>Figure 4.1: Optimised adsorption complexes at B3LYP-D3(BJ)/def2-TZVP. Left, vanadic acid (V-PRC); right, water (W-PRC)</w:t>
      </w:r>
      <w:bookmarkEnd w:id="8"/>
    </w:p>
    <w:p>
      <w:pPr>
        <w:keepNext/>
        <w:keepLines/>
        <w:widowControl/>
        <w:spacing w:line="480" w:lineRule="auto" w:before="0" w:after="80"/>
        <w:ind w:firstLine="0" w:left="0"/>
        <w:jc w:val="left"/>
      </w:pPr>
      <w:bookmarkStart w:id="9" w:name="Table_4_2"/>
      <w:r>
        <w:rPr>
          <w:rFonts w:ascii="Times New Roman" w:hAnsi="Times New Roman" w:cs="Times New Roman" w:eastAsia="Times New Roman"/>
          <w:b w:val="0"/>
          <w:i w:val="0"/>
          <w:color w:val="000000"/>
          <w:sz w:val="24"/>
        </w:rPr>
        <w:t>Table 4.2: Selected aluminium–oxygen distances in converged DFT structures (Å)</w:t>
      </w:r>
      <w:bookmarkEnd w:id="9"/>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Structure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Nearest Al···O distance to adsorbate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Longest framework Al–O distance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Structural interpretation</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Cluster reference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1.919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Protonated framework reference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1.947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2.042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Vanadic oxygen approached Al and the acid-site Al–O bond lengthened</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3.529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1.791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Framework Al–O bonds remained short in the chemisorbed intermediate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3.337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1.885</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Water remained outside the Al coordination sphere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1.718</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3.129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Water-derived oxygen approached Al with an elongated framework Al–O bond</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V-PRC geometry also placed vanadium 2.274 Å from a framework oxygen. In W-PRC, the acid proton lay 1.587 Å from the water oxygen, while a water hydrogen lay 1.825 Å from a framework oxygen; these contacts are consistent with two hydrogen bonds. The direct acid-site association is consistent with the vanadic-acid route proposed by Wormsbecher et al. (1986), and the water contacts accord with the water-assisted interactions studied by Malola et al. (2012); the optimised geometries alone do not establish framework cleavage.</w:t>
      </w:r>
    </w:p>
    <w:p>
      <w:pPr>
        <w:pStyle w:val="Heading2"/>
        <w:jc w:val="left"/>
      </w:pPr>
      <w:r>
        <w:rPr>
          <w:rFonts w:ascii="Times New Roman" w:hAnsi="Times New Roman" w:cs="Times New Roman" w:eastAsia="Times New Roman"/>
          <w:b/>
          <w:i w:val="0"/>
          <w:color w:val="000000"/>
          <w:sz w:val="24"/>
        </w:rPr>
        <w:t>4.2 Electronic Adsorption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Table 4.3 shows that both DFT levels favour electronic adsorption of vanadic acid over water. The relative difference, ΔΔE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is negative at each level, as defined in Eq. (3.2). Appendix B.2 gives the numerical substitutions for comparison with the temperature-dependent Gibbs energies in Section 4.4.</w:t>
      </w:r>
    </w:p>
    <w:p>
      <w:pPr>
        <w:keepNext/>
        <w:keepLines/>
        <w:widowControl/>
        <w:spacing w:line="480" w:lineRule="auto" w:before="0" w:after="80"/>
        <w:ind w:firstLine="0" w:left="0"/>
        <w:jc w:val="left"/>
      </w:pPr>
      <w:bookmarkStart w:id="10" w:name="Table_4_3"/>
      <w:r>
        <w:rPr>
          <w:rFonts w:ascii="Times New Roman" w:hAnsi="Times New Roman" w:cs="Times New Roman" w:eastAsia="Times New Roman"/>
          <w:b w:val="0"/>
          <w:i w:val="0"/>
          <w:color w:val="000000"/>
          <w:sz w:val="24"/>
        </w:rPr>
        <w:t>Table 4.3: Electronic adsorption energies of vanadic acid and water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bookmarkEnd w:id="10"/>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Level of theory</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H</w:t>
            </w:r>
            <w:r>
              <w:rPr>
                <w:rFonts w:ascii="Times New Roman" w:hAnsi="Times New Roman" w:cs="Times New Roman" w:eastAsia="Times New Roman"/>
                <w:b/>
                <w:i w:val="0"/>
                <w:color w:val="000000"/>
                <w:sz w:val="24"/>
                <w:vertAlign w:val="subscript"/>
              </w:rPr>
              <w:t>3</w:t>
            </w:r>
            <w:r>
              <w:rPr>
                <w:rFonts w:ascii="Times New Roman" w:hAnsi="Times New Roman" w:cs="Times New Roman" w:eastAsia="Times New Roman"/>
                <w:b/>
                <w:i w:val="0"/>
                <w:color w:val="000000"/>
                <w:sz w:val="24"/>
              </w:rPr>
              <w:t>VO</w:t>
            </w:r>
            <w:r>
              <w:rPr>
                <w:rFonts w:ascii="Times New Roman" w:hAnsi="Times New Roman" w:cs="Times New Roman" w:eastAsia="Times New Roman"/>
                <w:b/>
                <w:i w:val="0"/>
                <w:color w:val="000000"/>
                <w:sz w:val="24"/>
                <w:vertAlign w:val="sub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H</w:t>
            </w:r>
            <w:r>
              <w:rPr>
                <w:rFonts w:ascii="Times New Roman" w:hAnsi="Times New Roman" w:cs="Times New Roman" w:eastAsia="Times New Roman"/>
                <w:b/>
                <w:i w:val="0"/>
                <w:color w:val="000000"/>
                <w:sz w:val="24"/>
                <w:vertAlign w:val="subscript"/>
              </w:rPr>
              <w:t>2</w:t>
            </w:r>
            <w:r>
              <w:rPr>
                <w:rFonts w:ascii="Times New Roman" w:hAnsi="Times New Roman" w:cs="Times New Roman" w:eastAsia="Times New Roman"/>
                <w:b/>
                <w:i w:val="0"/>
                <w:color w:val="000000"/>
                <w:sz w:val="24"/>
              </w:rPr>
              <w:t>O</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ΔΔE</w:t>
            </w:r>
            <w:r>
              <w:rPr>
                <w:rFonts w:ascii="Times New Roman" w:hAnsi="Times New Roman" w:cs="Times New Roman" w:eastAsia="Times New Roman"/>
                <w:b/>
                <w:i w:val="0"/>
                <w:color w:val="000000"/>
                <w:sz w:val="24"/>
                <w:vertAlign w:val="subscript"/>
              </w:rPr>
              <w:t>ads</w:t>
            </w:r>
            <w:r>
              <w:rPr>
                <w:rFonts w:ascii="Times New Roman" w:hAnsi="Times New Roman" w:cs="Times New Roman" w:eastAsia="Times New Roman"/>
                <w:b/>
                <w:i w:val="0"/>
                <w:color w:val="000000"/>
                <w:sz w:val="24"/>
              </w:rPr>
              <w:t xml:space="preserve"> = ΔE</w:t>
            </w:r>
            <w:r>
              <w:rPr>
                <w:rFonts w:ascii="Times New Roman" w:hAnsi="Times New Roman" w:cs="Times New Roman" w:eastAsia="Times New Roman"/>
                <w:b/>
                <w:i w:val="0"/>
                <w:color w:val="000000"/>
                <w:sz w:val="24"/>
                <w:vertAlign w:val="subscript"/>
              </w:rPr>
              <w:t>ads</w:t>
            </w:r>
            <w:r>
              <w:rPr>
                <w:rFonts w:ascii="Times New Roman" w:hAnsi="Times New Roman" w:cs="Times New Roman" w:eastAsia="Times New Roman"/>
                <w:b/>
                <w:i w:val="0"/>
                <w:color w:val="000000"/>
                <w:sz w:val="24"/>
              </w:rPr>
              <w:t>(H</w:t>
            </w:r>
            <w:r>
              <w:rPr>
                <w:rFonts w:ascii="Times New Roman" w:hAnsi="Times New Roman" w:cs="Times New Roman" w:eastAsia="Times New Roman"/>
                <w:b/>
                <w:i w:val="0"/>
                <w:color w:val="000000"/>
                <w:sz w:val="24"/>
                <w:vertAlign w:val="subscript"/>
              </w:rPr>
              <w:t>3</w:t>
            </w:r>
            <w:r>
              <w:rPr>
                <w:rFonts w:ascii="Times New Roman" w:hAnsi="Times New Roman" w:cs="Times New Roman" w:eastAsia="Times New Roman"/>
                <w:b/>
                <w:i w:val="0"/>
                <w:color w:val="000000"/>
                <w:sz w:val="24"/>
              </w:rPr>
              <w:t>VO</w:t>
            </w:r>
            <w:r>
              <w:rPr>
                <w:rFonts w:ascii="Times New Roman" w:hAnsi="Times New Roman" w:cs="Times New Roman" w:eastAsia="Times New Roman"/>
                <w:b/>
                <w:i w:val="0"/>
                <w:color w:val="000000"/>
                <w:sz w:val="24"/>
                <w:vertAlign w:val="subscript"/>
              </w:rPr>
              <w:t>4</w:t>
            </w:r>
            <w:r>
              <w:rPr>
                <w:rFonts w:ascii="Times New Roman" w:hAnsi="Times New Roman" w:cs="Times New Roman" w:eastAsia="Times New Roman"/>
                <w:b/>
                <w:i w:val="0"/>
                <w:color w:val="000000"/>
                <w:sz w:val="24"/>
              </w:rPr>
              <w:t>) − ΔE</w:t>
            </w:r>
            <w:r>
              <w:rPr>
                <w:rFonts w:ascii="Times New Roman" w:hAnsi="Times New Roman" w:cs="Times New Roman" w:eastAsia="Times New Roman"/>
                <w:b/>
                <w:i w:val="0"/>
                <w:color w:val="000000"/>
                <w:sz w:val="24"/>
                <w:vertAlign w:val="subscript"/>
              </w:rPr>
              <w:t>ads</w:t>
            </w:r>
            <w:r>
              <w:rPr>
                <w:rFonts w:ascii="Times New Roman" w:hAnsi="Times New Roman" w:cs="Times New Roman" w:eastAsia="Times New Roman"/>
                <w:b/>
                <w:i w:val="0"/>
                <w:color w:val="000000"/>
                <w:sz w:val="24"/>
              </w:rPr>
              <w:t>(H</w:t>
            </w:r>
            <w:r>
              <w:rPr>
                <w:rFonts w:ascii="Times New Roman" w:hAnsi="Times New Roman" w:cs="Times New Roman" w:eastAsia="Times New Roman"/>
                <w:b/>
                <w:i w:val="0"/>
                <w:color w:val="000000"/>
                <w:sz w:val="24"/>
                <w:vertAlign w:val="subscript"/>
              </w:rPr>
              <w:t>2</w:t>
            </w:r>
            <w:r>
              <w:rPr>
                <w:rFonts w:ascii="Times New Roman" w:hAnsi="Times New Roman" w:cs="Times New Roman" w:eastAsia="Times New Roman"/>
                <w:b/>
                <w:i w:val="0"/>
                <w:color w:val="000000"/>
                <w:sz w:val="24"/>
              </w:rPr>
              <w:t>O)</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GFN2-xTB</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−196.9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−69.6</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−127.3</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B3LYP-D3(BJ)/def2-TZVP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−93.01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−78.32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−14.69</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PBE0-D3(BJ)/def2-TZVP, single point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−93.07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−78.62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−14.44</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B3LYP and PBE0 give similar relative preferences, differing by 0.25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so the electronic ranking is consistent across the two hybrid functionals. GFN2-xTB predicts a much larger preference of 127.3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about 8.7 times the DFT difference; it therefore provides a screening result rather than a quantitative substitute for the DFT energies. The sign of the DFT preference is consistent with the direct vanadic-acid route proposed by Wormsbecher et al. (1986), although the cited studies do not provide a matched numerical comparison of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and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at this cluster site, and electronic adsorption energies do not establish a reaction mechanism.</w:t>
      </w:r>
    </w:p>
    <w:p>
      <w:pPr>
        <w:pStyle w:val="Heading2"/>
        <w:jc w:val="left"/>
      </w:pPr>
      <w:r>
        <w:rPr>
          <w:rFonts w:ascii="Times New Roman" w:hAnsi="Times New Roman" w:cs="Times New Roman" w:eastAsia="Times New Roman"/>
          <w:b/>
          <w:i w:val="0"/>
          <w:color w:val="000000"/>
          <w:sz w:val="24"/>
        </w:rPr>
        <w:t>4.3 Pathway Energetics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post-adsorption minima were lower in electronic energy than their respective separated cluster-and-adsorbate references at all three levels of theory (Table 4.4). V-I1 was more stabilised than the water-path minimum W-P at each level, but the size of this difference depended on the method. GFN2-xTB predicted substantially greater stabilisation of V-I1 relative to W-P than either DFT level.</w:t>
      </w:r>
    </w:p>
    <w:p>
      <w:pPr>
        <w:keepNext/>
        <w:keepLines/>
        <w:widowControl/>
        <w:spacing w:line="480" w:lineRule="auto" w:before="0" w:after="80"/>
        <w:ind w:firstLine="0" w:left="0"/>
        <w:jc w:val="left"/>
      </w:pPr>
      <w:bookmarkStart w:id="11" w:name="Table_4_4"/>
      <w:r>
        <w:rPr>
          <w:rFonts w:ascii="Times New Roman" w:hAnsi="Times New Roman" w:cs="Times New Roman" w:eastAsia="Times New Roman"/>
          <w:b w:val="0"/>
          <w:i w:val="0"/>
          <w:color w:val="000000"/>
          <w:sz w:val="24"/>
        </w:rPr>
        <w:t>Table 4.4: Relative electronic energies of converged post-adsorption minima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bookmarkEnd w:id="11"/>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GFN2-xTB</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B3LYP-D3(BJ)/def2-TZVP</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PBE0-D3(BJ)/def2-TZVP single point</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−385.1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−115.38</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−120.13</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−65.9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−24.02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−22.88</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GFN2-xTB search produced a candidate for the first framework Al–O cleavage step in the vanadic-acid route. Table 4.5 reports its energy and imaginary mode alongside the water-path candidate. Appendix A.3 records the two-sided displacement checks, and Appendix B.6 gives the energy substitutions.</w:t>
      </w:r>
    </w:p>
    <w:p>
      <w:pPr>
        <w:keepNext/>
        <w:keepLines/>
        <w:widowControl/>
        <w:spacing w:line="480" w:lineRule="auto" w:before="0" w:after="80"/>
        <w:ind w:firstLine="0" w:left="0"/>
        <w:jc w:val="left"/>
      </w:pPr>
      <w:bookmarkStart w:id="12" w:name="Table_4_5"/>
      <w:r>
        <w:rPr>
          <w:rFonts w:ascii="Times New Roman" w:hAnsi="Times New Roman" w:cs="Times New Roman" w:eastAsia="Times New Roman"/>
          <w:b w:val="0"/>
          <w:i w:val="0"/>
          <w:color w:val="000000"/>
          <w:sz w:val="24"/>
        </w:rPr>
        <w:t>Table 4.5: Tier 1 pathway candidates for framework Al–O cleavage and water hydrolysis</w:t>
      </w:r>
      <w:bookmarkEnd w:id="12"/>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Route and step</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Imaginary frequency (cm</w:t>
            </w:r>
            <w:r>
              <w:rPr>
                <w:rFonts w:ascii="Times New Roman" w:hAnsi="Times New Roman" w:cs="Times New Roman" w:eastAsia="Times New Roman"/>
                <w:b/>
                <w:i w:val="0"/>
                <w:color w:val="000000"/>
                <w:sz w:val="24"/>
                <w:vertAlign w:val="superscript"/>
              </w:rPr>
              <w:t>-1</w:t>
            </w:r>
            <w:r>
              <w:rPr>
                <w:rFonts w:ascii="Times New Roman" w:hAnsi="Times New Roman" w:cs="Times New Roman" w:eastAsia="Times New Roman"/>
                <w:b/>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Candidate energy above starting minimum (kJ mol</w:t>
            </w:r>
            <w:r>
              <w:rPr>
                <w:rFonts w:ascii="Times New Roman" w:hAnsi="Times New Roman" w:cs="Times New Roman" w:eastAsia="Times New Roman"/>
                <w:b/>
                <w:i w:val="0"/>
                <w:color w:val="000000"/>
                <w:sz w:val="24"/>
                <w:vertAlign w:val="superscript"/>
              </w:rPr>
              <w:t>-1</w:t>
            </w:r>
            <w:r>
              <w:rPr>
                <w:rFonts w:ascii="Times New Roman" w:hAnsi="Times New Roman" w:cs="Times New Roman" w:eastAsia="Times New Roman"/>
                <w:b/>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Assessment</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 to V-I2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−78.21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160.70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V-TS2 passed the GFN2-xTB Tier 1 and two-sided displacement criteria</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 to W-P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−226.10</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29.29</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W-TS was rejected because both displacements returned to W-PRC</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V-I1-to-V-I2 candidate lies 160.70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above V-I1 and passed the GFN2-xTB displacement criteria, but it is not a validated DFT barrier. The water-path candidate lies 29.29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above W-PRC, yet both displacements returned to W-PRC, so its energy is not an accepted activation barrier. The separate DFT V-TS2 optimisation did not converge and had 14 imaginary modes (Appendix A.1); Malola et al. (2012) reported a water-assisted DFT pathway whose effective barrier depended on the water reference state, but no direct barrier comparison is justified here.</w:t>
      </w:r>
    </w:p>
    <w:p>
      <w:pPr>
        <w:pStyle w:val="Heading2"/>
        <w:jc w:val="left"/>
      </w:pPr>
      <w:r>
        <w:rPr>
          <w:rFonts w:ascii="Times New Roman" w:hAnsi="Times New Roman" w:cs="Times New Roman" w:eastAsia="Times New Roman"/>
          <w:b/>
          <w:i w:val="0"/>
          <w:color w:val="000000"/>
          <w:sz w:val="24"/>
        </w:rPr>
        <w:t>4.4 Harmonic Gibbs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At 298.15 K, the harmonic adsorption Gibbs energies favoured water over vanadic acid by 11.82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At 1003.15 K, the preference increased to 66.36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with both pre-reaction complexes having positive standard adsorption Gibbs energies (Table 4.6). The post-adsorption minima also became less favourable as temperature increased: V-I1 shifted from −35.77 to +108.32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and W-P shifted from +30.79 to +132.66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p>
    <w:p>
      <w:pPr>
        <w:keepNext/>
        <w:keepLines/>
        <w:widowControl/>
        <w:spacing w:line="480" w:lineRule="auto" w:before="0" w:after="80"/>
        <w:ind w:firstLine="0" w:left="0"/>
        <w:jc w:val="left"/>
      </w:pPr>
      <w:bookmarkStart w:id="13" w:name="Table_4_6"/>
      <w:r>
        <w:rPr>
          <w:rFonts w:ascii="Times New Roman" w:hAnsi="Times New Roman" w:cs="Times New Roman" w:eastAsia="Times New Roman"/>
          <w:b w:val="0"/>
          <w:i w:val="0"/>
          <w:color w:val="000000"/>
          <w:sz w:val="24"/>
        </w:rPr>
        <w:t>Table 4.6: Harmonic standard Gibbs energies of adsorption relative to the separated cluster and adsorbate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bookmarkEnd w:id="13"/>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State</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ΔG</w:t>
            </w:r>
            <w:r>
              <w:rPr>
                <w:rFonts w:ascii="Times New Roman" w:hAnsi="Times New Roman" w:cs="Times New Roman" w:eastAsia="Times New Roman"/>
                <w:b/>
                <w:i w:val="0"/>
                <w:color w:val="000000"/>
                <w:sz w:val="24"/>
                <w:vertAlign w:val="superscript"/>
              </w:rPr>
              <w:t>°</w:t>
            </w:r>
            <w:r>
              <w:rPr>
                <w:rFonts w:ascii="Times New Roman" w:hAnsi="Times New Roman" w:cs="Times New Roman" w:eastAsia="Times New Roman"/>
                <w:b/>
                <w:i w:val="0"/>
                <w:color w:val="000000"/>
                <w:sz w:val="24"/>
                <w:vertAlign w:val="subscript"/>
              </w:rPr>
              <w:t>ads</w:t>
            </w:r>
            <w:r>
              <w:rPr>
                <w:rFonts w:ascii="Times New Roman" w:hAnsi="Times New Roman" w:cs="Times New Roman" w:eastAsia="Times New Roman"/>
                <w:b/>
                <w:i w:val="0"/>
                <w:color w:val="000000"/>
                <w:sz w:val="24"/>
              </w:rPr>
              <w:t xml:space="preserve"> at 298.15 K</w:t>
            </w:r>
          </w:p>
        </w:tc>
        <w:tc>
          <w:tcPr>
            <w:tcW w:type="dxa" w:w="2835"/>
          </w:tcPr>
          <w:p>
            <w:pPr>
              <w:widowControl/>
              <w:spacing w:line="480" w:lineRule="auto" w:before="0" w:after="40"/>
              <w:ind w:firstLine="0" w:left="0"/>
              <w:jc w:val="left"/>
            </w:pPr>
            <w:r/>
            <w:r>
              <w:rPr>
                <w:rFonts w:ascii="Times New Roman" w:hAnsi="Times New Roman" w:cs="Times New Roman" w:eastAsia="Times New Roman"/>
                <w:b/>
                <w:i w:val="0"/>
                <w:color w:val="000000"/>
                <w:sz w:val="24"/>
              </w:rPr>
              <w:t>ΔG</w:t>
            </w:r>
            <w:r>
              <w:rPr>
                <w:rFonts w:ascii="Times New Roman" w:hAnsi="Times New Roman" w:cs="Times New Roman" w:eastAsia="Times New Roman"/>
                <w:b/>
                <w:i w:val="0"/>
                <w:color w:val="000000"/>
                <w:sz w:val="24"/>
                <w:vertAlign w:val="superscript"/>
              </w:rPr>
              <w:t>°</w:t>
            </w:r>
            <w:r>
              <w:rPr>
                <w:rFonts w:ascii="Times New Roman" w:hAnsi="Times New Roman" w:cs="Times New Roman" w:eastAsia="Times New Roman"/>
                <w:b/>
                <w:i w:val="0"/>
                <w:color w:val="000000"/>
                <w:sz w:val="24"/>
                <w:vertAlign w:val="subscript"/>
              </w:rPr>
              <w:t>ads</w:t>
            </w:r>
            <w:r>
              <w:rPr>
                <w:rFonts w:ascii="Times New Roman" w:hAnsi="Times New Roman" w:cs="Times New Roman" w:eastAsia="Times New Roman"/>
                <w:b/>
                <w:i w:val="0"/>
                <w:color w:val="000000"/>
                <w:sz w:val="24"/>
              </w:rPr>
              <w:t xml:space="preserve"> at 1003.15 K</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−17.05</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+133.39</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−35.77</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+108.32</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−28.87</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+67.03</w:t>
            </w:r>
          </w:p>
        </w:tc>
      </w:tr>
      <w:tr>
        <w:trPr>
          <w:cantSplit/>
        </w:trPr>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+30.79</w:t>
            </w:r>
          </w:p>
        </w:tc>
        <w:tc>
          <w:tcPr>
            <w:tcW w:type="dxa" w:w="2835"/>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+132.66</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Gibbs-energy ranking reverses the electronic adsorption preference reported in Section 4.2, and the water advantage widens with temperature because the thermal corrections differ between V-PRC and W-PRC (Appendix B.4). This sensitivity to thermochemical reference states is consistent with Malola et al.'s (2012) finding that the water reference affects calculated dealumination energetics, although their periodic pathway is not directly comparable with this cluster adsorption model. The 1003.15 K values use ideal-gas, rigid-rotor, harmonic-oscillator thermochemistry and do not include pore confinement or coverage-dependent interactions.</w:t>
      </w:r>
    </w:p>
    <w:p>
      <w:pPr>
        <w:pStyle w:val="Heading2"/>
        <w:jc w:val="left"/>
      </w:pPr>
      <w:r>
        <w:rPr>
          <w:rFonts w:ascii="Times New Roman" w:hAnsi="Times New Roman" w:cs="Times New Roman" w:eastAsia="Times New Roman"/>
          <w:b/>
          <w:i w:val="0"/>
          <w:color w:val="000000"/>
          <w:sz w:val="24"/>
        </w:rPr>
        <w:t>4.5 Conditional Competitive Site-Occupation Estimate</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Using the 1003.15 K Gibbs energies and regenerator partial pressures, the conditional single-site model gives a water fraction of 1.29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 xml:space="preserve"> and a vanadic-acid fraction of 2.27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xml:space="preserve"> to 2.27 × 10</w:t>
      </w:r>
      <w:r>
        <w:rPr>
          <w:rFonts w:ascii="Times New Roman" w:hAnsi="Times New Roman" w:cs="Times New Roman" w:eastAsia="Times New Roman"/>
          <w:b w:val="0"/>
          <w:i w:val="0"/>
          <w:color w:val="000000"/>
          <w:sz w:val="24"/>
          <w:vertAlign w:val="superscript"/>
        </w:rPr>
        <w:t>-12</w:t>
      </w:r>
      <w:r>
        <w:rPr>
          <w:rFonts w:ascii="Times New Roman" w:hAnsi="Times New Roman" w:cs="Times New Roman" w:eastAsia="Times New Roman"/>
          <w:b w:val="0"/>
          <w:i w:val="0"/>
          <w:color w:val="000000"/>
          <w:sz w:val="24"/>
        </w:rPr>
        <w:t xml:space="preserve"> (Table 4.7). The resulting water-to-vanadic-acid occupation ratio is 5.7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to 5.7 × 10</w:t>
      </w:r>
      <w:r>
        <w:rPr>
          <w:rFonts w:ascii="Times New Roman" w:hAnsi="Times New Roman" w:cs="Times New Roman" w:eastAsia="Times New Roman"/>
          <w:b w:val="0"/>
          <w:i w:val="0"/>
          <w:color w:val="000000"/>
          <w:sz w:val="24"/>
          <w:vertAlign w:val="superscript"/>
        </w:rPr>
        <w:t>8</w:t>
      </w:r>
      <w:r>
        <w:rPr>
          <w:rFonts w:ascii="Times New Roman" w:hAnsi="Times New Roman" w:cs="Times New Roman" w:eastAsia="Times New Roman"/>
          <w:b w:val="0"/>
          <w:i w:val="0"/>
          <w:color w:val="000000"/>
          <w:sz w:val="24"/>
        </w:rPr>
        <w:t>; the standard equilibrium constants and substitutions are given in Appendix B.5. At the 3.37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atm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partial pressure reported by Trujillo et al. (1997), the calculated ratio is approximately 3.39 × 10</w:t>
      </w:r>
      <w:r>
        <w:rPr>
          <w:rFonts w:ascii="Times New Roman" w:hAnsi="Times New Roman" w:cs="Times New Roman" w:eastAsia="Times New Roman"/>
          <w:b w:val="0"/>
          <w:i w:val="0"/>
          <w:color w:val="000000"/>
          <w:sz w:val="24"/>
          <w:vertAlign w:val="superscript"/>
        </w:rPr>
        <w:t>8</w:t>
      </w:r>
      <w:r>
        <w:rPr>
          <w:rFonts w:ascii="Times New Roman" w:hAnsi="Times New Roman" w:cs="Times New Roman" w:eastAsia="Times New Roman"/>
          <w:b w:val="0"/>
          <w:i w:val="0"/>
          <w:color w:val="000000"/>
          <w:sz w:val="24"/>
        </w:rPr>
        <w:t>.</w:t>
      </w:r>
    </w:p>
    <w:p>
      <w:pPr>
        <w:keepNext/>
        <w:keepLines/>
        <w:widowControl/>
        <w:spacing w:line="480" w:lineRule="auto" w:before="0" w:after="80"/>
        <w:ind w:firstLine="0" w:left="0"/>
        <w:jc w:val="left"/>
      </w:pPr>
      <w:bookmarkStart w:id="14" w:name="Table_4_7"/>
      <w:r>
        <w:rPr>
          <w:rFonts w:ascii="Times New Roman" w:hAnsi="Times New Roman" w:cs="Times New Roman" w:eastAsia="Times New Roman"/>
          <w:b w:val="0"/>
          <w:i w:val="0"/>
          <w:color w:val="000000"/>
          <w:sz w:val="24"/>
        </w:rPr>
        <w:t>Table 4.7: Formal single-site occupation estimate at 1003.15 K</w:t>
      </w:r>
      <w:bookmarkEnd w:id="14"/>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Species or ratio</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K</w:t>
            </w:r>
            <w:r>
              <w:rPr>
                <w:rFonts w:ascii="Times New Roman" w:hAnsi="Times New Roman" w:cs="Times New Roman" w:eastAsia="Times New Roman"/>
                <w:b/>
                <w:i w:val="0"/>
                <w:color w:val="000000"/>
                <w:sz w:val="24"/>
                <w:vertAlign w:val="superscript"/>
              </w:rPr>
              <w:t>°</w:t>
            </w:r>
            <w:r>
              <w:rPr>
                <w:rFonts w:ascii="Times New Roman" w:hAnsi="Times New Roman" w:cs="Times New Roman" w:eastAsia="Times New Roman"/>
                <w:b/>
                <w:i w:val="0"/>
                <w:color w:val="000000"/>
                <w:sz w:val="24"/>
              </w:rPr>
              <w:t xml:space="preserve"> at 1003.15 K</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Partial pressure p/p</w:t>
            </w:r>
            <w:r>
              <w:rPr>
                <w:rFonts w:ascii="Times New Roman" w:hAnsi="Times New Roman" w:cs="Times New Roman" w:eastAsia="Times New Roman"/>
                <w:b/>
                <w:i w:val="0"/>
                <w:color w:val="000000"/>
                <w:sz w:val="24"/>
                <w:vertAlign w:val="superscript"/>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Calculated site fraction or ratio</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1.13 × 10</w:t>
            </w:r>
            <w:r>
              <w:rPr>
                <w:rFonts w:ascii="Times New Roman" w:hAnsi="Times New Roman" w:cs="Times New Roman" w:eastAsia="Times New Roman"/>
                <w:b w:val="0"/>
                <w:i w:val="0"/>
                <w:color w:val="000000"/>
                <w:sz w:val="24"/>
                <w:vertAlign w:val="superscript"/>
              </w:rPr>
              <w:t>-7</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to 2 × 10</w:t>
            </w:r>
            <w:r>
              <w:rPr>
                <w:rFonts w:ascii="Times New Roman" w:hAnsi="Times New Roman" w:cs="Times New Roman" w:eastAsia="Times New Roman"/>
                <w:b w:val="0"/>
                <w:i w:val="0"/>
                <w:color w:val="000000"/>
                <w:sz w:val="24"/>
                <w:vertAlign w:val="superscript"/>
              </w:rPr>
              <w:t>-5</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2.27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xml:space="preserve"> to 2.27 × 10</w:t>
            </w:r>
            <w:r>
              <w:rPr>
                <w:rFonts w:ascii="Times New Roman" w:hAnsi="Times New Roman" w:cs="Times New Roman" w:eastAsia="Times New Roman"/>
                <w:b w:val="0"/>
                <w:i w:val="0"/>
                <w:color w:val="000000"/>
                <w:sz w:val="24"/>
                <w:vertAlign w:val="superscript"/>
              </w:rPr>
              <w:t>-12</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3.23 × 10</w:t>
            </w:r>
            <w:r>
              <w:rPr>
                <w:rFonts w:ascii="Times New Roman" w:hAnsi="Times New Roman" w:cs="Times New Roman" w:eastAsia="Times New Roman"/>
                <w:b w:val="0"/>
                <w:i w:val="0"/>
                <w:color w:val="000000"/>
                <w:sz w:val="24"/>
                <w:vertAlign w:val="super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0.4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1.29 × 10</w:t>
            </w:r>
            <w:r>
              <w:rPr>
                <w:rFonts w:ascii="Times New Roman" w:hAnsi="Times New Roman" w:cs="Times New Roman" w:eastAsia="Times New Roman"/>
                <w:b w:val="0"/>
                <w:i w:val="0"/>
                <w:color w:val="000000"/>
                <w:sz w:val="24"/>
                <w:vertAlign w:val="superscript"/>
              </w:rPr>
              <w:t>-4</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θ(H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O)/θ(H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5.7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to 5.7 × 10</w:t>
            </w:r>
            <w:r>
              <w:rPr>
                <w:rFonts w:ascii="Times New Roman" w:hAnsi="Times New Roman" w:cs="Times New Roman" w:eastAsia="Times New Roman"/>
                <w:b w:val="0"/>
                <w:i w:val="0"/>
                <w:color w:val="000000"/>
                <w:sz w:val="24"/>
                <w:vertAlign w:val="superscript"/>
              </w:rPr>
              <w:t>8</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model predicts a much greater conditional occupation by water under the stated steam-rich gas composition, in line with the steam-dominated interpretation discussed by Pine (1990). The predicted fractions are small despite their large ratio, so they represent relative competition in the specified equilibrium model rather than measured coverage or reaction rate. The result does not exclude the vanadic-acid route proposed by Wormsbecher et al. (1986): Trujillo et al. (1997) discussed local vanadium enrichment, whereas the present estimate uses bulk gas partial pressures and does not model pore confinement or competing reaction barriers.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w:t>
      </w:r>
    </w:p>
    <w:p>
      <w:pPr>
        <w:keepNext/>
        <w:keepLines/>
        <w:pageBreakBefore/>
        <w:spacing w:line="240" w:lineRule="auto" w:before="0" w:after="0"/>
        <w:ind w:firstLine="0"/>
        <w:jc w:val="center"/>
      </w:pPr>
      <w:r>
        <w:rPr>
          <w:rFonts w:ascii="Times New Roman" w:hAnsi="Times New Roman" w:cs="Times New Roman" w:eastAsia="Times New Roman"/>
          <w:b/>
          <w:i w:val="0"/>
          <w:color w:val="000000"/>
          <w:sz w:val="24"/>
        </w:rPr>
        <w:t>CHAPTER FIVE</w:t>
      </w:r>
    </w:p>
    <w:p>
      <w:pPr>
        <w:pStyle w:val="Heading1"/>
        <w:pageBreakBefore w:val="0"/>
        <w:spacing w:before="0"/>
        <w:jc w:val="left"/>
      </w:pPr>
      <w:r>
        <w:rPr>
          <w:rFonts w:ascii="Times New Roman" w:hAnsi="Times New Roman" w:cs="Times New Roman" w:eastAsia="Times New Roman"/>
          <w:b/>
          <w:i w:val="0"/>
          <w:color w:val="000000"/>
          <w:sz w:val="24"/>
        </w:rPr>
        <w:t>5.0 CONCLUSIONS AND RECOMMENDATIONS</w:t>
      </w:r>
    </w:p>
    <w:p>
      <w:pPr>
        <w:pStyle w:val="Heading2"/>
        <w:jc w:val="left"/>
      </w:pPr>
      <w:r>
        <w:rPr>
          <w:rFonts w:ascii="Times New Roman" w:hAnsi="Times New Roman" w:cs="Times New Roman" w:eastAsia="Times New Roman"/>
          <w:b/>
          <w:i w:val="0"/>
          <w:color w:val="000000"/>
          <w:sz w:val="24"/>
        </w:rPr>
        <w:t>5.1 Summary of the Study</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study compared vanadic acid and water at a model Zeolite Y Brønsted acid site using a 22-atom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xml:space="preserve"> cluster. GFN2-xTB screened structures and pathway candidates, while B3LYP and PBE0 calculations provided the electronic-energy comparison. Harmonic Gibbs energies and a conditional competitive-site estimate were evaluated at regenerator temperature.</w:t>
      </w:r>
    </w:p>
    <w:p>
      <w:pPr>
        <w:pStyle w:val="Heading2"/>
        <w:jc w:val="left"/>
      </w:pPr>
      <w:r>
        <w:rPr>
          <w:rFonts w:ascii="Times New Roman" w:hAnsi="Times New Roman" w:cs="Times New Roman" w:eastAsia="Times New Roman"/>
          <w:b/>
          <w:i w:val="0"/>
          <w:color w:val="000000"/>
          <w:sz w:val="24"/>
        </w:rPr>
        <w:t>5.2 Conclusions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1. The optimised AlSi</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13</w:t>
      </w:r>
      <w:r>
        <w:rPr>
          <w:rFonts w:ascii="Times New Roman" w:hAnsi="Times New Roman" w:cs="Times New Roman" w:eastAsia="Times New Roman"/>
          <w:b w:val="0"/>
          <w:i w:val="0"/>
          <w:color w:val="000000"/>
          <w:sz w:val="24"/>
        </w:rPr>
        <w:t xml:space="preserve"> model represented one Zeolite Y Brønsted acid site. Converged vanadic-acid and water structures showed distinct local geometries, as summarised in Tables 4.1 and 4.2.</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2. B3LYP-D3(BJ)/def2-TZVP predicted an electronic adsorption preference of 14.69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for vanadic acid over water. The PBE0 single-point comparison gave 14.44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while GFN2-xTB gave a larger screening-level difference. These values establish a modest, consistent DFT electronic-binding preference for vanadic acid in the cluster model.</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3. The GFN2-xTB search yielded a screening-level candidate barrier of 160.70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above V-I1 for the first Al–O cleavage step in the vanadic-acid route. Appendix A records the separate DFT frequency and water-path assessments.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4. Harmonic Gibbs energies favoured water over vanadic acid by 11.82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at 298.15 K and 66.36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at 1003.15 K. Under the stated regenerator partial pressures, the conditional single-site model gave a water-to-vanadic-acid site-fraction ratio of 5.7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to 5.7 × 10</w:t>
      </w:r>
      <w:r>
        <w:rPr>
          <w:rFonts w:ascii="Times New Roman" w:hAnsi="Times New Roman" w:cs="Times New Roman" w:eastAsia="Times New Roman"/>
          <w:b w:val="0"/>
          <w:i w:val="0"/>
          <w:color w:val="000000"/>
          <w:sz w:val="24"/>
          <w:vertAlign w:val="superscript"/>
        </w:rPr>
        <w:t>8</w:t>
      </w:r>
      <w:r>
        <w:rPr>
          <w:rFonts w:ascii="Times New Roman" w:hAnsi="Times New Roman" w:cs="Times New Roman" w:eastAsia="Times New Roman"/>
          <w:b w:val="0"/>
          <w:i w:val="0"/>
          <w:color w:val="000000"/>
          <w:sz w:val="24"/>
        </w:rPr>
        <w:t>. Appendix B provides the calculation substitutions and model assumptions.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combined results distinguish electronic binding, temperature-dependent site competition, and pathway energy. They provide a model-level basis for comparing the vanadic-acid route with steam-dominated and sodium-mediated explanations of Zeolite Y dealumination. Pore-aware calculations and catalyst measurements can test the relative contributions of these factors.</w:t>
      </w:r>
    </w:p>
    <w:p>
      <w:pPr>
        <w:pStyle w:val="Heading2"/>
        <w:jc w:val="left"/>
      </w:pPr>
      <w:r>
        <w:rPr>
          <w:rFonts w:ascii="Times New Roman" w:hAnsi="Times New Roman" w:cs="Times New Roman" w:eastAsia="Times New Roman"/>
          <w:b/>
          <w:i w:val="0"/>
          <w:color w:val="000000"/>
          <w:sz w:val="24"/>
        </w:rPr>
        <w:t>5.3 Recommendations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1. Extend the adsorption model to a larger cluster or periodic Zeolite Y structure that includes pore confinement, explicit water, and the framework electrostatic environment.</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2. Complete a consistent counterpoise correction for both adsorbates and compare the corrected values with the electronic energies reported here.</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3. Continue the transition-state search with improved DFT starting geometries, mode verification, and reaction-path calculations for both vanadic-acid and water-hydrolysis routes.</w:t>
      </w:r>
    </w:p>
    <w:p>
      <w:pPr>
        <w:widowControl/>
        <w:spacing w:line="480" w:lineRule="auto" w:before="0" w:after="120"/>
        <w:ind w:firstLine="0" w:left="255"/>
        <w:jc w:val="both"/>
      </w:pPr>
      <w:r>
        <w:rPr>
          <w:rFonts w:ascii="Times New Roman" w:hAnsi="Times New Roman" w:cs="Times New Roman" w:eastAsia="Times New Roman"/>
          <w:b w:val="0"/>
          <w:i w:val="0"/>
          <w:color w:val="000000"/>
          <w:sz w:val="24"/>
        </w:rPr>
        <w:t>4. Include exchangeable sodium and relevant vanadium species in a follow-up model, then compare the predictions with measurements on steamed, vanadium-contaminated catalysts.</w:t>
      </w:r>
    </w:p>
    <w:p>
      <w:pPr>
        <w:pStyle w:val="Heading1"/>
        <w:pageBreakBefore/>
        <w:jc w:val="left"/>
      </w:pPr>
      <w:r>
        <w:rPr>
          <w:rFonts w:ascii="Times New Roman" w:hAnsi="Times New Roman" w:cs="Times New Roman" w:eastAsia="Times New Roman"/>
          <w:b/>
          <w:i w:val="0"/>
          <w:color w:val="000000"/>
          <w:sz w:val="24"/>
        </w:rPr>
        <w:t>REFERENCES</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Adamo, C., &amp; Barone, V. (1999). Toward reliable density functional methods without adjustable parameters: The PBE0 model. </w:t>
      </w:r>
      <w:r>
        <w:rPr>
          <w:rFonts w:ascii="Times New Roman" w:hAnsi="Times New Roman" w:cs="Times New Roman" w:eastAsia="Times New Roman"/>
          <w:b w:val="0"/>
          <w:i/>
          <w:color w:val="000000"/>
          <w:sz w:val="24"/>
        </w:rPr>
        <w:t>The Journal of Chemical Physics, 110</w:t>
      </w:r>
      <w:r>
        <w:rPr>
          <w:rFonts w:ascii="Times New Roman" w:hAnsi="Times New Roman" w:cs="Times New Roman" w:eastAsia="Times New Roman"/>
          <w:b w:val="0"/>
          <w:i w:val="0"/>
          <w:color w:val="000000"/>
          <w:sz w:val="24"/>
        </w:rPr>
        <w:t>(13), 6158–6170. https://doi.org/10.1063/1.478522</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Adanenche, D. E., Aliyu, A., Atta, A. Y., &amp; El-Yakubu, B. J. (2023). Residue fluid catalytic cracking: A review on the mitigation strategies of metal poisoning of RFCC catalyst using metal passivators/traps. </w:t>
      </w:r>
      <w:r>
        <w:rPr>
          <w:rFonts w:ascii="Times New Roman" w:hAnsi="Times New Roman" w:cs="Times New Roman" w:eastAsia="Times New Roman"/>
          <w:b w:val="0"/>
          <w:i/>
          <w:color w:val="000000"/>
          <w:sz w:val="24"/>
        </w:rPr>
        <w:t>Fuel, 343</w:t>
      </w:r>
      <w:r>
        <w:rPr>
          <w:rFonts w:ascii="Times New Roman" w:hAnsi="Times New Roman" w:cs="Times New Roman" w:eastAsia="Times New Roman"/>
          <w:b w:val="0"/>
          <w:i w:val="0"/>
          <w:color w:val="000000"/>
          <w:sz w:val="24"/>
        </w:rPr>
        <w:t>, 127894. https://doi.org/10.1016/j.fuel.2023.127894</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Bannwarth, C., Ehlert, S., &amp; Grimme, S. (2019). GFN2-xTB: An accurate and broadly parametrized self-consistent tight-binding quantum chemical method with multipole electrostatics and density-dependent dispersion contributions. </w:t>
      </w:r>
      <w:r>
        <w:rPr>
          <w:rFonts w:ascii="Times New Roman" w:hAnsi="Times New Roman" w:cs="Times New Roman" w:eastAsia="Times New Roman"/>
          <w:b w:val="0"/>
          <w:i/>
          <w:color w:val="000000"/>
          <w:sz w:val="24"/>
        </w:rPr>
        <w:t>Journal of Chemical Theory and Computation, 15</w:t>
      </w:r>
      <w:r>
        <w:rPr>
          <w:rFonts w:ascii="Times New Roman" w:hAnsi="Times New Roman" w:cs="Times New Roman" w:eastAsia="Times New Roman"/>
          <w:b w:val="0"/>
          <w:i w:val="0"/>
          <w:color w:val="000000"/>
          <w:sz w:val="24"/>
        </w:rPr>
        <w:t>(3), 1652–1671. https://doi.org/10.1021/acs.jctc.8b01176</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Becke, A. D. (1993). Density-functional thermochemistry. III. The role of exact exchange. </w:t>
      </w:r>
      <w:r>
        <w:rPr>
          <w:rFonts w:ascii="Times New Roman" w:hAnsi="Times New Roman" w:cs="Times New Roman" w:eastAsia="Times New Roman"/>
          <w:b w:val="0"/>
          <w:i/>
          <w:color w:val="000000"/>
          <w:sz w:val="24"/>
        </w:rPr>
        <w:t>The Journal of Chemical Physics, 98</w:t>
      </w:r>
      <w:r>
        <w:rPr>
          <w:rFonts w:ascii="Times New Roman" w:hAnsi="Times New Roman" w:cs="Times New Roman" w:eastAsia="Times New Roman"/>
          <w:b w:val="0"/>
          <w:i w:val="0"/>
          <w:color w:val="000000"/>
          <w:sz w:val="24"/>
        </w:rPr>
        <w:t>(7), 5648–5652. https://doi.org/10.1063/1.464913</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Etim, U. J., Xu, B., Ullah, R., &amp; Yan, Z. (2016). Effect of vanadium contamination on the framework and micropore structure of ultra stable Y-zeolite. </w:t>
      </w:r>
      <w:r>
        <w:rPr>
          <w:rFonts w:ascii="Times New Roman" w:hAnsi="Times New Roman" w:cs="Times New Roman" w:eastAsia="Times New Roman"/>
          <w:b w:val="0"/>
          <w:i/>
          <w:color w:val="000000"/>
          <w:sz w:val="24"/>
        </w:rPr>
        <w:t>Journal of Colloid and Interface Science, 463</w:t>
      </w:r>
      <w:r>
        <w:rPr>
          <w:rFonts w:ascii="Times New Roman" w:hAnsi="Times New Roman" w:cs="Times New Roman" w:eastAsia="Times New Roman"/>
          <w:b w:val="0"/>
          <w:i w:val="0"/>
          <w:color w:val="000000"/>
          <w:sz w:val="24"/>
        </w:rPr>
        <w:t>, 188–198. https://doi.org/10.1016/j.jcis.2015.10.049</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Etim, U. J., Bai, P., Ullah, R., Subhan, F., &amp; Yan, Z. (2018). Vanadium contamination of FCC catalyst: Understanding the destruction and passivation mechanisms. </w:t>
      </w:r>
      <w:r>
        <w:rPr>
          <w:rFonts w:ascii="Times New Roman" w:hAnsi="Times New Roman" w:cs="Times New Roman" w:eastAsia="Times New Roman"/>
          <w:b w:val="0"/>
          <w:i/>
          <w:color w:val="000000"/>
          <w:sz w:val="24"/>
        </w:rPr>
        <w:t>Applied Catalysis A: General, 555</w:t>
      </w:r>
      <w:r>
        <w:rPr>
          <w:rFonts w:ascii="Times New Roman" w:hAnsi="Times New Roman" w:cs="Times New Roman" w:eastAsia="Times New Roman"/>
          <w:b w:val="0"/>
          <w:i w:val="0"/>
          <w:color w:val="000000"/>
          <w:sz w:val="24"/>
        </w:rPr>
        <w:t>, 108–117. https://doi.org/10.1016/j.apcata.2018.02.011</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Grimme, S., Ehrlich, S., &amp; Goerigk, L. (2011). Effect of the damping function in dispersion corrected density functional theory. </w:t>
      </w:r>
      <w:r>
        <w:rPr>
          <w:rFonts w:ascii="Times New Roman" w:hAnsi="Times New Roman" w:cs="Times New Roman" w:eastAsia="Times New Roman"/>
          <w:b w:val="0"/>
          <w:i/>
          <w:color w:val="000000"/>
          <w:sz w:val="24"/>
        </w:rPr>
        <w:t>Journal of Computational Chemistry, 32</w:t>
      </w:r>
      <w:r>
        <w:rPr>
          <w:rFonts w:ascii="Times New Roman" w:hAnsi="Times New Roman" w:cs="Times New Roman" w:eastAsia="Times New Roman"/>
          <w:b w:val="0"/>
          <w:i w:val="0"/>
          <w:color w:val="000000"/>
          <w:sz w:val="24"/>
        </w:rPr>
        <w:t>(7), 1456–1465. https://doi.org/10.1002/jcc.21759</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Henkelman, G., &amp; Jónsson, H. (2000). Improved tangent estimate in the nudged elastic band method for finding minimum energy paths and saddle points. </w:t>
      </w:r>
      <w:r>
        <w:rPr>
          <w:rFonts w:ascii="Times New Roman" w:hAnsi="Times New Roman" w:cs="Times New Roman" w:eastAsia="Times New Roman"/>
          <w:b w:val="0"/>
          <w:i/>
          <w:color w:val="000000"/>
          <w:sz w:val="24"/>
        </w:rPr>
        <w:t>The Journal of Chemical Physics, 113</w:t>
      </w:r>
      <w:r>
        <w:rPr>
          <w:rFonts w:ascii="Times New Roman" w:hAnsi="Times New Roman" w:cs="Times New Roman" w:eastAsia="Times New Roman"/>
          <w:b w:val="0"/>
          <w:i w:val="0"/>
          <w:color w:val="000000"/>
          <w:sz w:val="24"/>
        </w:rPr>
        <w:t>(22), 9978–9985.</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Lee, C., Yang, W., &amp; Parr, R. G. (1988). Development of the Colle-Salvetti correlation-energy formula into a functional of the electron density. </w:t>
      </w:r>
      <w:r>
        <w:rPr>
          <w:rFonts w:ascii="Times New Roman" w:hAnsi="Times New Roman" w:cs="Times New Roman" w:eastAsia="Times New Roman"/>
          <w:b w:val="0"/>
          <w:i/>
          <w:color w:val="000000"/>
          <w:sz w:val="24"/>
        </w:rPr>
        <w:t>Physical Review B, 37</w:t>
      </w:r>
      <w:r>
        <w:rPr>
          <w:rFonts w:ascii="Times New Roman" w:hAnsi="Times New Roman" w:cs="Times New Roman" w:eastAsia="Times New Roman"/>
          <w:b w:val="0"/>
          <w:i w:val="0"/>
          <w:color w:val="000000"/>
          <w:sz w:val="24"/>
        </w:rPr>
        <w:t>(2), 785–789. https://doi.org/10.1103/PhysRevB.37.785</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Malola, S., Svelle, S., Lønstad Bleken, F., &amp; Swang, O. (2012). Detailed reaction paths for zeolite dealumination and desilication from density functional calculations. </w:t>
      </w:r>
      <w:r>
        <w:rPr>
          <w:rFonts w:ascii="Times New Roman" w:hAnsi="Times New Roman" w:cs="Times New Roman" w:eastAsia="Times New Roman"/>
          <w:b w:val="0"/>
          <w:i/>
          <w:color w:val="000000"/>
          <w:sz w:val="24"/>
        </w:rPr>
        <w:t>Angewandte Chemie International Edition, 51</w:t>
      </w:r>
      <w:r>
        <w:rPr>
          <w:rFonts w:ascii="Times New Roman" w:hAnsi="Times New Roman" w:cs="Times New Roman" w:eastAsia="Times New Roman"/>
          <w:b w:val="0"/>
          <w:i w:val="0"/>
          <w:color w:val="000000"/>
          <w:sz w:val="24"/>
        </w:rPr>
        <w:t>(3), 652–655. https://doi.org/10.1002/anie.201104462</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Mitchell, B. R. (1980). Metal contamination of cracking catalysts. 1. Synthetic metals deposition on fresh catalysts. </w:t>
      </w:r>
      <w:r>
        <w:rPr>
          <w:rFonts w:ascii="Times New Roman" w:hAnsi="Times New Roman" w:cs="Times New Roman" w:eastAsia="Times New Roman"/>
          <w:b w:val="0"/>
          <w:i/>
          <w:color w:val="000000"/>
          <w:sz w:val="24"/>
        </w:rPr>
        <w:t>Industrial &amp; Engineering Chemistry Product Research and Development, 19</w:t>
      </w:r>
      <w:r>
        <w:rPr>
          <w:rFonts w:ascii="Times New Roman" w:hAnsi="Times New Roman" w:cs="Times New Roman" w:eastAsia="Times New Roman"/>
          <w:b w:val="0"/>
          <w:i w:val="0"/>
          <w:color w:val="000000"/>
          <w:sz w:val="24"/>
        </w:rPr>
        <w:t>(2), 209–213. https://doi.org/10.1021/i360074a015</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Neese, F. (2025). Software update: The ORCA program system: Version 6.0. </w:t>
      </w:r>
      <w:r>
        <w:rPr>
          <w:rFonts w:ascii="Times New Roman" w:hAnsi="Times New Roman" w:cs="Times New Roman" w:eastAsia="Times New Roman"/>
          <w:b w:val="0"/>
          <w:i/>
          <w:color w:val="000000"/>
          <w:sz w:val="24"/>
        </w:rPr>
        <w:t>Wiley Interdisciplinary Reviews: Computational Molecular Science, 15</w:t>
      </w:r>
      <w:r>
        <w:rPr>
          <w:rFonts w:ascii="Times New Roman" w:hAnsi="Times New Roman" w:cs="Times New Roman" w:eastAsia="Times New Roman"/>
          <w:b w:val="0"/>
          <w:i w:val="0"/>
          <w:color w:val="000000"/>
          <w:sz w:val="24"/>
        </w:rPr>
        <w:t>, e70019. https://doi.org/10.1002/wcms.70019</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Occelli, M. L. (1991). Vanadium-zeolite interactions in fluidized cracking catalysts. </w:t>
      </w:r>
      <w:r>
        <w:rPr>
          <w:rFonts w:ascii="Times New Roman" w:hAnsi="Times New Roman" w:cs="Times New Roman" w:eastAsia="Times New Roman"/>
          <w:b w:val="0"/>
          <w:i/>
          <w:color w:val="000000"/>
          <w:sz w:val="24"/>
        </w:rPr>
        <w:t>Catalysis Reviews: Science and Engineering, 33</w:t>
      </w:r>
      <w:r>
        <w:rPr>
          <w:rFonts w:ascii="Times New Roman" w:hAnsi="Times New Roman" w:cs="Times New Roman" w:eastAsia="Times New Roman"/>
          <w:b w:val="0"/>
          <w:i w:val="0"/>
          <w:color w:val="000000"/>
          <w:sz w:val="24"/>
        </w:rPr>
        <w:t>(3–4), 241–280. https://doi.org/10.1080/01614949108020301</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Pine, L. A. (1990). Vanadium-catalyzed destruction of USY zeolites. </w:t>
      </w:r>
      <w:r>
        <w:rPr>
          <w:rFonts w:ascii="Times New Roman" w:hAnsi="Times New Roman" w:cs="Times New Roman" w:eastAsia="Times New Roman"/>
          <w:b w:val="0"/>
          <w:i/>
          <w:color w:val="000000"/>
          <w:sz w:val="24"/>
        </w:rPr>
        <w:t>Journal of Catalysis, 125</w:t>
      </w:r>
      <w:r>
        <w:rPr>
          <w:rFonts w:ascii="Times New Roman" w:hAnsi="Times New Roman" w:cs="Times New Roman" w:eastAsia="Times New Roman"/>
          <w:b w:val="0"/>
          <w:i w:val="0"/>
          <w:color w:val="000000"/>
          <w:sz w:val="24"/>
        </w:rPr>
        <w:t>(2), 514–524. https://doi.org/10.1016/0021-9517(90)90323-C</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Silaghi, M.-C., Chizallet, C., Sauer, J., &amp; Raybaud, P. (2016). Dealumination mechanisms of zeolites and extra-framework aluminum confinement. </w:t>
      </w:r>
      <w:r>
        <w:rPr>
          <w:rFonts w:ascii="Times New Roman" w:hAnsi="Times New Roman" w:cs="Times New Roman" w:eastAsia="Times New Roman"/>
          <w:b w:val="0"/>
          <w:i/>
          <w:color w:val="000000"/>
          <w:sz w:val="24"/>
        </w:rPr>
        <w:t>Journal of Catalysis, 339</w:t>
      </w:r>
      <w:r>
        <w:rPr>
          <w:rFonts w:ascii="Times New Roman" w:hAnsi="Times New Roman" w:cs="Times New Roman" w:eastAsia="Times New Roman"/>
          <w:b w:val="0"/>
          <w:i w:val="0"/>
          <w:color w:val="000000"/>
          <w:sz w:val="24"/>
        </w:rPr>
        <w:t>, 242–255. https://doi.org/10.1016/j.jcat.2016.04.021</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Tielens, F., &amp; Dzwigaj, S. (2010). Probing acid-base sites in vanadium redox zeolites by DFT calculation and compared with FTIR results. </w:t>
      </w:r>
      <w:r>
        <w:rPr>
          <w:rFonts w:ascii="Times New Roman" w:hAnsi="Times New Roman" w:cs="Times New Roman" w:eastAsia="Times New Roman"/>
          <w:b w:val="0"/>
          <w:i/>
          <w:color w:val="000000"/>
          <w:sz w:val="24"/>
        </w:rPr>
        <w:t>Catalysis Today, 152</w:t>
      </w:r>
      <w:r>
        <w:rPr>
          <w:rFonts w:ascii="Times New Roman" w:hAnsi="Times New Roman" w:cs="Times New Roman" w:eastAsia="Times New Roman"/>
          <w:b w:val="0"/>
          <w:i w:val="0"/>
          <w:color w:val="000000"/>
          <w:sz w:val="24"/>
        </w:rPr>
        <w:t>(1–4), 66–69. https://doi.org/10.1016/j.cattod.2009.09.006</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Trujillo, C. A., Navarro Uribe, U., Knops-Gerrits, P.-P., Oviedo A., L. A., &amp; Jacobs, P. A. (1997). The mechanism of zeolite Y destruction by steam in the presence of vanadium. </w:t>
      </w:r>
      <w:r>
        <w:rPr>
          <w:rFonts w:ascii="Times New Roman" w:hAnsi="Times New Roman" w:cs="Times New Roman" w:eastAsia="Times New Roman"/>
          <w:b w:val="0"/>
          <w:i/>
          <w:color w:val="000000"/>
          <w:sz w:val="24"/>
        </w:rPr>
        <w:t>Journal of Catalysis, 168</w:t>
      </w:r>
      <w:r>
        <w:rPr>
          <w:rFonts w:ascii="Times New Roman" w:hAnsi="Times New Roman" w:cs="Times New Roman" w:eastAsia="Times New Roman"/>
          <w:b w:val="0"/>
          <w:i w:val="0"/>
          <w:color w:val="000000"/>
          <w:sz w:val="24"/>
        </w:rPr>
        <w:t>(1), 1–15. https://doi.org/10.1006/jcat.1997.1550</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Weigend, F., &amp; Ahlrichs, R. (2005). Balanced basis sets of split valence, triple zeta valence and quadruple zeta valence quality for H to Rn: Design and assessment of accuracy. </w:t>
      </w:r>
      <w:r>
        <w:rPr>
          <w:rFonts w:ascii="Times New Roman" w:hAnsi="Times New Roman" w:cs="Times New Roman" w:eastAsia="Times New Roman"/>
          <w:b w:val="0"/>
          <w:i/>
          <w:color w:val="000000"/>
          <w:sz w:val="24"/>
        </w:rPr>
        <w:t>Physical Chemistry Chemical Physics, 7</w:t>
      </w:r>
      <w:r>
        <w:rPr>
          <w:rFonts w:ascii="Times New Roman" w:hAnsi="Times New Roman" w:cs="Times New Roman" w:eastAsia="Times New Roman"/>
          <w:b w:val="0"/>
          <w:i w:val="0"/>
          <w:color w:val="000000"/>
          <w:sz w:val="24"/>
        </w:rPr>
        <w:t>(18), 3297–3305. https://doi.org/10.1039/b508541a</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Wormsbecher, R. F., Peters, A. W., &amp; Maselli, J. M. (1986). Vanadium poisoning of cracking catalysts: Mechanism of poisoning and design of vanadium tolerant catalyst system. </w:t>
      </w:r>
      <w:r>
        <w:rPr>
          <w:rFonts w:ascii="Times New Roman" w:hAnsi="Times New Roman" w:cs="Times New Roman" w:eastAsia="Times New Roman"/>
          <w:b w:val="0"/>
          <w:i/>
          <w:color w:val="000000"/>
          <w:sz w:val="24"/>
        </w:rPr>
        <w:t>Journal of Catalysis, 100</w:t>
      </w:r>
      <w:r>
        <w:rPr>
          <w:rFonts w:ascii="Times New Roman" w:hAnsi="Times New Roman" w:cs="Times New Roman" w:eastAsia="Times New Roman"/>
          <w:b w:val="0"/>
          <w:i w:val="0"/>
          <w:color w:val="000000"/>
          <w:sz w:val="24"/>
        </w:rPr>
        <w:t>(1), 130–137. https://doi.org/10.1016/0021-9517(86)90078-3</w:t>
      </w:r>
    </w:p>
    <w:p>
      <w:pPr>
        <w:widowControl/>
        <w:spacing w:line="480" w:lineRule="auto" w:before="0" w:after="240"/>
        <w:ind w:hanging="720" w:left="720"/>
        <w:jc w:val="left"/>
      </w:pPr>
      <w:r>
        <w:rPr>
          <w:rFonts w:ascii="Times New Roman" w:hAnsi="Times New Roman" w:cs="Times New Roman" w:eastAsia="Times New Roman"/>
          <w:b w:val="0"/>
          <w:i w:val="0"/>
          <w:color w:val="000000"/>
          <w:sz w:val="24"/>
        </w:rPr>
        <w:t xml:space="preserve">Xu, M., Liu, X., &amp; Madon, R. J. (2002). Pathways for Y zeolite destruction: The role of sodium and vanadium. </w:t>
      </w:r>
      <w:r>
        <w:rPr>
          <w:rFonts w:ascii="Times New Roman" w:hAnsi="Times New Roman" w:cs="Times New Roman" w:eastAsia="Times New Roman"/>
          <w:b w:val="0"/>
          <w:i/>
          <w:color w:val="000000"/>
          <w:sz w:val="24"/>
        </w:rPr>
        <w:t>Journal of Catalysis, 207</w:t>
      </w:r>
      <w:r>
        <w:rPr>
          <w:rFonts w:ascii="Times New Roman" w:hAnsi="Times New Roman" w:cs="Times New Roman" w:eastAsia="Times New Roman"/>
          <w:b w:val="0"/>
          <w:i w:val="0"/>
          <w:color w:val="000000"/>
          <w:sz w:val="24"/>
        </w:rPr>
        <w:t>(2), 237–246. https://doi.org/10.1006/jcat.2002.3517</w:t>
      </w:r>
    </w:p>
    <w:p>
      <w:pPr>
        <w:pStyle w:val="Heading1"/>
        <w:pageBreakBefore/>
        <w:jc w:val="left"/>
      </w:pPr>
      <w:r>
        <w:rPr>
          <w:rFonts w:ascii="Times New Roman" w:hAnsi="Times New Roman" w:cs="Times New Roman" w:eastAsia="Times New Roman"/>
          <w:b/>
          <w:i w:val="0"/>
          <w:color w:val="000000"/>
          <w:sz w:val="24"/>
        </w:rPr>
        <w:t>APPENDICES</w:t>
      </w:r>
    </w:p>
    <w:p>
      <w:pPr>
        <w:pStyle w:val="Heading2"/>
        <w:jc w:val="left"/>
      </w:pPr>
      <w:r>
        <w:rPr>
          <w:rFonts w:ascii="Times New Roman" w:hAnsi="Times New Roman" w:cs="Times New Roman" w:eastAsia="Times New Roman"/>
          <w:b/>
          <w:i w:val="0"/>
          <w:color w:val="000000"/>
          <w:sz w:val="24"/>
        </w:rPr>
        <w:t>Appendix A. Calculation Register</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This register records the accepted DFT minima, incomplete DFT jobs, counterpoise fragment calculations, and transition-state checks used in the thesis. Job identifiers and log files are retained under `simulation/03_tier2_completion/results/` and `simulation/02_tier1/`.</w:t>
      </w:r>
    </w:p>
    <w:p>
      <w:pPr>
        <w:pStyle w:val="Heading3"/>
        <w:jc w:val="left"/>
      </w:pPr>
      <w:r>
        <w:rPr>
          <w:rFonts w:ascii="Times New Roman" w:hAnsi="Times New Roman" w:cs="Times New Roman" w:eastAsia="Times New Roman"/>
          <w:b w:val="0"/>
          <w:i w:val="0"/>
          <w:color w:val="000000"/>
          <w:sz w:val="24"/>
        </w:rPr>
        <w:t>A.1 DFT structure and pathway jobs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Table A.1 identifies the structures used in Chapter Four and the main incomplete pathway jobs. The register distinguishes converged minima from jobs whose final geometries or frequencies were unavailable.</w:t>
      </w:r>
    </w:p>
    <w:p>
      <w:pPr>
        <w:keepNext/>
        <w:keepLines/>
        <w:widowControl/>
        <w:spacing w:line="480" w:lineRule="auto" w:before="0" w:after="80"/>
        <w:ind w:firstLine="0" w:left="0"/>
        <w:jc w:val="left"/>
      </w:pPr>
      <w:bookmarkStart w:id="15" w:name="Table_Table_A_1__DFT_reference"/>
      <w:r>
        <w:rPr>
          <w:rFonts w:ascii="Times New Roman" w:hAnsi="Times New Roman" w:cs="Times New Roman" w:eastAsia="Times New Roman"/>
          <w:b w:val="0"/>
          <w:i w:val="0"/>
          <w:color w:val="000000"/>
          <w:sz w:val="24"/>
        </w:rPr>
        <w:t>Table A.1: DFT reference, adsorption, and pathway calculation register</w:t>
      </w:r>
      <w:bookmarkEnd w:id="15"/>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Method and state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ORCA output</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Status and frequency result</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Use in thesis</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cluster reference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s1_03_cluster_optfreq.out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 one flat reference mode at −4.64 cm</w:t>
            </w:r>
            <w:r>
              <w:rPr>
                <w:rFonts w:ascii="Times New Roman" w:hAnsi="Times New Roman" w:cs="Times New Roman" w:eastAsia="Times New Roman"/>
                <w:b w:val="0"/>
                <w:i w:val="0"/>
                <w:color w:val="000000"/>
                <w:sz w:val="24"/>
                <w:vertAlign w:val="superscript"/>
              </w:rPr>
              <w:t>-1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Energy and Gibbs reference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s1_02_h3vo4_optfreq.out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 minimum, zero imaginary modes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Isolated vanadic-acid reference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s1_01_h2o_optfreq.out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 minimum, zero imaginary modes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Isolated water reference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V-PRC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s1_04_vprc_optfreq.out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 minimum, zero imaginary modes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Vanadic-acid adsorption energy and geometry</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W-PRC</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s1_05_wprc_optfreq.out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 minimum, zero imaginary modes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Water adsorption energy and geometry</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V-I1</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s4_01_vi1_optfreq.out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 minimum, zero imaginary modes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Post-adsorption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W-P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s4_04_wp_optfreq.out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Converged minimum, zero imaginary modes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Water-path post-adsorption minimum</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PBE0 adsorption and post-adsorption single points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pbe0_cluster.out, pbe0_h2o.out, pbe0_h3vo4.out, pbe0_v-prc.out, pbe0_w-prc.out, pbe0_v-i1.out, pbe0_w-p.out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Completed</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Electronic-energy comparison in Tables 4.3 and 4.4</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V-TS2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s4_05_vts2_optts.out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200 cycles reached, optimisation unconverged, 14 imaginary modes</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DFT transition-state assessment in Appendix A</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V-I2</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first_pass/s4_02_vi2_optfreq.out and s4_02_vi2_optfreq.out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90- and 60-cycle runs, both unconverged, frequency data unavailable</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Excluded from final DFT minima</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B3LYP V-P</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first_pass/s4_03_vp_optfreq.out and s4_03_vp_optfreq.out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90-cycle run unconverged, 25-cycle run ended before normal completion</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Excluded from final DFT minima</w:t>
            </w:r>
          </w:p>
        </w:tc>
      </w:tr>
    </w:tbl>
    <w:p>
      <w:pPr>
        <w:spacing w:after="160"/>
      </w:pPr>
    </w:p>
    <w:p>
      <w:pPr>
        <w:pStyle w:val="Heading3"/>
        <w:jc w:val="left"/>
      </w:pPr>
      <w:r>
        <w:rPr>
          <w:rFonts w:ascii="Times New Roman" w:hAnsi="Times New Roman" w:cs="Times New Roman" w:eastAsia="Times New Roman"/>
          <w:b w:val="0"/>
          <w:i w:val="0"/>
          <w:color w:val="000000"/>
          <w:sz w:val="24"/>
        </w:rPr>
        <w:t>A.2 Counterpoise fragment calculations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Four manual ghost-fragment jobs were run for the PBE0 counterpoise estimate. Table A.2 records their outcomes. Three jobs completed normally and the V-PRC cluster-fragment job terminated in the LEANSCF step, leaving the fragment set incomplete; the Chapter Four adsorption energies therefore use the direct electronic values.</w:t>
      </w:r>
    </w:p>
    <w:p>
      <w:pPr>
        <w:keepNext/>
        <w:keepLines/>
        <w:widowControl/>
        <w:spacing w:line="480" w:lineRule="auto" w:before="0" w:after="80"/>
        <w:ind w:firstLine="0" w:left="0"/>
        <w:jc w:val="left"/>
      </w:pPr>
      <w:bookmarkStart w:id="16" w:name="Table_Table_A_2__PBE0_counterp"/>
      <w:r>
        <w:rPr>
          <w:rFonts w:ascii="Times New Roman" w:hAnsi="Times New Roman" w:cs="Times New Roman" w:eastAsia="Times New Roman"/>
          <w:b w:val="0"/>
          <w:i w:val="0"/>
          <w:color w:val="000000"/>
          <w:sz w:val="24"/>
        </w:rPr>
        <w:t>Table A.2: PBE0 counterpoise ghost-fragment calculation register</w:t>
      </w:r>
      <w:bookmarkEnd w:id="16"/>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Complex and fragment</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Output file</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Final status</w:t>
            </w:r>
          </w:p>
        </w:tc>
        <w:tc>
          <w:tcPr>
            <w:tcW w:type="dxa" w:w="2126"/>
          </w:tcPr>
          <w:p>
            <w:pPr>
              <w:widowControl/>
              <w:spacing w:line="480" w:lineRule="auto" w:before="0" w:after="40"/>
              <w:ind w:firstLine="0" w:left="0"/>
              <w:jc w:val="left"/>
            </w:pPr>
            <w:r/>
            <w:r>
              <w:rPr>
                <w:rFonts w:ascii="Times New Roman" w:hAnsi="Times New Roman" w:cs="Times New Roman" w:eastAsia="Times New Roman"/>
                <w:b/>
                <w:i w:val="0"/>
                <w:color w:val="000000"/>
                <w:sz w:val="24"/>
              </w:rPr>
              <w:t>Final energy / Eh</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 cluster ghost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v-prc_cp_ghost-cluster.out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LEANSCF error termination</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Unavailable</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ghost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v-prc_cp_ghost-h3vo4.out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Normal termination</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−1708.714841090478</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 cluster ghost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w-prc_cp_ghost-cluster.out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Normal termination</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−76.378622223824</w:t>
            </w:r>
          </w:p>
        </w:tc>
      </w:tr>
      <w:tr>
        <w:trPr>
          <w:cantSplit/>
        </w:trPr>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ghost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w-prc_cp_ghost-h2o.out</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Normal termination</w:t>
            </w:r>
          </w:p>
        </w:tc>
        <w:tc>
          <w:tcPr>
            <w:tcW w:type="dxa" w:w="2126"/>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−1708.730926698051</w:t>
            </w:r>
          </w:p>
        </w:tc>
      </w:tr>
    </w:tbl>
    <w:p>
      <w:pPr>
        <w:spacing w:after="160"/>
      </w:pPr>
    </w:p>
    <w:p>
      <w:pPr>
        <w:pStyle w:val="Heading3"/>
        <w:jc w:val="left"/>
      </w:pPr>
      <w:r>
        <w:rPr>
          <w:rFonts w:ascii="Times New Roman" w:hAnsi="Times New Roman" w:cs="Times New Roman" w:eastAsia="Times New Roman"/>
          <w:b w:val="0"/>
          <w:i w:val="0"/>
          <w:color w:val="000000"/>
          <w:sz w:val="24"/>
        </w:rPr>
        <w:t>A.3 Tier 1 transition-state and displacement register</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Table A.3 summarises the GFN2-xTB candidate structures and the paired mode-displacement results. The vanadic-acid candidate passed the recorded acceptance checks; both water-path displacements returned to W-PRC.</w:t>
      </w:r>
    </w:p>
    <w:p>
      <w:pPr>
        <w:keepNext/>
        <w:keepLines/>
        <w:widowControl/>
        <w:spacing w:line="480" w:lineRule="auto" w:before="0" w:after="80"/>
        <w:ind w:firstLine="0" w:left="0"/>
        <w:jc w:val="left"/>
      </w:pPr>
      <w:bookmarkStart w:id="17" w:name="Table_Table_A_3__Tier_1_pathwa"/>
      <w:r>
        <w:rPr>
          <w:rFonts w:ascii="Times New Roman" w:hAnsi="Times New Roman" w:cs="Times New Roman" w:eastAsia="Times New Roman"/>
          <w:b w:val="0"/>
          <w:i w:val="0"/>
          <w:color w:val="000000"/>
          <w:sz w:val="24"/>
        </w:rPr>
        <w:t>Table A.3: Tier 1 pathway candidate and two-sided displacement register</w:t>
      </w:r>
      <w:bookmarkEnd w:id="17"/>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cantSplit/>
        </w:trPr>
        <w:tc>
          <w:tcPr>
            <w:tcW w:type="dxa" w:w="1701"/>
          </w:tcPr>
          <w:p>
            <w:pPr>
              <w:widowControl/>
              <w:spacing w:line="480" w:lineRule="auto" w:before="0" w:after="40"/>
              <w:ind w:firstLine="0" w:left="0"/>
              <w:jc w:val="left"/>
            </w:pPr>
            <w:r/>
            <w:r>
              <w:rPr>
                <w:rFonts w:ascii="Times New Roman" w:hAnsi="Times New Roman" w:cs="Times New Roman" w:eastAsia="Times New Roman"/>
                <w:b/>
                <w:i w:val="0"/>
                <w:color w:val="000000"/>
                <w:sz w:val="24"/>
              </w:rPr>
              <w:t>Candidate output</w:t>
            </w:r>
          </w:p>
        </w:tc>
        <w:tc>
          <w:tcPr>
            <w:tcW w:type="dxa" w:w="1701"/>
          </w:tcPr>
          <w:p>
            <w:pPr>
              <w:widowControl/>
              <w:spacing w:line="480" w:lineRule="auto" w:before="0" w:after="40"/>
              <w:ind w:firstLine="0" w:left="0"/>
              <w:jc w:val="left"/>
            </w:pPr>
            <w:r/>
            <w:r>
              <w:rPr>
                <w:rFonts w:ascii="Times New Roman" w:hAnsi="Times New Roman" w:cs="Times New Roman" w:eastAsia="Times New Roman"/>
                <w:b/>
                <w:i w:val="0"/>
                <w:color w:val="000000"/>
                <w:sz w:val="24"/>
              </w:rPr>
              <w:t>Imaginary mode and status</w:t>
            </w:r>
          </w:p>
        </w:tc>
        <w:tc>
          <w:tcPr>
            <w:tcW w:type="dxa" w:w="1701"/>
          </w:tcPr>
          <w:p>
            <w:pPr>
              <w:widowControl/>
              <w:spacing w:line="480" w:lineRule="auto" w:before="0" w:after="40"/>
              <w:ind w:firstLine="0" w:left="0"/>
              <w:jc w:val="left"/>
            </w:pPr>
            <w:r/>
            <w:r>
              <w:rPr>
                <w:rFonts w:ascii="Times New Roman" w:hAnsi="Times New Roman" w:cs="Times New Roman" w:eastAsia="Times New Roman"/>
                <w:b/>
                <w:i w:val="0"/>
                <w:color w:val="000000"/>
                <w:sz w:val="24"/>
              </w:rPr>
              <w:t>Positive displacement</w:t>
            </w:r>
          </w:p>
        </w:tc>
        <w:tc>
          <w:tcPr>
            <w:tcW w:type="dxa" w:w="1701"/>
          </w:tcPr>
          <w:p>
            <w:pPr>
              <w:widowControl/>
              <w:spacing w:line="480" w:lineRule="auto" w:before="0" w:after="40"/>
              <w:ind w:firstLine="0" w:left="0"/>
              <w:jc w:val="left"/>
            </w:pPr>
            <w:r/>
            <w:r>
              <w:rPr>
                <w:rFonts w:ascii="Times New Roman" w:hAnsi="Times New Roman" w:cs="Times New Roman" w:eastAsia="Times New Roman"/>
                <w:b/>
                <w:i w:val="0"/>
                <w:color w:val="000000"/>
                <w:sz w:val="24"/>
              </w:rPr>
              <w:t>Negative displacement</w:t>
            </w:r>
          </w:p>
        </w:tc>
        <w:tc>
          <w:tcPr>
            <w:tcW w:type="dxa" w:w="1701"/>
          </w:tcPr>
          <w:p>
            <w:pPr>
              <w:widowControl/>
              <w:spacing w:line="480" w:lineRule="auto" w:before="0" w:after="40"/>
              <w:ind w:firstLine="0" w:left="0"/>
              <w:jc w:val="left"/>
            </w:pPr>
            <w:r/>
            <w:r>
              <w:rPr>
                <w:rFonts w:ascii="Times New Roman" w:hAnsi="Times New Roman" w:cs="Times New Roman" w:eastAsia="Times New Roman"/>
                <w:b/>
                <w:i w:val="0"/>
                <w:color w:val="000000"/>
                <w:sz w:val="24"/>
              </w:rPr>
              <w:t>Classification</w:t>
            </w:r>
          </w:p>
        </w:tc>
      </w:tr>
      <w:tr>
        <w:trPr>
          <w:cantSplit/>
        </w:trPr>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V-TS2, optts3_bandB_ci.out</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−78.21 cm</w:t>
            </w:r>
            <w:r>
              <w:rPr>
                <w:rFonts w:ascii="Times New Roman" w:hAnsi="Times New Roman" w:cs="Times New Roman" w:eastAsia="Times New Roman"/>
                <w:b w:val="0"/>
                <w:i w:val="0"/>
                <w:color w:val="000000"/>
                <w:sz w:val="24"/>
                <w:vertAlign w:val="superscript"/>
              </w:rPr>
              <w:t>-1</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V-TS2_ts_pos_disp.out → V-I2 well (+15.64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vs V-I2)</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V-TS2_ts_neg_disp.out → V-I1 well (+107.08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vs V-I1)</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Accepted GFN2-xTB saddle-point candidate, A1–A5 passed</w:t>
            </w:r>
          </w:p>
        </w:tc>
      </w:tr>
      <w:tr>
        <w:trPr>
          <w:cantSplit/>
        </w:trPr>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W-TS, optts2_bandD_ci.out</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−226.10 cm</w:t>
            </w:r>
            <w:r>
              <w:rPr>
                <w:rFonts w:ascii="Times New Roman" w:hAnsi="Times New Roman" w:cs="Times New Roman" w:eastAsia="Times New Roman"/>
                <w:b w:val="0"/>
                <w:i w:val="0"/>
                <w:color w:val="000000"/>
                <w:sz w:val="24"/>
                <w:vertAlign w:val="superscript"/>
              </w:rPr>
              <w:t>-1</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W-TS_pos_disp.out → W-PRC well (+1.35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vs W-PRC)</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W-TS_neg_disp.out → W-PRC well (+1.34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vs W-PRC)</w:t>
            </w:r>
          </w:p>
        </w:tc>
        <w:tc>
          <w:tcPr>
            <w:tcW w:type="dxa" w:w="1701"/>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Candidate rejected by the two-sided displacement criterion</w:t>
            </w:r>
          </w:p>
        </w:tc>
      </w:tr>
    </w:tbl>
    <w:p>
      <w:pPr>
        <w:spacing w:after="160"/>
      </w:pPr>
    </w:p>
    <w:p>
      <w:pPr>
        <w:pStyle w:val="Heading2"/>
        <w:jc w:val="left"/>
      </w:pPr>
      <w:r>
        <w:rPr>
          <w:rFonts w:ascii="Times New Roman" w:hAnsi="Times New Roman" w:cs="Times New Roman" w:eastAsia="Times New Roman"/>
          <w:b/>
          <w:i w:val="0"/>
          <w:color w:val="000000"/>
          <w:sz w:val="24"/>
        </w:rPr>
        <w:t>Appendix B. Worked Calculations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Appendix B gives the numerical substitutions behind Tables 4.3–4.7. Energies were converted using 1 Eh = 2625.499638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Values are shown to sufficient precision to reproduce the rounded results in Chapter Four.</w:t>
      </w:r>
    </w:p>
    <w:p>
      <w:pPr>
        <w:pStyle w:val="Heading3"/>
        <w:jc w:val="left"/>
      </w:pPr>
      <w:r>
        <w:rPr>
          <w:rFonts w:ascii="Times New Roman" w:hAnsi="Times New Roman" w:cs="Times New Roman" w:eastAsia="Times New Roman"/>
          <w:b w:val="0"/>
          <w:i w:val="0"/>
          <w:color w:val="000000"/>
          <w:sz w:val="24"/>
        </w:rPr>
        <w:t>B.1 Regenerator partial-pressure conversions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 (2.1) describes the proposed formation of gas-phase vanadic acid. At 20% steam and a total pressure of 2 atm, the water partial pressure used in Eq. (3.5) was calculated as shown in Eq. (B.1):</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p(H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 0.20 × 2 atm = 0.40 atm</w:t>
      </w:r>
      <w:r>
        <w:tab/>
      </w:r>
      <w:r>
        <w:rPr>
          <w:rFonts w:ascii="Times New Roman" w:hAnsi="Times New Roman" w:cs="Times New Roman" w:eastAsia="Times New Roman"/>
          <w:b w:val="0"/>
          <w:i w:val="0"/>
          <w:color w:val="000000"/>
          <w:sz w:val="24"/>
        </w:rPr>
        <w:t>(B.1)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 range of 1–10 ppm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at 2 atm gives the partial pressures in Eq. (B.2):</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p(H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(1–10)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 2 atm = 2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to 2 × 10</w:t>
      </w:r>
      <w:r>
        <w:rPr>
          <w:rFonts w:ascii="Times New Roman" w:hAnsi="Times New Roman" w:cs="Times New Roman" w:eastAsia="Times New Roman"/>
          <w:b w:val="0"/>
          <w:i w:val="0"/>
          <w:color w:val="000000"/>
          <w:sz w:val="24"/>
          <w:vertAlign w:val="superscript"/>
        </w:rPr>
        <w:t>-5</w:t>
      </w:r>
      <w:r>
        <w:rPr>
          <w:rFonts w:ascii="Times New Roman" w:hAnsi="Times New Roman" w:cs="Times New Roman" w:eastAsia="Times New Roman"/>
          <w:b w:val="0"/>
          <w:i w:val="0"/>
          <w:color w:val="000000"/>
          <w:sz w:val="24"/>
        </w:rPr>
        <w:t xml:space="preserve"> atm</w:t>
      </w:r>
      <w:r>
        <w:tab/>
      </w:r>
      <w:r>
        <w:rPr>
          <w:rFonts w:ascii="Times New Roman" w:hAnsi="Times New Roman" w:cs="Times New Roman" w:eastAsia="Times New Roman"/>
          <w:b w:val="0"/>
          <w:i w:val="0"/>
          <w:color w:val="000000"/>
          <w:sz w:val="24"/>
        </w:rPr>
        <w:t>(B.2)</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3.37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atm estimate by Trujillo et al. (1997) corresponds to the concentration calculated in Eq. (B.3):</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x(H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[3.37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atm / 2 atm]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 xml:space="preserve"> = 1.685 ppm</w:t>
      </w:r>
      <w:r>
        <w:tab/>
      </w:r>
      <w:r>
        <w:rPr>
          <w:rFonts w:ascii="Times New Roman" w:hAnsi="Times New Roman" w:cs="Times New Roman" w:eastAsia="Times New Roman"/>
          <w:b w:val="0"/>
          <w:i w:val="0"/>
          <w:color w:val="000000"/>
          <w:sz w:val="24"/>
        </w:rPr>
        <w:t>(B.3)</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Equations (B.1)–(B.3) provide the gas composition used in the conditional occupation calculation.</w:t>
      </w:r>
    </w:p>
    <w:p>
      <w:pPr>
        <w:pStyle w:val="Heading3"/>
        <w:jc w:val="left"/>
      </w:pPr>
      <w:r>
        <w:rPr>
          <w:rFonts w:ascii="Times New Roman" w:hAnsi="Times New Roman" w:cs="Times New Roman" w:eastAsia="Times New Roman"/>
          <w:b w:val="0"/>
          <w:i w:val="0"/>
          <w:color w:val="000000"/>
          <w:sz w:val="24"/>
        </w:rPr>
        <w:t>B.2 Electronic adsorption energies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Using Eq. (3.1), the B3LYP adsorption energy for vanadic acid was calculated from the cluster and isolated-molecule energies. Equation (B.4) gives the reference sum, and Eq. (B.5) subtracts that reference from the V-PRC energy:</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E(reference,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−1709.394093884 − 1246.825013959 = −2956.219107843 Eh</w:t>
      </w:r>
      <w:r>
        <w:tab/>
      </w:r>
      <w:r>
        <w:rPr>
          <w:rFonts w:ascii="Times New Roman" w:hAnsi="Times New Roman" w:cs="Times New Roman" w:eastAsia="Times New Roman"/>
          <w:b w:val="0"/>
          <w:i w:val="0"/>
          <w:color w:val="000000"/>
          <w:sz w:val="24"/>
        </w:rPr>
        <w:t>(B.4)</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B3LYP) = −2956.254531846 − (−2956.219107843) = −0.035424003 Eh</w:t>
      </w:r>
      <w:r>
        <w:tab/>
      </w:r>
      <w:r>
        <w:rPr>
          <w:rFonts w:ascii="Times New Roman" w:hAnsi="Times New Roman" w:cs="Times New Roman" w:eastAsia="Times New Roman"/>
          <w:b w:val="0"/>
          <w:i w:val="0"/>
          <w:color w:val="000000"/>
          <w:sz w:val="24"/>
        </w:rPr>
        <w:t>(B.5)</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Conversion of Eq. (B.5) to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is shown in Eq. (B.6):</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−0.035424003 × 2625.499638 = −93.0057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(B.6)</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water reference sum and W-PRC difference are shown in Eqs. (B.7) and (B.8); Eq. (B.9) gives the converted energy:</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E(reference,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 −1709.394093884 − 76.426629796 = −1785.820723680 Eh</w:t>
      </w:r>
      <w:r>
        <w:tab/>
      </w:r>
      <w:r>
        <w:rPr>
          <w:rFonts w:ascii="Times New Roman" w:hAnsi="Times New Roman" w:cs="Times New Roman" w:eastAsia="Times New Roman"/>
          <w:b w:val="0"/>
          <w:i w:val="0"/>
          <w:color w:val="000000"/>
          <w:sz w:val="24"/>
        </w:rPr>
        <w:t>(B.7)</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B3LYP) = −1785.850554383 − (−1785.820723680) = −0.029830703 Eh</w:t>
      </w:r>
      <w:r>
        <w:tab/>
      </w:r>
      <w:r>
        <w:rPr>
          <w:rFonts w:ascii="Times New Roman" w:hAnsi="Times New Roman" w:cs="Times New Roman" w:eastAsia="Times New Roman"/>
          <w:b w:val="0"/>
          <w:i w:val="0"/>
          <w:color w:val="000000"/>
          <w:sz w:val="24"/>
        </w:rPr>
        <w:t>(B.8)</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−0.029830703 × 2625.499638 = −78.3205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(B.9)</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B3LYP relative preference from Eq. (3.2) is calculated in Eq. (B.10):</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(B3LYP) = −93.0057 − (−78.3205) = −14.6852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(B.10)</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same Eq. (3.1) was applied to the PBE0 single-point values using their own cluster and isolated-molecule references. Equations (B.11)–(B.13) show the vanadic-acid calculation, and Eqs. (B.14)–(B.16) show the water calculation:</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E(reference,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PBE0) = −1708.736038466 − 1246.479597897 = −2955.215636364 Eh</w:t>
      </w:r>
      <w:r>
        <w:tab/>
      </w:r>
      <w:r>
        <w:rPr>
          <w:rFonts w:ascii="Times New Roman" w:hAnsi="Times New Roman" w:cs="Times New Roman" w:eastAsia="Times New Roman"/>
          <w:b w:val="0"/>
          <w:i w:val="0"/>
          <w:color w:val="000000"/>
          <w:sz w:val="24"/>
        </w:rPr>
        <w:t>(B.11)</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PBE0) = −2955.251083282 − (−2955.215636364) = −0.035446919 Eh</w:t>
      </w:r>
      <w:r>
        <w:tab/>
      </w:r>
      <w:r>
        <w:rPr>
          <w:rFonts w:ascii="Times New Roman" w:hAnsi="Times New Roman" w:cs="Times New Roman" w:eastAsia="Times New Roman"/>
          <w:b w:val="0"/>
          <w:i w:val="0"/>
          <w:color w:val="000000"/>
          <w:sz w:val="24"/>
        </w:rPr>
        <w:t>(B.12)</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−0.035446919 × 2625.499638 = −93.0659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(B.13)</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E(reference,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PBE0) = −1708.736038466 − 76.377725398 = −1785.113763864 Eh</w:t>
      </w:r>
      <w:r>
        <w:tab/>
      </w:r>
      <w:r>
        <w:rPr>
          <w:rFonts w:ascii="Times New Roman" w:hAnsi="Times New Roman" w:cs="Times New Roman" w:eastAsia="Times New Roman"/>
          <w:b w:val="0"/>
          <w:i w:val="0"/>
          <w:color w:val="000000"/>
          <w:sz w:val="24"/>
        </w:rPr>
        <w:t>(B.14)</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PBE0) = −1785.143710125 − (−1785.113763864) = −0.029946261 Eh</w:t>
      </w:r>
      <w:r>
        <w:tab/>
      </w:r>
      <w:r>
        <w:rPr>
          <w:rFonts w:ascii="Times New Roman" w:hAnsi="Times New Roman" w:cs="Times New Roman" w:eastAsia="Times New Roman"/>
          <w:b w:val="0"/>
          <w:i w:val="0"/>
          <w:color w:val="000000"/>
          <w:sz w:val="24"/>
        </w:rPr>
        <w:t>(B.15)</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 −0.029946261 × 2625.499638 = −78.6239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(B.16)</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 (B.17) gives the PBE0 preference using Eq. (3.2):</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(PBE0) = −93.0659 − (−78.6239) = −14.4420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(B.17)</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substitutions in Eqs. (B.4)–(B.17) produce the DFT entries in Table 4.3. For GFN2-xTB, the separated references are E(reference,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−31.34551236 − 19.77512769 = −51.12064005 Eh and E(reference, 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 −31.34551236 − 5.07054445 = −36.41605681 Eh. Applying Eq. (3.1) gives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(V-PRC) = [−51.19563631 − (−51.12064005)] × 2625.499638 = −196.90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and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(W-PRC) = [−36.44256091 − (−36.41605681)] × 2625.499638 = −69.59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Their difference from Eq. (3.2) is −196.90 − (−69.59) = −127.31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p>
    <w:p>
      <w:pPr>
        <w:pStyle w:val="Heading3"/>
        <w:jc w:val="left"/>
      </w:pPr>
      <w:r>
        <w:rPr>
          <w:rFonts w:ascii="Times New Roman" w:hAnsi="Times New Roman" w:cs="Times New Roman" w:eastAsia="Times New Roman"/>
          <w:b w:val="0"/>
          <w:i w:val="0"/>
          <w:color w:val="000000"/>
          <w:sz w:val="24"/>
        </w:rPr>
        <w:t>B.3 Relative energies of post-adsorption minima</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post-adsorption energies in Table 4.4 use the separated cluster-and-adsorbate reference for the corresponding route. Equations (B.18) and (B.19) show the Tier 1 values for V-I1 and W-P:</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ΔE(V-I1, xTB) = [−51.26731716 − (−51.12064005)] × 2625.499638 = −385.10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(B.18)</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ΔE(W-P, xTB) = [−36.44113826 − (−36.41605681)] × 2625.499638 = −65.85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(B.19)</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corresponding B3LYP calculations appear in Eqs. (B.20) and (B.21), and the PBE0 single-point calculations appear in Eqs. (B.22) and (B.23):</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ΔE(V-I1, B3LYP) = [−2956.263052029 − (−2956.219107843)] × 2625.499638 = −115.3754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(B.20)</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ΔE(W-P, B3LYP) = [−1785.829873928 − (−1785.820723680)] × 2625.499638 = −24.0240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(B.21)</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ΔE(V-I1, PBE0) = [−2955.261392549 − (−2955.215636364)] × 2625.499638 = −120.1328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(B.22)</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ΔE(W-P, PBE0) = [−1785.122480008 − (−1785.113763864)] × 2625.499638 = −22.8842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(B.23)</w:t>
      </w:r>
    </w:p>
    <w:p>
      <w:pPr>
        <w:pStyle w:val="Heading3"/>
        <w:jc w:val="left"/>
      </w:pPr>
      <w:r>
        <w:rPr>
          <w:rFonts w:ascii="Times New Roman" w:hAnsi="Times New Roman" w:cs="Times New Roman" w:eastAsia="Times New Roman"/>
          <w:b w:val="0"/>
          <w:i w:val="0"/>
          <w:color w:val="000000"/>
          <w:sz w:val="24"/>
        </w:rPr>
        <w:t>B.4 Harmonic Gibbs-energy substitutions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For each state, the adsorption Gibbs energy was calculated from Eq. (3.3). The harmonic thermal correction is the difference between 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xml:space="preserve"> and the corresponding electronic ΔE</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 Table B.1 lists the B3LYP electronic energies, thermal corrections, and Gibbs energies for the four states in Table 4.6:</w:t>
      </w:r>
    </w:p>
    <w:p>
      <w:pPr>
        <w:keepNext/>
        <w:keepLines/>
        <w:widowControl/>
        <w:spacing w:line="480" w:lineRule="auto" w:before="0" w:after="80"/>
        <w:ind w:firstLine="0" w:left="0"/>
        <w:jc w:val="left"/>
      </w:pPr>
      <w:bookmarkStart w:id="18" w:name="Table_Table_B_1__Electronic_an"/>
      <w:r>
        <w:rPr>
          <w:rFonts w:ascii="Times New Roman" w:hAnsi="Times New Roman" w:cs="Times New Roman" w:eastAsia="Times New Roman"/>
          <w:b w:val="0"/>
          <w:i w:val="0"/>
          <w:color w:val="000000"/>
          <w:sz w:val="24"/>
        </w:rPr>
        <w:t>Table B.1: Electronic and harmonic Gibbs-energy terms for accepted DFT states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w:t>
      </w:r>
      <w:bookmarkEnd w:id="18"/>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rPr>
          <w:tblHeader w:val="true"/>
          <w:cantSplit/>
        </w:trPr>
        <w:tc>
          <w:tcPr>
            <w:tcW w:type="dxa" w:w="1417"/>
          </w:tcPr>
          <w:p>
            <w:pPr>
              <w:widowControl/>
              <w:spacing w:line="480" w:lineRule="auto" w:before="0" w:after="40"/>
              <w:ind w:firstLine="0" w:left="0"/>
              <w:jc w:val="left"/>
            </w:pPr>
            <w:r/>
            <w:r>
              <w:rPr>
                <w:rFonts w:ascii="Times New Roman" w:hAnsi="Times New Roman" w:cs="Times New Roman" w:eastAsia="Times New Roman"/>
                <w:b/>
                <w:i w:val="0"/>
                <w:color w:val="000000"/>
                <w:sz w:val="24"/>
              </w:rPr>
              <w:t>State</w:t>
            </w:r>
          </w:p>
        </w:tc>
        <w:tc>
          <w:tcPr>
            <w:tcW w:type="dxa" w:w="1417"/>
          </w:tcPr>
          <w:p>
            <w:pPr>
              <w:widowControl/>
              <w:spacing w:line="480" w:lineRule="auto" w:before="0" w:after="40"/>
              <w:ind w:firstLine="0" w:left="0"/>
              <w:jc w:val="left"/>
            </w:pPr>
            <w:r/>
            <w:r>
              <w:rPr>
                <w:rFonts w:ascii="Times New Roman" w:hAnsi="Times New Roman" w:cs="Times New Roman" w:eastAsia="Times New Roman"/>
                <w:b/>
                <w:i w:val="0"/>
                <w:color w:val="000000"/>
                <w:sz w:val="24"/>
              </w:rPr>
              <w:t>Electronic ΔE</w:t>
            </w:r>
            <w:r>
              <w:rPr>
                <w:rFonts w:ascii="Times New Roman" w:hAnsi="Times New Roman" w:cs="Times New Roman" w:eastAsia="Times New Roman"/>
                <w:b/>
                <w:i w:val="0"/>
                <w:color w:val="000000"/>
                <w:sz w:val="24"/>
                <w:vertAlign w:val="subscript"/>
              </w:rPr>
              <w:t>ads</w:t>
            </w:r>
          </w:p>
        </w:tc>
        <w:tc>
          <w:tcPr>
            <w:tcW w:type="dxa" w:w="1417"/>
          </w:tcPr>
          <w:p>
            <w:pPr>
              <w:widowControl/>
              <w:spacing w:line="480" w:lineRule="auto" w:before="0" w:after="40"/>
              <w:ind w:firstLine="0" w:left="0"/>
              <w:jc w:val="left"/>
            </w:pPr>
            <w:r/>
            <w:r>
              <w:rPr>
                <w:rFonts w:ascii="Times New Roman" w:hAnsi="Times New Roman" w:cs="Times New Roman" w:eastAsia="Times New Roman"/>
                <w:b/>
                <w:i w:val="0"/>
                <w:color w:val="000000"/>
                <w:sz w:val="24"/>
              </w:rPr>
              <w:t>Thermal correction at 298.15 K</w:t>
            </w:r>
          </w:p>
        </w:tc>
        <w:tc>
          <w:tcPr>
            <w:tcW w:type="dxa" w:w="1417"/>
          </w:tcPr>
          <w:p>
            <w:pPr>
              <w:widowControl/>
              <w:spacing w:line="480" w:lineRule="auto" w:before="0" w:after="40"/>
              <w:ind w:firstLine="0" w:left="0"/>
              <w:jc w:val="left"/>
            </w:pPr>
            <w:r/>
            <w:r>
              <w:rPr>
                <w:rFonts w:ascii="Times New Roman" w:hAnsi="Times New Roman" w:cs="Times New Roman" w:eastAsia="Times New Roman"/>
                <w:b/>
                <w:i w:val="0"/>
                <w:color w:val="000000"/>
                <w:sz w:val="24"/>
              </w:rPr>
              <w:t>ΔG</w:t>
            </w:r>
            <w:r>
              <w:rPr>
                <w:rFonts w:ascii="Times New Roman" w:hAnsi="Times New Roman" w:cs="Times New Roman" w:eastAsia="Times New Roman"/>
                <w:b/>
                <w:i w:val="0"/>
                <w:color w:val="000000"/>
                <w:sz w:val="24"/>
                <w:vertAlign w:val="superscript"/>
              </w:rPr>
              <w:t>°</w:t>
            </w:r>
            <w:r>
              <w:rPr>
                <w:rFonts w:ascii="Times New Roman" w:hAnsi="Times New Roman" w:cs="Times New Roman" w:eastAsia="Times New Roman"/>
                <w:b/>
                <w:i w:val="0"/>
                <w:color w:val="000000"/>
                <w:sz w:val="24"/>
                <w:vertAlign w:val="subscript"/>
              </w:rPr>
              <w:t>ads</w:t>
            </w:r>
            <w:r>
              <w:rPr>
                <w:rFonts w:ascii="Times New Roman" w:hAnsi="Times New Roman" w:cs="Times New Roman" w:eastAsia="Times New Roman"/>
                <w:b/>
                <w:i w:val="0"/>
                <w:color w:val="000000"/>
                <w:sz w:val="24"/>
              </w:rPr>
              <w:t xml:space="preserve"> at 298.15 K</w:t>
            </w:r>
          </w:p>
        </w:tc>
        <w:tc>
          <w:tcPr>
            <w:tcW w:type="dxa" w:w="1417"/>
          </w:tcPr>
          <w:p>
            <w:pPr>
              <w:widowControl/>
              <w:spacing w:line="480" w:lineRule="auto" w:before="0" w:after="40"/>
              <w:ind w:firstLine="0" w:left="0"/>
              <w:jc w:val="left"/>
            </w:pPr>
            <w:r/>
            <w:r>
              <w:rPr>
                <w:rFonts w:ascii="Times New Roman" w:hAnsi="Times New Roman" w:cs="Times New Roman" w:eastAsia="Times New Roman"/>
                <w:b/>
                <w:i w:val="0"/>
                <w:color w:val="000000"/>
                <w:sz w:val="24"/>
              </w:rPr>
              <w:t>Thermal correction at 1003.15 K</w:t>
            </w:r>
          </w:p>
        </w:tc>
        <w:tc>
          <w:tcPr>
            <w:tcW w:type="dxa" w:w="1417"/>
          </w:tcPr>
          <w:p>
            <w:pPr>
              <w:widowControl/>
              <w:spacing w:line="480" w:lineRule="auto" w:before="0" w:after="40"/>
              <w:ind w:firstLine="0" w:left="0"/>
              <w:jc w:val="left"/>
            </w:pPr>
            <w:r/>
            <w:r>
              <w:rPr>
                <w:rFonts w:ascii="Times New Roman" w:hAnsi="Times New Roman" w:cs="Times New Roman" w:eastAsia="Times New Roman"/>
                <w:b/>
                <w:i w:val="0"/>
                <w:color w:val="000000"/>
                <w:sz w:val="24"/>
              </w:rPr>
              <w:t>ΔG</w:t>
            </w:r>
            <w:r>
              <w:rPr>
                <w:rFonts w:ascii="Times New Roman" w:hAnsi="Times New Roman" w:cs="Times New Roman" w:eastAsia="Times New Roman"/>
                <w:b/>
                <w:i w:val="0"/>
                <w:color w:val="000000"/>
                <w:sz w:val="24"/>
                <w:vertAlign w:val="superscript"/>
              </w:rPr>
              <w:t>°</w:t>
            </w:r>
            <w:r>
              <w:rPr>
                <w:rFonts w:ascii="Times New Roman" w:hAnsi="Times New Roman" w:cs="Times New Roman" w:eastAsia="Times New Roman"/>
                <w:b/>
                <w:i w:val="0"/>
                <w:color w:val="000000"/>
                <w:sz w:val="24"/>
                <w:vertAlign w:val="subscript"/>
              </w:rPr>
              <w:t>ads</w:t>
            </w:r>
            <w:r>
              <w:rPr>
                <w:rFonts w:ascii="Times New Roman" w:hAnsi="Times New Roman" w:cs="Times New Roman" w:eastAsia="Times New Roman"/>
                <w:b/>
                <w:i w:val="0"/>
                <w:color w:val="000000"/>
                <w:sz w:val="24"/>
              </w:rPr>
              <w:t xml:space="preserve"> at 1003.15 K</w:t>
            </w:r>
          </w:p>
        </w:tc>
      </w:tr>
      <w:tr>
        <w:trPr>
          <w:cantSplit/>
        </w:trPr>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V-PRC</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−93.0057</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+75.9600</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−17.0457</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+226.4003</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+133.3946</w:t>
            </w:r>
          </w:p>
        </w:tc>
      </w:tr>
      <w:tr>
        <w:trPr>
          <w:cantSplit/>
        </w:trPr>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V-I1</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−115.3754</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+79.6007</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−35.7747</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+223.6989</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+108.3235</w:t>
            </w:r>
          </w:p>
        </w:tc>
      </w:tr>
      <w:tr>
        <w:trPr>
          <w:cantSplit/>
        </w:trPr>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W-PRC</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−78.3205</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+49.4524</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−28.8681</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+145.3513</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+67.0308</w:t>
            </w:r>
          </w:p>
        </w:tc>
      </w:tr>
      <w:tr>
        <w:trPr>
          <w:cantSplit/>
        </w:trPr>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W-P</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−24.0240</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+54.8185</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+30.7945</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+156.6808</w:t>
            </w:r>
          </w:p>
        </w:tc>
        <w:tc>
          <w:tcPr>
            <w:tcW w:type="dxa" w:w="1417"/>
          </w:tcPr>
          <w:p>
            <w:pPr>
              <w:widowControl/>
              <w:spacing w:line="480" w:lineRule="auto" w:before="0" w:after="40"/>
              <w:ind w:firstLine="0" w:left="0"/>
              <w:jc w:val="left"/>
            </w:pPr>
            <w:r/>
            <w:r>
              <w:rPr>
                <w:rFonts w:ascii="Times New Roman" w:hAnsi="Times New Roman" w:cs="Times New Roman" w:eastAsia="Times New Roman"/>
                <w:b w:val="0"/>
                <w:i w:val="0"/>
                <w:color w:val="000000"/>
                <w:sz w:val="24"/>
              </w:rPr>
              <w:t>+132.6568</w:t>
            </w:r>
          </w:p>
        </w:tc>
      </w:tr>
    </w:tbl>
    <w:p>
      <w:pPr>
        <w:spacing w:after="160"/>
      </w:pP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temperature-dependent values in Table B.1 follow the substitutions in Eqs. (B.24) and (B.25):</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(V-PRC, 298.15 K) = −93.0057 + 75.9600 = −17.0457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(B.24)</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(V-PRC, 1003.15 K) = −93.0057 + 226.4003 = +133.3946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(B.25)</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(W-PRC, 298.15 K) = −78.3205 + 49.4524 = −28.8681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(B.26)</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(W-PRC, 1003.15 K) = −78.3205 + 145.3513 = +67.0308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(B.27)</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Applying Eq. (3.3) to the two post-adsorption minima gives 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(V-I1, 298.15 K) = −115.3754 + 79.6007 = −35.7747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and 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(V-I1, 1003.15 K) = −115.3754 + 223.6989 = +108.3235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For W-P, the corresponding substitutions are 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(W-P, 298.15 K) = −24.0240 + 54.8185 = +30.7945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and 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(W-P, 1003.15 K) = −24.0240 + 156.6808 = +132.6568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as listed in Table B.1.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water-favouring differences at 298.15 K and 1003.15 K are calculated in Eqs. (B.28) and (B.29):</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(V-PRC) − 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(W-PRC), 298.15 K = −17.0457 − (−28.8681) = +11.8224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(B.28)</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(V-PRC) − ΔG</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vertAlign w:val="subscript"/>
        </w:rPr>
        <w:t>ads</w:t>
      </w:r>
      <w:r>
        <w:rPr>
          <w:rFonts w:ascii="Times New Roman" w:hAnsi="Times New Roman" w:cs="Times New Roman" w:eastAsia="Times New Roman"/>
          <w:b w:val="0"/>
          <w:i w:val="0"/>
          <w:color w:val="000000"/>
          <w:sz w:val="24"/>
        </w:rPr>
        <w:t>(W-PRC), 1003.15 K = 133.3946 − 67.0308 = +66.3638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(B.29)</w:t>
      </w:r>
    </w:p>
    <w:p>
      <w:pPr>
        <w:pStyle w:val="Heading3"/>
        <w:jc w:val="left"/>
      </w:pPr>
      <w:r>
        <w:rPr>
          <w:rFonts w:ascii="Times New Roman" w:hAnsi="Times New Roman" w:cs="Times New Roman" w:eastAsia="Times New Roman"/>
          <w:b w:val="0"/>
          <w:i w:val="0"/>
          <w:color w:val="000000"/>
          <w:sz w:val="24"/>
        </w:rPr>
        <w:t>B.5 Competitive-site equilibrium constants and fractions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 (3.4) was evaluated with R = 0.008314462618 kJ mol</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K</w:t>
      </w:r>
      <w:r>
        <w:rPr>
          <w:rFonts w:ascii="Times New Roman" w:hAnsi="Times New Roman" w:cs="Times New Roman" w:eastAsia="Times New Roman"/>
          <w:b w:val="0"/>
          <w:i w:val="0"/>
          <w:color w:val="000000"/>
          <w:sz w:val="24"/>
          <w:vertAlign w:val="superscript"/>
        </w:rPr>
        <w:t>-1</w:t>
      </w:r>
      <w:r>
        <w:rPr>
          <w:rFonts w:ascii="Times New Roman" w:hAnsi="Times New Roman" w:cs="Times New Roman" w:eastAsia="Times New Roman"/>
          <w:b w:val="0"/>
          <w:i w:val="0"/>
          <w:color w:val="000000"/>
          <w:sz w:val="24"/>
        </w:rPr>
        <w:t xml:space="preserve"> and T = 1003.15 K. The substitutions in Eqs. (B.30) and (B.31) give the standard equilibrium constants:</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K</w:t>
      </w:r>
      <w:r>
        <w:rPr>
          <w:rFonts w:ascii="Times New Roman" w:hAnsi="Times New Roman" w:cs="Times New Roman" w:eastAsia="Times New Roman"/>
          <w:b w:val="0"/>
          <w:i w:val="0"/>
          <w:color w:val="000000"/>
          <w:sz w:val="24"/>
          <w:vertAlign w:val="subscript"/>
        </w:rPr>
        <w:t>H₃VO₄</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 xml:space="preserve"> = exp[−133.3945918 / (0.008314462618 × 1003.15)] = 1.1329138 × 10</w:t>
      </w:r>
      <w:r>
        <w:rPr>
          <w:rFonts w:ascii="Times New Roman" w:hAnsi="Times New Roman" w:cs="Times New Roman" w:eastAsia="Times New Roman"/>
          <w:b w:val="0"/>
          <w:i w:val="0"/>
          <w:color w:val="000000"/>
          <w:sz w:val="24"/>
          <w:vertAlign w:val="superscript"/>
        </w:rPr>
        <w:t>-7</w:t>
      </w:r>
      <w:r>
        <w:tab/>
      </w:r>
      <w:r>
        <w:rPr>
          <w:rFonts w:ascii="Times New Roman" w:hAnsi="Times New Roman" w:cs="Times New Roman" w:eastAsia="Times New Roman"/>
          <w:b w:val="0"/>
          <w:i w:val="0"/>
          <w:color w:val="000000"/>
          <w:sz w:val="24"/>
        </w:rPr>
        <w:t>(B.30)</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K</w:t>
      </w:r>
      <w:r>
        <w:rPr>
          <w:rFonts w:ascii="Times New Roman" w:hAnsi="Times New Roman" w:cs="Times New Roman" w:eastAsia="Times New Roman"/>
          <w:b w:val="0"/>
          <w:i w:val="0"/>
          <w:color w:val="000000"/>
          <w:sz w:val="24"/>
          <w:vertAlign w:val="subscript"/>
        </w:rPr>
        <w:t>H₂O</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 xml:space="preserve"> = exp[−67.0307562 / (0.008314462618 × 1003.15)] = 3.2339647 × 10</w:t>
      </w:r>
      <w:r>
        <w:rPr>
          <w:rFonts w:ascii="Times New Roman" w:hAnsi="Times New Roman" w:cs="Times New Roman" w:eastAsia="Times New Roman"/>
          <w:b w:val="0"/>
          <w:i w:val="0"/>
          <w:color w:val="000000"/>
          <w:sz w:val="24"/>
          <w:vertAlign w:val="superscript"/>
        </w:rPr>
        <w:t>-4</w:t>
      </w:r>
      <w:r>
        <w:tab/>
      </w:r>
      <w:r>
        <w:rPr>
          <w:rFonts w:ascii="Times New Roman" w:hAnsi="Times New Roman" w:cs="Times New Roman" w:eastAsia="Times New Roman"/>
          <w:b w:val="0"/>
          <w:i w:val="0"/>
          <w:color w:val="000000"/>
          <w:sz w:val="24"/>
        </w:rPr>
        <w:t>(B.31)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pressure-weighted terms q</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rPr>
        <w:t xml:space="preserve"> = K</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(p</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rPr>
        <w:t>/p</w:t>
      </w:r>
      <w:r>
        <w:rPr>
          <w:rFonts w:ascii="Times New Roman" w:hAnsi="Times New Roman" w:cs="Times New Roman" w:eastAsia="Times New Roman"/>
          <w:b w:val="0"/>
          <w:i w:val="0"/>
          <w:color w:val="000000"/>
          <w:sz w:val="24"/>
          <w:vertAlign w:val="superscript"/>
        </w:rPr>
        <w:t>°</w:t>
      </w:r>
      <w:r>
        <w:rPr>
          <w:rFonts w:ascii="Times New Roman" w:hAnsi="Times New Roman" w:cs="Times New Roman" w:eastAsia="Times New Roman"/>
          <w:b w:val="0"/>
          <w:i w:val="0"/>
          <w:color w:val="000000"/>
          <w:sz w:val="24"/>
        </w:rPr>
        <w:t>) used in Eq. (3.5) are calculated in Eqs. (B.32)–(B.34):</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q(H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 3.2339647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 xml:space="preserve"> × (0.4/1.0) = 1.2935859 × 10</w:t>
      </w:r>
      <w:r>
        <w:rPr>
          <w:rFonts w:ascii="Times New Roman" w:hAnsi="Times New Roman" w:cs="Times New Roman" w:eastAsia="Times New Roman"/>
          <w:b w:val="0"/>
          <w:i w:val="0"/>
          <w:color w:val="000000"/>
          <w:sz w:val="24"/>
          <w:vertAlign w:val="superscript"/>
        </w:rPr>
        <w:t>-4</w:t>
      </w:r>
      <w:r>
        <w:tab/>
      </w:r>
      <w:r>
        <w:rPr>
          <w:rFonts w:ascii="Times New Roman" w:hAnsi="Times New Roman" w:cs="Times New Roman" w:eastAsia="Times New Roman"/>
          <w:b w:val="0"/>
          <w:i w:val="0"/>
          <w:color w:val="000000"/>
          <w:sz w:val="24"/>
        </w:rPr>
        <w:t>(B.32)</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q(H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1 ppm) = 1.1329138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 (2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/1.0) = 2.2658275 × 10</w:t>
      </w:r>
      <w:r>
        <w:rPr>
          <w:rFonts w:ascii="Times New Roman" w:hAnsi="Times New Roman" w:cs="Times New Roman" w:eastAsia="Times New Roman"/>
          <w:b w:val="0"/>
          <w:i w:val="0"/>
          <w:color w:val="000000"/>
          <w:sz w:val="24"/>
          <w:vertAlign w:val="superscript"/>
        </w:rPr>
        <w:t>-13</w:t>
      </w:r>
      <w:r>
        <w:tab/>
      </w:r>
      <w:r>
        <w:rPr>
          <w:rFonts w:ascii="Times New Roman" w:hAnsi="Times New Roman" w:cs="Times New Roman" w:eastAsia="Times New Roman"/>
          <w:b w:val="0"/>
          <w:i w:val="0"/>
          <w:color w:val="000000"/>
          <w:sz w:val="24"/>
        </w:rPr>
        <w:t>(B.33)</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q(H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10 ppm) = 1.1329138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 (2 × 10</w:t>
      </w:r>
      <w:r>
        <w:rPr>
          <w:rFonts w:ascii="Times New Roman" w:hAnsi="Times New Roman" w:cs="Times New Roman" w:eastAsia="Times New Roman"/>
          <w:b w:val="0"/>
          <w:i w:val="0"/>
          <w:color w:val="000000"/>
          <w:sz w:val="24"/>
          <w:vertAlign w:val="superscript"/>
        </w:rPr>
        <w:t>-5</w:t>
      </w:r>
      <w:r>
        <w:rPr>
          <w:rFonts w:ascii="Times New Roman" w:hAnsi="Times New Roman" w:cs="Times New Roman" w:eastAsia="Times New Roman"/>
          <w:b w:val="0"/>
          <w:i w:val="0"/>
          <w:color w:val="000000"/>
          <w:sz w:val="24"/>
        </w:rPr>
        <w:t>/1.0) = 2.2658275 × 10</w:t>
      </w:r>
      <w:r>
        <w:rPr>
          <w:rFonts w:ascii="Times New Roman" w:hAnsi="Times New Roman" w:cs="Times New Roman" w:eastAsia="Times New Roman"/>
          <w:b w:val="0"/>
          <w:i w:val="0"/>
          <w:color w:val="000000"/>
          <w:sz w:val="24"/>
          <w:vertAlign w:val="superscript"/>
        </w:rPr>
        <w:t>-12</w:t>
      </w:r>
      <w:r>
        <w:tab/>
      </w:r>
      <w:r>
        <w:rPr>
          <w:rFonts w:ascii="Times New Roman" w:hAnsi="Times New Roman" w:cs="Times New Roman" w:eastAsia="Times New Roman"/>
          <w:b w:val="0"/>
          <w:i w:val="0"/>
          <w:color w:val="000000"/>
          <w:sz w:val="24"/>
        </w:rPr>
        <w:t>(B.34)</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For 1 ppm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Eq. (3.5) gives the denominator and fractions in Eqs. (B.35) and (B.36):</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D = 1 + 2.2658275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xml:space="preserve"> + 1.2935859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 xml:space="preserve"> = 1.0001293586</w:t>
      </w:r>
      <w:r>
        <w:tab/>
      </w:r>
      <w:r>
        <w:rPr>
          <w:rFonts w:ascii="Times New Roman" w:hAnsi="Times New Roman" w:cs="Times New Roman" w:eastAsia="Times New Roman"/>
          <w:b w:val="0"/>
          <w:i w:val="0"/>
          <w:color w:val="000000"/>
          <w:sz w:val="24"/>
        </w:rPr>
        <w:t>(B.35)</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θ(H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2.2658275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/D = 2.2655344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θ(H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 1.2935859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/D = 1.2934186 × 10</w:t>
      </w:r>
      <w:r>
        <w:rPr>
          <w:rFonts w:ascii="Times New Roman" w:hAnsi="Times New Roman" w:cs="Times New Roman" w:eastAsia="Times New Roman"/>
          <w:b w:val="0"/>
          <w:i w:val="0"/>
          <w:color w:val="000000"/>
          <w:sz w:val="24"/>
          <w:vertAlign w:val="superscript"/>
        </w:rPr>
        <w:t>-4</w:t>
      </w:r>
      <w:r>
        <w:tab/>
      </w:r>
      <w:r>
        <w:rPr>
          <w:rFonts w:ascii="Times New Roman" w:hAnsi="Times New Roman" w:cs="Times New Roman" w:eastAsia="Times New Roman"/>
          <w:b w:val="0"/>
          <w:i w:val="0"/>
          <w:color w:val="000000"/>
          <w:sz w:val="24"/>
        </w:rPr>
        <w:t>(B.36)</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θ(H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O)/θ(H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1 ppm = 1.2934186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 xml:space="preserve"> / 2.2655344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xml:space="preserve"> = 5.7091102 × 10</w:t>
      </w:r>
      <w:r>
        <w:rPr>
          <w:rFonts w:ascii="Times New Roman" w:hAnsi="Times New Roman" w:cs="Times New Roman" w:eastAsia="Times New Roman"/>
          <w:b w:val="0"/>
          <w:i w:val="0"/>
          <w:color w:val="000000"/>
          <w:sz w:val="24"/>
          <w:vertAlign w:val="superscript"/>
        </w:rPr>
        <w:t>8</w:t>
      </w:r>
      <w:r>
        <w:tab/>
      </w:r>
      <w:r>
        <w:rPr>
          <w:rFonts w:ascii="Times New Roman" w:hAnsi="Times New Roman" w:cs="Times New Roman" w:eastAsia="Times New Roman"/>
          <w:b w:val="0"/>
          <w:i w:val="0"/>
          <w:color w:val="000000"/>
          <w:sz w:val="24"/>
        </w:rPr>
        <w:t>(B.37)</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For 10 ppm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the corresponding substitutions appear in Eqs. (B.38) and (B.39):</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D = 1 + 2.2658275 × 10</w:t>
      </w:r>
      <w:r>
        <w:rPr>
          <w:rFonts w:ascii="Times New Roman" w:hAnsi="Times New Roman" w:cs="Times New Roman" w:eastAsia="Times New Roman"/>
          <w:b w:val="0"/>
          <w:i w:val="0"/>
          <w:color w:val="000000"/>
          <w:sz w:val="24"/>
          <w:vertAlign w:val="superscript"/>
        </w:rPr>
        <w:t>-12</w:t>
      </w:r>
      <w:r>
        <w:rPr>
          <w:rFonts w:ascii="Times New Roman" w:hAnsi="Times New Roman" w:cs="Times New Roman" w:eastAsia="Times New Roman"/>
          <w:b w:val="0"/>
          <w:i w:val="0"/>
          <w:color w:val="000000"/>
          <w:sz w:val="24"/>
        </w:rPr>
        <w:t xml:space="preserve"> + 1.2935859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 xml:space="preserve"> = 1.0001293586</w:t>
      </w:r>
      <w:r>
        <w:tab/>
      </w:r>
      <w:r>
        <w:rPr>
          <w:rFonts w:ascii="Times New Roman" w:hAnsi="Times New Roman" w:cs="Times New Roman" w:eastAsia="Times New Roman"/>
          <w:b w:val="0"/>
          <w:i w:val="0"/>
          <w:color w:val="000000"/>
          <w:sz w:val="24"/>
        </w:rPr>
        <w:t>(B.38)</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θ(H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2.2658275 × 10</w:t>
      </w:r>
      <w:r>
        <w:rPr>
          <w:rFonts w:ascii="Times New Roman" w:hAnsi="Times New Roman" w:cs="Times New Roman" w:eastAsia="Times New Roman"/>
          <w:b w:val="0"/>
          <w:i w:val="0"/>
          <w:color w:val="000000"/>
          <w:sz w:val="24"/>
          <w:vertAlign w:val="superscript"/>
        </w:rPr>
        <w:t>-12</w:t>
      </w:r>
      <w:r>
        <w:rPr>
          <w:rFonts w:ascii="Times New Roman" w:hAnsi="Times New Roman" w:cs="Times New Roman" w:eastAsia="Times New Roman"/>
          <w:b w:val="0"/>
          <w:i w:val="0"/>
          <w:color w:val="000000"/>
          <w:sz w:val="24"/>
        </w:rPr>
        <w:t>/D = 2.2655344 × 10</w:t>
      </w:r>
      <w:r>
        <w:rPr>
          <w:rFonts w:ascii="Times New Roman" w:hAnsi="Times New Roman" w:cs="Times New Roman" w:eastAsia="Times New Roman"/>
          <w:b w:val="0"/>
          <w:i w:val="0"/>
          <w:color w:val="000000"/>
          <w:sz w:val="24"/>
          <w:vertAlign w:val="superscript"/>
        </w:rPr>
        <w:t>-12</w:t>
      </w:r>
      <w:r>
        <w:rPr>
          <w:rFonts w:ascii="Times New Roman" w:hAnsi="Times New Roman" w:cs="Times New Roman" w:eastAsia="Times New Roman"/>
          <w:b w:val="0"/>
          <w:i w:val="0"/>
          <w:color w:val="000000"/>
          <w:sz w:val="24"/>
        </w:rPr>
        <w:t>; θ(H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 = 1.2935859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/D = 1.2934186 × 10</w:t>
      </w:r>
      <w:r>
        <w:rPr>
          <w:rFonts w:ascii="Times New Roman" w:hAnsi="Times New Roman" w:cs="Times New Roman" w:eastAsia="Times New Roman"/>
          <w:b w:val="0"/>
          <w:i w:val="0"/>
          <w:color w:val="000000"/>
          <w:sz w:val="24"/>
          <w:vertAlign w:val="superscript"/>
        </w:rPr>
        <w:t>-4</w:t>
      </w:r>
      <w:r>
        <w:tab/>
      </w:r>
      <w:r>
        <w:rPr>
          <w:rFonts w:ascii="Times New Roman" w:hAnsi="Times New Roman" w:cs="Times New Roman" w:eastAsia="Times New Roman"/>
          <w:b w:val="0"/>
          <w:i w:val="0"/>
          <w:color w:val="000000"/>
          <w:sz w:val="24"/>
        </w:rPr>
        <w:t>(B.39)</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θ(H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O)/θ(H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10 ppm = 1.2934186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 xml:space="preserve"> / 2.2655344 × 10</w:t>
      </w:r>
      <w:r>
        <w:rPr>
          <w:rFonts w:ascii="Times New Roman" w:hAnsi="Times New Roman" w:cs="Times New Roman" w:eastAsia="Times New Roman"/>
          <w:b w:val="0"/>
          <w:i w:val="0"/>
          <w:color w:val="000000"/>
          <w:sz w:val="24"/>
          <w:vertAlign w:val="superscript"/>
        </w:rPr>
        <w:t>-12</w:t>
      </w:r>
      <w:r>
        <w:rPr>
          <w:rFonts w:ascii="Times New Roman" w:hAnsi="Times New Roman" w:cs="Times New Roman" w:eastAsia="Times New Roman"/>
          <w:b w:val="0"/>
          <w:i w:val="0"/>
          <w:color w:val="000000"/>
          <w:sz w:val="24"/>
        </w:rPr>
        <w:t xml:space="preserve"> = 5.7091102 × 10</w:t>
      </w:r>
      <w:r>
        <w:rPr>
          <w:rFonts w:ascii="Times New Roman" w:hAnsi="Times New Roman" w:cs="Times New Roman" w:eastAsia="Times New Roman"/>
          <w:b w:val="0"/>
          <w:i w:val="0"/>
          <w:color w:val="000000"/>
          <w:sz w:val="24"/>
          <w:vertAlign w:val="superscript"/>
        </w:rPr>
        <w:t>7</w:t>
      </w:r>
      <w:r>
        <w:tab/>
      </w:r>
      <w:r>
        <w:rPr>
          <w:rFonts w:ascii="Times New Roman" w:hAnsi="Times New Roman" w:cs="Times New Roman" w:eastAsia="Times New Roman"/>
          <w:b w:val="0"/>
          <w:i w:val="0"/>
          <w:color w:val="000000"/>
          <w:sz w:val="24"/>
        </w:rPr>
        <w:t>(B.40)</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At the 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xml:space="preserve"> partial pressure reported by Trujillo et al. (1997), the pressure-weighted acid term and conditional occupation ratio are:</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q</w:t>
      </w:r>
      <w:r>
        <w:rPr>
          <w:rFonts w:ascii="Times New Roman" w:hAnsi="Times New Roman" w:cs="Times New Roman" w:eastAsia="Times New Roman"/>
          <w:b w:val="0"/>
          <w:i w:val="0"/>
          <w:color w:val="000000"/>
          <w:sz w:val="24"/>
          <w:vertAlign w:val="subscript"/>
        </w:rPr>
        <w:t>H₃VO₄, Trujillo</w:t>
      </w:r>
      <w:r>
        <w:rPr>
          <w:rFonts w:ascii="Times New Roman" w:hAnsi="Times New Roman" w:cs="Times New Roman" w:eastAsia="Times New Roman"/>
          <w:b w:val="0"/>
          <w:i w:val="0"/>
          <w:color w:val="000000"/>
          <w:sz w:val="24"/>
        </w:rPr>
        <w:t xml:space="preserve"> = 1.1329138 × 10</w:t>
      </w:r>
      <w:r>
        <w:rPr>
          <w:rFonts w:ascii="Times New Roman" w:hAnsi="Times New Roman" w:cs="Times New Roman" w:eastAsia="Times New Roman"/>
          <w:b w:val="0"/>
          <w:i w:val="0"/>
          <w:color w:val="000000"/>
          <w:sz w:val="24"/>
          <w:vertAlign w:val="superscript"/>
        </w:rPr>
        <w:t>-7</w:t>
      </w:r>
      <w:r>
        <w:rPr>
          <w:rFonts w:ascii="Times New Roman" w:hAnsi="Times New Roman" w:cs="Times New Roman" w:eastAsia="Times New Roman"/>
          <w:b w:val="0"/>
          <w:i w:val="0"/>
          <w:color w:val="000000"/>
          <w:sz w:val="24"/>
        </w:rPr>
        <w:t xml:space="preserve"> × (3.37 × 10</w:t>
      </w:r>
      <w:r>
        <w:rPr>
          <w:rFonts w:ascii="Times New Roman" w:hAnsi="Times New Roman" w:cs="Times New Roman" w:eastAsia="Times New Roman"/>
          <w:b w:val="0"/>
          <w:i w:val="0"/>
          <w:color w:val="000000"/>
          <w:sz w:val="24"/>
          <w:vertAlign w:val="superscript"/>
        </w:rPr>
        <w:t>-6</w:t>
      </w:r>
      <w:r>
        <w:rPr>
          <w:rFonts w:ascii="Times New Roman" w:hAnsi="Times New Roman" w:cs="Times New Roman" w:eastAsia="Times New Roman"/>
          <w:b w:val="0"/>
          <w:i w:val="0"/>
          <w:color w:val="000000"/>
          <w:sz w:val="24"/>
        </w:rPr>
        <w:t>/1.0) = 3.8179195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θ(H</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O)/θ(H</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VO</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 1.2935859 × 10</w:t>
      </w:r>
      <w:r>
        <w:rPr>
          <w:rFonts w:ascii="Times New Roman" w:hAnsi="Times New Roman" w:cs="Times New Roman" w:eastAsia="Times New Roman"/>
          <w:b w:val="0"/>
          <w:i w:val="0"/>
          <w:color w:val="000000"/>
          <w:sz w:val="24"/>
          <w:vertAlign w:val="superscript"/>
        </w:rPr>
        <w:t>-4</w:t>
      </w:r>
      <w:r>
        <w:rPr>
          <w:rFonts w:ascii="Times New Roman" w:hAnsi="Times New Roman" w:cs="Times New Roman" w:eastAsia="Times New Roman"/>
          <w:b w:val="0"/>
          <w:i w:val="0"/>
          <w:color w:val="000000"/>
          <w:sz w:val="24"/>
        </w:rPr>
        <w:t xml:space="preserve"> / 3.8179195 × 10</w:t>
      </w:r>
      <w:r>
        <w:rPr>
          <w:rFonts w:ascii="Times New Roman" w:hAnsi="Times New Roman" w:cs="Times New Roman" w:eastAsia="Times New Roman"/>
          <w:b w:val="0"/>
          <w:i w:val="0"/>
          <w:color w:val="000000"/>
          <w:sz w:val="24"/>
          <w:vertAlign w:val="superscript"/>
        </w:rPr>
        <w:t>-13</w:t>
      </w:r>
      <w:r>
        <w:rPr>
          <w:rFonts w:ascii="Times New Roman" w:hAnsi="Times New Roman" w:cs="Times New Roman" w:eastAsia="Times New Roman"/>
          <w:b w:val="0"/>
          <w:i w:val="0"/>
          <w:color w:val="000000"/>
          <w:sz w:val="24"/>
        </w:rPr>
        <w:t xml:space="preserve"> = 3.3882 × 10</w:t>
      </w:r>
      <w:r>
        <w:rPr>
          <w:rFonts w:ascii="Times New Roman" w:hAnsi="Times New Roman" w:cs="Times New Roman" w:eastAsia="Times New Roman"/>
          <w:b w:val="0"/>
          <w:i w:val="0"/>
          <w:color w:val="000000"/>
          <w:sz w:val="24"/>
          <w:vertAlign w:val="superscript"/>
        </w:rPr>
        <w:t>8</w:t>
      </w:r>
      <w:r>
        <w:tab/>
      </w:r>
      <w:r>
        <w:rPr>
          <w:rFonts w:ascii="Times New Roman" w:hAnsi="Times New Roman" w:cs="Times New Roman" w:eastAsia="Times New Roman"/>
          <w:b w:val="0"/>
          <w:i w:val="0"/>
          <w:color w:val="000000"/>
          <w:sz w:val="24"/>
        </w:rPr>
        <w:t>(B.41)</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Equations (B.30)–(B.41) reproduce the range in Table 4.7 and the Trujillo-pressure comparison under the standard-pressure, single-site, ideal-gas harmonic assumptions stated in Section 3.5.</w:t>
      </w:r>
    </w:p>
    <w:p>
      <w:pPr>
        <w:pStyle w:val="Heading3"/>
        <w:jc w:val="left"/>
      </w:pPr>
      <w:r>
        <w:rPr>
          <w:rFonts w:ascii="Times New Roman" w:hAnsi="Times New Roman" w:cs="Times New Roman" w:eastAsia="Times New Roman"/>
          <w:b w:val="0"/>
          <w:i w:val="0"/>
          <w:color w:val="000000"/>
          <w:sz w:val="24"/>
        </w:rPr>
        <w:t>B.6 Tier 1 candidate barrier substitutions</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GFN2-xTB candidate barrier was calculated from the candidate and starting-minimum energies in the Tier 1 register. Equation (B.42) shows the V-TS2 result; Eq. (B.43) shows the water-path candidate energy difference recorded in Table 4.5.</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ΔE‡(V-I1 → V-I2) = [−51.20610884 − (−51.26731716)] × 2625.499638 = 160.7024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(B.42)</w:t>
      </w:r>
    </w:p>
    <w:p>
      <w:pPr>
        <w:keepLines/>
        <w:widowControl/>
        <w:tabs>
          <w:tab w:pos="4252" w:val="center"/>
          <w:tab w:pos="8504" w:val="right"/>
        </w:tabs>
        <w:spacing w:line="240" w:lineRule="auto" w:before="0" w:after="240"/>
        <w:ind w:left="0" w:right="0" w:firstLine="0"/>
        <w:jc w:val="left"/>
      </w:pPr>
      <w:r>
        <w:tab/>
      </w:r>
      <w:r>
        <w:rPr>
          <w:rFonts w:ascii="Times New Roman" w:hAnsi="Times New Roman" w:cs="Times New Roman" w:eastAsia="Times New Roman"/>
          <w:b w:val="0"/>
          <w:i w:val="0"/>
          <w:color w:val="000000"/>
          <w:sz w:val="24"/>
        </w:rPr>
        <w:t>ΔE‡(W-PRC → W-TS candidate) = [−36.43140308 − (−36.44256091)] × 2625.499638 = 29.2949 kJ mol</w:t>
      </w:r>
      <w:r>
        <w:rPr>
          <w:rFonts w:ascii="Times New Roman" w:hAnsi="Times New Roman" w:cs="Times New Roman" w:eastAsia="Times New Roman"/>
          <w:b w:val="0"/>
          <w:i w:val="0"/>
          <w:color w:val="000000"/>
          <w:sz w:val="24"/>
          <w:vertAlign w:val="superscript"/>
        </w:rPr>
        <w:t>-1</w:t>
      </w:r>
      <w:r>
        <w:tab/>
      </w:r>
      <w:r>
        <w:rPr>
          <w:rFonts w:ascii="Times New Roman" w:hAnsi="Times New Roman" w:cs="Times New Roman" w:eastAsia="Times New Roman"/>
          <w:b w:val="0"/>
          <w:i w:val="0"/>
          <w:color w:val="000000"/>
          <w:sz w:val="24"/>
        </w:rPr>
        <w:t>(B.43)</w:t>
      </w:r>
    </w:p>
    <w:p>
      <w:pPr>
        <w:widowControl/>
        <w:spacing w:line="480" w:lineRule="auto" w:before="0" w:after="240"/>
        <w:ind w:firstLine="0" w:left="0"/>
        <w:jc w:val="both"/>
      </w:pPr>
      <w:r>
        <w:rPr>
          <w:rFonts w:ascii="Times New Roman" w:hAnsi="Times New Roman" w:cs="Times New Roman" w:eastAsia="Times New Roman"/>
          <w:b w:val="0"/>
          <w:i w:val="0"/>
          <w:color w:val="000000"/>
          <w:sz w:val="24"/>
        </w:rPr>
        <w:t>The W-TS energy difference in Eq. (B.43) is a candidate value; its displacement record and classification are given in Table A.3.</w:t>
      </w:r>
    </w:p>
    <w:sectPr w:rsidR="00FC693F" w:rsidRPr="0006063C" w:rsidSect="00034616">
      <w:headerReference w:type="default" r:id="rId12"/>
      <w:footerReference w:type="default" r:id="rId13"/>
      <w:pgSz w:w="11906" w:h="16838"/>
      <w:pgMar w:top="1417" w:right="1417" w:bottom="1417" w:left="1984"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fldChar w:fldCharType="begin" w:dirty="true"/>
    </w:r>
    <w:r>
      <w:instrText xml:space="preserve">PAGE \* roman</w:instrText>
    </w:r>
    <w:r>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fldChar w:fldCharType="begin" w:dirty="true"/>
    </w:r>
    <w:r>
      <w:instrText xml:space="preserve">PAGE \# "00"</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240"/>
      <w:ind w:firstLine="0"/>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240" w:lineRule="auto"/>
      <w:ind w:firstLine="0"/>
      <w:jc w:val="left"/>
      <w:outlineLvl w:val="0"/>
    </w:pPr>
    <w:rPr>
      <w:rFonts w:asciiTheme="majorHAnsi" w:eastAsiaTheme="majorEastAsia" w:hAnsiTheme="majorHAnsi" w:cstheme="majorBidi"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ind w:firstLine="0"/>
      <w:jc w:val="left"/>
      <w:outlineLvl w:val="1"/>
    </w:pPr>
    <w:rPr>
      <w:rFonts w:asciiTheme="majorHAnsi" w:eastAsiaTheme="majorEastAsia" w:hAnsiTheme="majorHAnsi"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ind w:firstLine="0"/>
      <w:jc w:val="left"/>
      <w:outlineLvl w:val="2"/>
    </w:pPr>
    <w:rPr>
      <w:rFonts w:asciiTheme="majorHAnsi" w:eastAsiaTheme="majorEastAsia" w:hAnsiTheme="majorHAnsi" w:cstheme="majorBidi" w:ascii="Times New Roman" w:hAnsi="Times New Roman" w:cs="Times New Roman" w:eastAsia="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line="240" w:lineRule="auto"/>
      <w:ind w:firstLine="0"/>
      <w:jc w:val="left"/>
      <w:outlineLvl w:val="3"/>
    </w:pPr>
    <w:rPr>
      <w:rFonts w:asciiTheme="majorHAnsi" w:eastAsiaTheme="majorEastAsia" w:hAnsiTheme="majorHAnsi" w:cstheme="majorBidi" w:ascii="Times New Roman" w:hAnsi="Times New Roman" w:cs="Times New Roman" w:eastAsia="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DENSITY FUNCTIONAL THEORY EVALUATION OF VANADIC ACID ZEOLITE Y DEALUMINATION IN RESIDUE FLUID CATALYTIC CRACKING REGENERATOR</dc:title>
  <dc:subject>B.Eng. Chemical Engineering undergraduate research project</dc:subject>
  <dc:creator>Ahmad Usman Shehu</dc:creator>
  <cp:keywords/>
  <dc:description>generated by python-docx</dc:description>
  <cp:lastModifiedBy>Ahmad Usman Shehu</cp:lastModifiedBy>
  <cp:revision>1</cp:revision>
  <dcterms:created xsi:type="dcterms:W3CDTF">2013-12-23T23:15:00Z</dcterms:created>
  <dcterms:modified xsi:type="dcterms:W3CDTF">2013-12-23T23:15:00Z</dcterms:modified>
  <cp:category/>
</cp:coreProperties>
</file>