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280"/>
        <w:jc w:val="center"/>
      </w:pPr>
    </w:p>
    <w:p>
      <w:pPr>
        <w:keepLines/>
        <w:spacing w:line="240" w:lineRule="auto" w:after="120"/>
        <w:jc w:val="center"/>
      </w:pPr>
      <w:r>
        <w:rPr>
          <w:rFonts w:ascii="Times New Roman" w:hAnsi="Times New Roman" w:cs="Times New Roman" w:eastAsia="Times New Roman"/>
          <w:b/>
          <w:i w:val="0"/>
          <w:color w:val="000000"/>
          <w:sz w:val="24"/>
        </w:rPr>
        <w:t>DENSITY FUNCTIONAL THEORY EVALUATION OF VANADIC ACID ZEOLITE Y DEALUMINATION IN RESIDUE FLUID CATALYTIC CRACKING REGENERATOR</w:t>
      </w:r>
    </w:p>
    <w:p>
      <w:pPr>
        <w:spacing w:line="240" w:lineRule="auto" w:after="280"/>
        <w:jc w:val="center"/>
      </w:pPr>
    </w:p>
    <w:p>
      <w:pPr>
        <w:keepLines/>
        <w:spacing w:line="240" w:lineRule="auto" w:after="120"/>
        <w:jc w:val="center"/>
      </w:pPr>
      <w:r>
        <w:rPr>
          <w:rFonts w:ascii="Times New Roman" w:hAnsi="Times New Roman" w:cs="Times New Roman" w:eastAsia="Times New Roman"/>
          <w:b/>
          <w:i w:val="0"/>
          <w:color w:val="000000"/>
          <w:sz w:val="24"/>
        </w:rPr>
        <w:t>BY</w:t>
      </w:r>
    </w:p>
    <w:p>
      <w:pPr>
        <w:spacing w:line="240" w:lineRule="auto" w:after="280"/>
        <w:jc w:val="center"/>
      </w:pPr>
    </w:p>
    <w:p>
      <w:pPr>
        <w:keepLines/>
        <w:spacing w:line="240" w:lineRule="auto" w:after="120"/>
        <w:jc w:val="center"/>
      </w:pPr>
      <w:r>
        <w:rPr>
          <w:rFonts w:ascii="Times New Roman" w:hAnsi="Times New Roman" w:cs="Times New Roman" w:eastAsia="Times New Roman"/>
          <w:b w:val="0"/>
          <w:i w:val="0"/>
          <w:color w:val="000000"/>
          <w:sz w:val="24"/>
        </w:rPr>
        <w:t>Ahmad Usman Shehu</w:t>
      </w:r>
    </w:p>
    <w:p>
      <w:pPr>
        <w:keepLines/>
        <w:spacing w:line="240" w:lineRule="auto" w:after="120"/>
        <w:jc w:val="center"/>
      </w:pPr>
      <w:r>
        <w:rPr>
          <w:rFonts w:ascii="Times New Roman" w:hAnsi="Times New Roman" w:cs="Times New Roman" w:eastAsia="Times New Roman"/>
          <w:b/>
          <w:i w:val="0"/>
          <w:color w:val="000000"/>
          <w:sz w:val="24"/>
        </w:rPr>
        <w:t>U19CE1068</w:t>
      </w:r>
    </w:p>
    <w:p>
      <w:pPr>
        <w:spacing w:line="240" w:lineRule="auto" w:after="280"/>
        <w:jc w:val="center"/>
      </w:pPr>
    </w:p>
    <w:p>
      <w:pPr>
        <w:keepLines/>
        <w:spacing w:line="240" w:lineRule="auto" w:after="120"/>
        <w:jc w:val="center"/>
      </w:pPr>
      <w:r>
        <w:rPr>
          <w:rFonts w:ascii="Times New Roman" w:hAnsi="Times New Roman" w:cs="Times New Roman" w:eastAsia="Times New Roman"/>
          <w:b/>
          <w:i w:val="0"/>
          <w:color w:val="000000"/>
          <w:sz w:val="24"/>
        </w:rPr>
        <w:t>A RESEARCH PROJECT SUBMITTED TO THE DEPARTMENT OF CHEMICAL ENGINEERING,</w:t>
      </w:r>
    </w:p>
    <w:p>
      <w:pPr>
        <w:keepLines/>
        <w:spacing w:line="240" w:lineRule="auto" w:after="120"/>
        <w:jc w:val="center"/>
      </w:pPr>
      <w:r>
        <w:rPr>
          <w:rFonts w:ascii="Times New Roman" w:hAnsi="Times New Roman" w:cs="Times New Roman" w:eastAsia="Times New Roman"/>
          <w:b/>
          <w:i w:val="0"/>
          <w:color w:val="000000"/>
          <w:sz w:val="24"/>
        </w:rPr>
        <w:t>FACULTY OF ENGINEERING, AHMADU BELLO UNIVERSITY, ZARIA,</w:t>
      </w:r>
    </w:p>
    <w:p>
      <w:pPr>
        <w:keepLines/>
        <w:spacing w:line="240" w:lineRule="auto" w:after="120"/>
        <w:jc w:val="center"/>
      </w:pPr>
      <w:r>
        <w:rPr>
          <w:rFonts w:ascii="Times New Roman" w:hAnsi="Times New Roman" w:cs="Times New Roman" w:eastAsia="Times New Roman"/>
          <w:b/>
          <w:i w:val="0"/>
          <w:color w:val="000000"/>
          <w:sz w:val="24"/>
        </w:rPr>
        <w:t>IN PARTIAL FULFILMENT OF THE REQUIREMENTS FOR THE AWARD OF THE DEGREE OF</w:t>
      </w:r>
    </w:p>
    <w:p>
      <w:pPr>
        <w:keepLines/>
        <w:spacing w:line="240" w:lineRule="auto" w:after="120"/>
        <w:jc w:val="center"/>
      </w:pPr>
      <w:r>
        <w:rPr>
          <w:rFonts w:ascii="Times New Roman" w:hAnsi="Times New Roman" w:cs="Times New Roman" w:eastAsia="Times New Roman"/>
          <w:b/>
          <w:i w:val="0"/>
          <w:color w:val="000000"/>
          <w:sz w:val="24"/>
        </w:rPr>
        <w:t>BACHELOR OF ENGINEERING (B.ENG.) IN CHEMICAL ENGINEERING</w:t>
      </w:r>
    </w:p>
    <w:p>
      <w:pPr>
        <w:spacing w:line="240" w:lineRule="auto" w:after="280"/>
        <w:jc w:val="center"/>
      </w:pPr>
    </w:p>
    <w:p>
      <w:pPr>
        <w:keepLines/>
        <w:spacing w:line="240" w:lineRule="auto" w:after="120"/>
        <w:jc w:val="center"/>
      </w:pPr>
      <w:r>
        <w:rPr>
          <w:rFonts w:ascii="Times New Roman" w:hAnsi="Times New Roman" w:cs="Times New Roman" w:eastAsia="Times New Roman"/>
          <w:b/>
          <w:i w:val="0"/>
          <w:color w:val="000000"/>
          <w:sz w:val="24"/>
        </w:rPr>
        <w:t>NOVEMBER, 2026</w:t>
      </w:r>
    </w:p>
    <w:p>
      <w:pPr>
        <w:pStyle w:val="Heading1"/>
        <w:pageBreakBefore/>
        <w:jc w:val="left"/>
      </w:pPr>
      <w:r>
        <w:rPr>
          <w:rFonts w:ascii="Times New Roman" w:hAnsi="Times New Roman" w:cs="Times New Roman" w:eastAsia="Times New Roman"/>
          <w:b/>
          <w:i w:val="0"/>
          <w:color w:val="000000"/>
          <w:sz w:val="24"/>
        </w:rPr>
        <w:t>DECLARATION</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I declare that this project, entitled “Density Functional Theory Evaluation of Vanadic Acid Zeolite Y Dealumination in Residue Fluid Catalytic Cracking Regenerator,” was carried out by me in the Department of Chemical Engineering, Ahmadu Bello University, Zaria. Sources used in the work have been acknowledged in the text and listed in the references. This project has not been submitted, in whole or in part, for another degree or diploma at this or any other institution.</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_______________________________ Ahmad Usman Shehu (Student)</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_______________________________ Date</w:t>
      </w:r>
    </w:p>
    <w:p>
      <w:pPr>
        <w:pStyle w:val="Heading1"/>
        <w:pageBreakBefore/>
        <w:jc w:val="left"/>
      </w:pPr>
      <w:r>
        <w:rPr>
          <w:rFonts w:ascii="Times New Roman" w:hAnsi="Times New Roman" w:cs="Times New Roman" w:eastAsia="Times New Roman"/>
          <w:b/>
          <w:i w:val="0"/>
          <w:color w:val="000000"/>
          <w:sz w:val="24"/>
        </w:rPr>
        <w:t>CERTIFICATION</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This project, entitled “Density Functional Theory Evaluation of Vanadic Acid Zeolite Y Dealumination in Residue Fluid Catalytic Cracking Regenerator,” was carried out by Ahmad Usman Shehu (U19CE1068). It is submitted to the Department of Chemical Engineering, Ahmadu Bello University, Zaria, in partial fulfilment of the requirements for the award of the degree of Bachelor of Engineering in Chemical Engineering.</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_______________________________ Project Supervisor                         Date</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_______________________________ Head of Department                         Date</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_______________________________ External Examiner                          Date</w:t>
      </w:r>
    </w:p>
    <w:p>
      <w:pPr>
        <w:pStyle w:val="Heading1"/>
        <w:pageBreakBefore/>
        <w:jc w:val="left"/>
      </w:pPr>
      <w:r>
        <w:rPr>
          <w:rFonts w:ascii="Times New Roman" w:hAnsi="Times New Roman" w:cs="Times New Roman" w:eastAsia="Times New Roman"/>
          <w:b/>
          <w:i w:val="0"/>
          <w:color w:val="000000"/>
          <w:sz w:val="24"/>
        </w:rPr>
        <w:t>DEDICATION</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This work is dedicated to my parents for their support throughout my education.</w:t>
      </w:r>
    </w:p>
    <w:p>
      <w:pPr>
        <w:pStyle w:val="Heading1"/>
        <w:pageBreakBefore/>
        <w:jc w:val="left"/>
      </w:pPr>
      <w:r>
        <w:rPr>
          <w:rFonts w:ascii="Times New Roman" w:hAnsi="Times New Roman" w:cs="Times New Roman" w:eastAsia="Times New Roman"/>
          <w:b/>
          <w:i w:val="0"/>
          <w:color w:val="000000"/>
          <w:sz w:val="24"/>
        </w:rPr>
        <w:t>ACKNOWLEDGEMENTS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I thank my project supervisor for guidance and for the detailed comments that improved this work. I also thank the Head of Department and the academic and technical staff of the Department of Chemical Engineering, Ahmadu Bello University, Zaria, for their support during my studies.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I am grateful to my family and colleagues for their encouragement. I acknowledge the researchers whose published work informed this project and provided the scientific background for the study.</w:t>
      </w:r>
    </w:p>
    <w:p>
      <w:pPr>
        <w:pStyle w:val="Heading1"/>
        <w:pageBreakBefore/>
        <w:jc w:val="left"/>
      </w:pPr>
      <w:r>
        <w:rPr>
          <w:rFonts w:ascii="Times New Roman" w:hAnsi="Times New Roman" w:cs="Times New Roman" w:eastAsia="Times New Roman"/>
          <w:b/>
          <w:i w:val="0"/>
          <w:color w:val="000000"/>
          <w:sz w:val="24"/>
        </w:rPr>
        <w:t>ABSTRACT</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Vanadium contamination reduced the activity of Zeolite Y catalysts used in residue fluid catalytic cracking. This study compared vanadic acid (H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and water adsorption at a model Brønsted acid site. A local cluster containing one framework aluminium atom and four silicon atoms was screened with GFN2-xTB, refined with B3LYP-D3(BJ)/def2-TZVP, and checked using PBE0-D3(BJ)/def2-TZVP single-point calculations. Harmonic frequencies were used to assess the structures and calculate thermochemical corrections. B3LYP gave electronic adsorption energies of −93.0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xml:space="preserve"> for vanadic acid and −78.3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xml:space="preserve"> for water; PBE0 gave −93.1 and −78.6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respectively. The electronic energies favoured vanadic acid by 14.7 and 14.4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respectively. The harmonic free energies did not support a reliable estimate of site occupancy at regenerator temperature. The candidate density-functional structure for framework Al–O bond cleavage had fourteen imaginary frequencies, so no activation barrier was established. The calculations showed a modest electronic binding preference but did not establish that vanadic acid caused dealumination. Further work with a larger model and a validated reaction pathway was required.</w:t>
      </w:r>
    </w:p>
    <w:p>
      <w:pPr>
        <w:keepNext/>
        <w:pageBreakBefore/>
        <w:spacing w:line="240" w:lineRule="auto" w:before="360" w:after="240"/>
        <w:jc w:val="left"/>
      </w:pPr>
      <w:r>
        <w:rPr>
          <w:rFonts w:ascii="Times New Roman" w:hAnsi="Times New Roman" w:cs="Times New Roman" w:eastAsia="Times New Roman"/>
          <w:b/>
          <w:i w:val="0"/>
          <w:color w:val="000000"/>
          <w:sz w:val="24"/>
        </w:rPr>
        <w:t>TABLE OF CONTENTS</w:t>
      </w:r>
    </w:p>
    <w:p>
      <w:pPr>
        <w:spacing w:line="480" w:lineRule="auto" w:after="0"/>
      </w:pPr>
      <w:r>
        <w:fldChar w:fldCharType="begin"/>
      </w:r>
      <w:r>
        <w:instrText xml:space="preserve">TOC \o "1-4" \h \z \u</w:instrText>
      </w:r>
      <w:r>
        <w:fldChar w:fldCharType="separate"/>
      </w:r>
      <w:r>
        <w:fldChar w:fldCharType="end"/>
      </w:r>
    </w:p>
    <w:p>
      <w:pPr>
        <w:keepNext/>
        <w:pageBreakBefore/>
        <w:spacing w:line="240" w:lineRule="auto" w:before="360" w:after="240"/>
        <w:jc w:val="left"/>
      </w:pPr>
      <w:r>
        <w:rPr>
          <w:rFonts w:ascii="Times New Roman" w:hAnsi="Times New Roman" w:cs="Times New Roman" w:eastAsia="Times New Roman"/>
          <w:b/>
          <w:i w:val="0"/>
          <w:color w:val="000000"/>
          <w:sz w:val="24"/>
        </w:rPr>
        <w:t>LIST OF TABLES</w:t>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Table 4.1: Convergence and vibrational checks for structures calculated at B3LYP-D3(BJ)/def2-TZVP</w:t>
      </w:r>
      <w:r>
        <w:tab/>
      </w:r>
      <w:r>
        <w:fldChar w:fldCharType="begin"/>
      </w:r>
      <w:r>
        <w:instrText xml:space="preserve">PAGEREF Table_4_1 \h</w:instrText>
      </w:r>
      <w:r>
        <w:fldChar w:fldCharType="separate"/>
      </w:r>
      <w:r>
        <w:fldChar w:fldCharType="end"/>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Table 4.2: Electronic adsorption energies and their difference for vanadic acid and water</w:t>
      </w:r>
      <w:r>
        <w:tab/>
      </w:r>
      <w:r>
        <w:fldChar w:fldCharType="begin"/>
      </w:r>
      <w:r>
        <w:instrText xml:space="preserve">PAGEREF Table_4_2 \h</w:instrText>
      </w:r>
      <w:r>
        <w:fldChar w:fldCharType="separate"/>
      </w:r>
      <w:r>
        <w:fldChar w:fldCharType="end"/>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Table 4.3: Harmonic Gibbs free energies relative to the separated cluster and adsorbate at B3LYP-D3(BJ)/def2-TZVP</w:t>
      </w:r>
      <w:r>
        <w:tab/>
      </w:r>
      <w:r>
        <w:fldChar w:fldCharType="begin"/>
      </w:r>
      <w:r>
        <w:instrText xml:space="preserve">PAGEREF Table_4_3 \h</w:instrText>
      </w:r>
      <w:r>
        <w:fldChar w:fldCharType="separate"/>
      </w:r>
      <w:r>
        <w:fldChar w:fldCharType="end"/>
      </w:r>
    </w:p>
    <w:p>
      <w:pPr>
        <w:keepNext/>
        <w:pageBreakBefore/>
        <w:spacing w:line="240" w:lineRule="auto" w:before="360" w:after="240"/>
        <w:jc w:val="left"/>
      </w:pPr>
      <w:r>
        <w:rPr>
          <w:rFonts w:ascii="Times New Roman" w:hAnsi="Times New Roman" w:cs="Times New Roman" w:eastAsia="Times New Roman"/>
          <w:b/>
          <w:i w:val="0"/>
          <w:color w:val="000000"/>
          <w:sz w:val="24"/>
        </w:rPr>
        <w:t>LIST OF FIGURES</w:t>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Figure 2.1: Structure of Zeolite Y showing the supercage and its twelve-membered-ring opening</w:t>
      </w:r>
      <w:r>
        <w:tab/>
      </w:r>
      <w:r>
        <w:fldChar w:fldCharType="begin"/>
      </w:r>
      <w:r>
        <w:instrText xml:space="preserve">PAGEREF Figure_2_1 \h</w:instrText>
      </w:r>
      <w:r>
        <w:fldChar w:fldCharType="separate"/>
      </w:r>
      <w:r>
        <w:fldChar w:fldCharType="end"/>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Figure 2.2: Calculated reaction paths for dealumination and desilication using gas-phase and adsorbed water references</w:t>
      </w:r>
      <w:r>
        <w:tab/>
      </w:r>
      <w:r>
        <w:fldChar w:fldCharType="begin"/>
      </w:r>
      <w:r>
        <w:instrText xml:space="preserve">PAGEREF Figure_2_2 \h</w:instrText>
      </w:r>
      <w:r>
        <w:fldChar w:fldCharType="separate"/>
      </w:r>
      <w:r>
        <w:fldChar w:fldCharType="end"/>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Figure 2.3: Proposed explanations for vanadium-related damage to Zeolite Y and the adsorption comparison examined in this study</w:t>
      </w:r>
      <w:r>
        <w:tab/>
      </w:r>
      <w:r>
        <w:fldChar w:fldCharType="begin"/>
      </w:r>
      <w:r>
        <w:instrText xml:space="preserve">PAGEREF Figure_2_3 \h</w:instrText>
      </w:r>
      <w:r>
        <w:fldChar w:fldCharType="separate"/>
      </w:r>
      <w:r>
        <w:fldChar w:fldCharType="end"/>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Figure 2.4: Transmission electron micrographs of ultra-stable Y zeolite before and after vanadium contamination and steaming</w:t>
      </w:r>
      <w:r>
        <w:tab/>
      </w:r>
      <w:r>
        <w:fldChar w:fldCharType="begin"/>
      </w:r>
      <w:r>
        <w:instrText xml:space="preserve">PAGEREF Figure_2_4 \h</w:instrText>
      </w:r>
      <w:r>
        <w:fldChar w:fldCharType="separate"/>
      </w:r>
      <w:r>
        <w:fldChar w:fldCharType="end"/>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Figure 3.1: Two-stage computational workflow used in this study</w:t>
      </w:r>
      <w:r>
        <w:tab/>
      </w:r>
      <w:r>
        <w:fldChar w:fldCharType="begin"/>
      </w:r>
      <w:r>
        <w:instrText xml:space="preserve">PAGEREF Figure_3_1 \h</w:instrText>
      </w:r>
      <w:r>
        <w:fldChar w:fldCharType="separate"/>
      </w:r>
      <w:r>
        <w:fldChar w:fldCharType="end"/>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Figure 3.2: Zeolite Y cluster AlSi</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13</w:t>
      </w:r>
      <w:r>
        <w:rPr>
          <w:rFonts w:ascii="Times New Roman" w:hAnsi="Times New Roman" w:cs="Times New Roman" w:eastAsia="Times New Roman"/>
          <w:b w:val="0"/>
          <w:i w:val="0"/>
          <w:color w:val="000000"/>
          <w:sz w:val="24"/>
        </w:rPr>
        <w:t>, vanadic acid, and water used in the calculations</w:t>
      </w:r>
      <w:r>
        <w:tab/>
      </w:r>
      <w:r>
        <w:fldChar w:fldCharType="begin"/>
      </w:r>
      <w:r>
        <w:instrText xml:space="preserve">PAGEREF Figure_3_2 \h</w:instrText>
      </w:r>
      <w:r>
        <w:fldChar w:fldCharType="separate"/>
      </w:r>
      <w:r>
        <w:fldChar w:fldCharType="end"/>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Figure 4.1: Optimised adsorption complexes at B3LYP-D3(BJ)/def2-TZVP. Left, vanadic acid (V-PRC); right, water (W-PRC)</w:t>
      </w:r>
      <w:r>
        <w:tab/>
      </w:r>
      <w:r>
        <w:fldChar w:fldCharType="begin"/>
      </w:r>
      <w:r>
        <w:instrText xml:space="preserve">PAGEREF Figure_4_1 \h</w:instrText>
      </w:r>
      <w:r>
        <w:fldChar w:fldCharType="separate"/>
      </w:r>
      <w:r>
        <w:fldChar w:fldCharType="end"/>
      </w:r>
    </w:p>
    <w:p>
      <w:pPr>
        <w:pStyle w:val="Heading1"/>
        <w:pageBreakBefore/>
        <w:jc w:val="left"/>
      </w:pPr>
      <w:r>
        <w:rPr>
          <w:rFonts w:ascii="Times New Roman" w:hAnsi="Times New Roman" w:cs="Times New Roman" w:eastAsia="Times New Roman"/>
          <w:b/>
          <w:i w:val="0"/>
          <w:color w:val="000000"/>
          <w:sz w:val="24"/>
        </w:rPr>
        <w:t>1.0 INTRODUCTION</w:t>
      </w:r>
    </w:p>
    <w:p>
      <w:pPr>
        <w:pStyle w:val="Heading2"/>
        <w:jc w:val="left"/>
      </w:pPr>
      <w:r>
        <w:rPr>
          <w:rFonts w:ascii="Times New Roman" w:hAnsi="Times New Roman" w:cs="Times New Roman" w:eastAsia="Times New Roman"/>
          <w:b/>
          <w:i w:val="0"/>
          <w:color w:val="000000"/>
          <w:sz w:val="24"/>
        </w:rPr>
        <w:t>1.1 Background of the Study</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Residue fluid catalytic cracking (RFCC) converts heavy petroleum fractions into lighter products. Its circulating catalyst contains zeolite Y, which provides much of the catalytic activity. Metals in residue feedstocks, including vanadium, build up on the catalyst during operation. Vanadium is associated with faster loss of zeolite activity during regeneration (Adanenche et al., 2023; Wormsbecher, Peters, &amp; Maselli, 1986).</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Zeolite Y is a crystalline aluminosilicate with the faujasite structure. Its framework contains aluminium and silicon atoms linked by oxygen atoms. A framework aluminium atom creates a Brønsted acid site, which helps crack hydrocarbons. When aluminium leaves the framework, the process is called dealumination, and the number of acid sites decreases (Malola, Svelle, Lønstad Bleken, &amp; Swang, 2012).</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Steam can remove framework aluminium during regeneration. Researchers disagree about the additional role of vanadium. Wormsbecher et al. (1986) proposed that vanadium pentoxide reacts with steam to form volatile vanadic acid, which then promotes framework damage. Trujillo et al. (1997) developed this explanation and proposed that vanadic acid concentrates inside the zeolite.</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Other studies questioned whether vanadic acid directly causes dealumination. Pine (1990) found that vanadium also damaged silicalite, which contains little aluminium, and reported a similar activation energy with and without vanadium. Xu, Liu, and Madon (2002) proposed that vanadium releases sodium from the catalyst and that sodium hydroxide attacks the framework. These explanations leave an important question: how strongly does vanadic acid bind to a Zeolite Y acid site compared with water?</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This project examined that question with a local computational model. It compared the calculated adsorption energies of vanadic acid and water at the same Brønsted acid site. The calculation was also used to assess whether the available thermochemical and reaction-path results could support conclusions about dealumination.</w:t>
      </w:r>
    </w:p>
    <w:p>
      <w:pPr>
        <w:pStyle w:val="Heading2"/>
        <w:jc w:val="left"/>
      </w:pPr>
      <w:r>
        <w:rPr>
          <w:rFonts w:ascii="Times New Roman" w:hAnsi="Times New Roman" w:cs="Times New Roman" w:eastAsia="Times New Roman"/>
          <w:b/>
          <w:i w:val="0"/>
          <w:color w:val="000000"/>
          <w:sz w:val="24"/>
        </w:rPr>
        <w:t>1.2 Statement of the Problem</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Vanadium contamination reduces the activity of Zeolite Y catalysts, but the molecular cause remains disputed. One proposed explanation assigns a direct role to vanadic acid, while another assigns the main framework attack to steam and sodium. A comparison of vanadic acid and water adsorption energies at the same model acid site provides a focused test of the first step in the vanadic-acid explanation. This project addressed that comparison and assessed whether the calculations supported conclusions about later framework bond cleavage.</w:t>
      </w:r>
    </w:p>
    <w:p>
      <w:pPr>
        <w:pStyle w:val="Heading2"/>
        <w:jc w:val="left"/>
      </w:pPr>
      <w:r>
        <w:rPr>
          <w:rFonts w:ascii="Times New Roman" w:hAnsi="Times New Roman" w:cs="Times New Roman" w:eastAsia="Times New Roman"/>
          <w:b/>
          <w:i w:val="0"/>
          <w:color w:val="000000"/>
          <w:sz w:val="24"/>
        </w:rPr>
        <w:t>1.3 Aim of the Study</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aim of this study was to evaluate vanadic acid adsorption on a model Zeolite Y Brønsted acid site and compare its calculated adsorption energy with that of water under conditions relevant to an RFCC regenerator.</w:t>
      </w:r>
    </w:p>
    <w:p>
      <w:pPr>
        <w:pStyle w:val="Heading2"/>
        <w:jc w:val="left"/>
      </w:pPr>
      <w:r>
        <w:rPr>
          <w:rFonts w:ascii="Times New Roman" w:hAnsi="Times New Roman" w:cs="Times New Roman" w:eastAsia="Times New Roman"/>
          <w:b/>
          <w:i w:val="0"/>
          <w:color w:val="000000"/>
          <w:sz w:val="24"/>
        </w:rPr>
        <w:t>1.4 Objectives of the Study</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objectives were to:</w:t>
      </w:r>
    </w:p>
    <w:p>
      <w:pPr>
        <w:widowControl/>
        <w:spacing w:line="480" w:lineRule="auto" w:before="0" w:after="120"/>
        <w:ind w:firstLine="0" w:left="255"/>
        <w:jc w:val="both"/>
      </w:pPr>
      <w:r>
        <w:rPr>
          <w:rFonts w:ascii="Times New Roman" w:hAnsi="Times New Roman" w:cs="Times New Roman" w:eastAsia="Times New Roman"/>
          <w:b w:val="0"/>
          <w:i w:val="0"/>
          <w:color w:val="000000"/>
          <w:sz w:val="24"/>
        </w:rPr>
        <w:t>1. construct and optimise a local Zeolite Y cluster model with one Brønsted acid site and vanadic-acid and water adsorption structures in ORCA;</w:t>
      </w:r>
    </w:p>
    <w:p>
      <w:pPr>
        <w:widowControl/>
        <w:spacing w:line="480" w:lineRule="auto" w:before="0" w:after="120"/>
        <w:ind w:firstLine="0" w:left="255"/>
        <w:jc w:val="both"/>
      </w:pPr>
      <w:r>
        <w:rPr>
          <w:rFonts w:ascii="Times New Roman" w:hAnsi="Times New Roman" w:cs="Times New Roman" w:eastAsia="Times New Roman"/>
          <w:b w:val="0"/>
          <w:i w:val="0"/>
          <w:color w:val="000000"/>
          <w:sz w:val="24"/>
        </w:rPr>
        <w:t>2. refine the accepted structures and quantify the relative adsorption energies of vanadic acid and water;</w:t>
      </w:r>
    </w:p>
    <w:p>
      <w:pPr>
        <w:widowControl/>
        <w:spacing w:line="480" w:lineRule="auto" w:before="0" w:after="120"/>
        <w:ind w:firstLine="0" w:left="255"/>
        <w:jc w:val="both"/>
      </w:pPr>
      <w:r>
        <w:rPr>
          <w:rFonts w:ascii="Times New Roman" w:hAnsi="Times New Roman" w:cs="Times New Roman" w:eastAsia="Times New Roman"/>
          <w:b w:val="0"/>
          <w:i w:val="0"/>
          <w:color w:val="000000"/>
          <w:sz w:val="24"/>
        </w:rPr>
        <w:t>3. assess the calculated thermochemical corrections at 298.15 K and 1003.15 K and determine whether they supported a quantitative estimate of competitive site occupancy; and</w:t>
      </w:r>
    </w:p>
    <w:p>
      <w:pPr>
        <w:widowControl/>
        <w:spacing w:line="480" w:lineRule="auto" w:before="0" w:after="120"/>
        <w:ind w:firstLine="0" w:left="255"/>
        <w:jc w:val="both"/>
      </w:pPr>
      <w:r>
        <w:rPr>
          <w:rFonts w:ascii="Times New Roman" w:hAnsi="Times New Roman" w:cs="Times New Roman" w:eastAsia="Times New Roman"/>
          <w:b w:val="0"/>
          <w:i w:val="0"/>
          <w:color w:val="000000"/>
          <w:sz w:val="24"/>
        </w:rPr>
        <w:t>4. test whether the calculations established a validated vanadic-acid pathway for framework Al–O bond cleavage.</w:t>
      </w:r>
    </w:p>
    <w:p>
      <w:pPr>
        <w:pStyle w:val="Heading2"/>
        <w:jc w:val="left"/>
      </w:pPr>
      <w:r>
        <w:rPr>
          <w:rFonts w:ascii="Times New Roman" w:hAnsi="Times New Roman" w:cs="Times New Roman" w:eastAsia="Times New Roman"/>
          <w:b/>
          <w:i w:val="0"/>
          <w:color w:val="000000"/>
          <w:sz w:val="24"/>
        </w:rPr>
        <w:t>1.5 Scope of the Study</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study used a gas-phase cluster model, AlSi</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13</w:t>
      </w:r>
      <w:r>
        <w:rPr>
          <w:rFonts w:ascii="Times New Roman" w:hAnsi="Times New Roman" w:cs="Times New Roman" w:eastAsia="Times New Roman"/>
          <w:b w:val="0"/>
          <w:i w:val="0"/>
          <w:color w:val="000000"/>
          <w:sz w:val="24"/>
        </w:rPr>
        <w:t>, containing one framework aluminium atom and four silicon atoms. It compared vanadic acid, 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and water, 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 at one Brønsted acid site. GFN2-xTB calculations in ORCA were used to screen initial geometries, which were then refined with B3LYP-D3(BJ)/def2-TZVP; PBE0-D3(BJ)/def2-TZVP single-point calculations checked the adsorption-energy comparison. Harmonic-frequency calculations supplied thermochemical corrections at 298.15 K and 1003.15 K.</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calculations did not include a full Zeolite Y crystal, pore confinement, explicit sodium, the surrounding catalyst matrix, or a liquid vanadium pentoxide phase. The RFCC gas composition was used to interpret the calculations but was not represented explicitly in the cluster model. Candidate structures beyond adsorption were examined, but the model did not produce a validated density-functional transition state for framework Al–O cleavage. No experimental measurements were included.</w:t>
      </w:r>
    </w:p>
    <w:p>
      <w:pPr>
        <w:pStyle w:val="Heading2"/>
        <w:jc w:val="left"/>
      </w:pPr>
      <w:r>
        <w:rPr>
          <w:rFonts w:ascii="Times New Roman" w:hAnsi="Times New Roman" w:cs="Times New Roman" w:eastAsia="Times New Roman"/>
          <w:b/>
          <w:i w:val="0"/>
          <w:color w:val="000000"/>
          <w:sz w:val="24"/>
        </w:rPr>
        <w:t>1.6 Significance of the Study</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This study provides a direct comparison of vanadic acid and water adsorption energies at the same model acid site. It also separates conclusions supported by converged calculations from those that remain uncertain because of failed geometry or frequency tests. The results can guide later calculations that include the Zeolite Y pore, sodium, and the high steam concentration in an RFCC regenerator.</w:t>
      </w:r>
    </w:p>
    <w:p>
      <w:pPr>
        <w:pStyle w:val="Heading2"/>
        <w:jc w:val="left"/>
      </w:pPr>
      <w:r>
        <w:rPr>
          <w:rFonts w:ascii="Times New Roman" w:hAnsi="Times New Roman" w:cs="Times New Roman" w:eastAsia="Times New Roman"/>
          <w:b/>
          <w:i w:val="0"/>
          <w:color w:val="000000"/>
          <w:sz w:val="24"/>
        </w:rPr>
        <w:t>1.7 Limitations of the Study</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small cluster represented only the local acid site and omitted long-range electrostatic effects and pore confinement. The terminal hydrogen atoms were fixed during geometry optimisation, which may have affected the motion of the cluster boundary. No complete basis-set-superposition correction was obtained, so the absolute adsorption energies remained uncorrected. The harmonic gas-phase treatment also did not provide a reliable quantitative estimate of adsorption-site occupancy at regenerator temperature.</w:t>
      </w:r>
    </w:p>
    <w:p>
      <w:pPr>
        <w:pStyle w:val="Heading2"/>
        <w:jc w:val="left"/>
      </w:pPr>
      <w:r>
        <w:rPr>
          <w:rFonts w:ascii="Times New Roman" w:hAnsi="Times New Roman" w:cs="Times New Roman" w:eastAsia="Times New Roman"/>
          <w:b/>
          <w:i w:val="0"/>
          <w:color w:val="000000"/>
          <w:sz w:val="24"/>
        </w:rPr>
        <w:t>1.8 Definition of Terms</w:t>
      </w:r>
    </w:p>
    <w:p>
      <w:pPr>
        <w:widowControl/>
        <w:spacing w:line="480" w:lineRule="auto" w:before="0" w:after="240"/>
        <w:ind w:firstLine="0" w:left="0"/>
        <w:jc w:val="both"/>
      </w:pPr>
      <w:r>
        <w:rPr>
          <w:rFonts w:ascii="Times New Roman" w:hAnsi="Times New Roman" w:cs="Times New Roman" w:eastAsia="Times New Roman"/>
          <w:b/>
          <w:i w:val="0"/>
          <w:color w:val="000000"/>
          <w:sz w:val="24"/>
        </w:rPr>
        <w:t>Zeolite Y:</w:t>
      </w:r>
      <w:r>
        <w:rPr>
          <w:rFonts w:ascii="Times New Roman" w:hAnsi="Times New Roman" w:cs="Times New Roman" w:eastAsia="Times New Roman"/>
          <w:b w:val="0"/>
          <w:i w:val="0"/>
          <w:color w:val="000000"/>
          <w:sz w:val="24"/>
        </w:rPr>
        <w:t xml:space="preserve"> A crystalline aluminosilicate with the faujasite structure, used as an active component of fluid catalytic cracking catalysts.</w:t>
      </w:r>
    </w:p>
    <w:p>
      <w:pPr>
        <w:widowControl/>
        <w:spacing w:line="480" w:lineRule="auto" w:before="0" w:after="240"/>
        <w:ind w:firstLine="0" w:left="0"/>
        <w:jc w:val="both"/>
      </w:pPr>
      <w:r>
        <w:rPr>
          <w:rFonts w:ascii="Times New Roman" w:hAnsi="Times New Roman" w:cs="Times New Roman" w:eastAsia="Times New Roman"/>
          <w:b/>
          <w:i w:val="0"/>
          <w:color w:val="000000"/>
          <w:sz w:val="24"/>
        </w:rPr>
        <w:t>Brønsted acid site:</w:t>
      </w:r>
      <w:r>
        <w:rPr>
          <w:rFonts w:ascii="Times New Roman" w:hAnsi="Times New Roman" w:cs="Times New Roman" w:eastAsia="Times New Roman"/>
          <w:b w:val="0"/>
          <w:i w:val="0"/>
          <w:color w:val="000000"/>
          <w:sz w:val="24"/>
        </w:rPr>
        <w:t xml:space="preserve"> A proton attached to an oxygen atom between framework aluminium and silicon; it provides acidity for hydrocarbon cracking.</w:t>
      </w:r>
    </w:p>
    <w:p>
      <w:pPr>
        <w:widowControl/>
        <w:spacing w:line="480" w:lineRule="auto" w:before="0" w:after="240"/>
        <w:ind w:firstLine="0" w:left="0"/>
        <w:jc w:val="both"/>
      </w:pPr>
      <w:r>
        <w:rPr>
          <w:rFonts w:ascii="Times New Roman" w:hAnsi="Times New Roman" w:cs="Times New Roman" w:eastAsia="Times New Roman"/>
          <w:b/>
          <w:i w:val="0"/>
          <w:color w:val="000000"/>
          <w:sz w:val="24"/>
        </w:rPr>
        <w:t>Dealumination:</w:t>
      </w:r>
      <w:r>
        <w:rPr>
          <w:rFonts w:ascii="Times New Roman" w:hAnsi="Times New Roman" w:cs="Times New Roman" w:eastAsia="Times New Roman"/>
          <w:b w:val="0"/>
          <w:i w:val="0"/>
          <w:color w:val="000000"/>
          <w:sz w:val="24"/>
        </w:rPr>
        <w:t xml:space="preserve"> Removal of aluminium from the zeolite framework, which reduces the number of framework acid sites.</w:t>
      </w:r>
    </w:p>
    <w:p>
      <w:pPr>
        <w:widowControl/>
        <w:spacing w:line="480" w:lineRule="auto" w:before="0" w:after="240"/>
        <w:ind w:firstLine="0" w:left="0"/>
        <w:jc w:val="both"/>
      </w:pPr>
      <w:r>
        <w:rPr>
          <w:rFonts w:ascii="Times New Roman" w:hAnsi="Times New Roman" w:cs="Times New Roman" w:eastAsia="Times New Roman"/>
          <w:b/>
          <w:i w:val="0"/>
          <w:color w:val="000000"/>
          <w:sz w:val="24"/>
        </w:rPr>
        <w:t>Adsorption energy:</w:t>
      </w:r>
      <w:r>
        <w:rPr>
          <w:rFonts w:ascii="Times New Roman" w:hAnsi="Times New Roman" w:cs="Times New Roman" w:eastAsia="Times New Roman"/>
          <w:b w:val="0"/>
          <w:i w:val="0"/>
          <w:color w:val="000000"/>
          <w:sz w:val="24"/>
        </w:rPr>
        <w:t xml:space="preserve"> The energy change when a molecule binds to a surface or model site; a negative value indicates that the adsorbed structure has lower electronic energy than the separated species.</w:t>
      </w:r>
    </w:p>
    <w:p>
      <w:pPr>
        <w:widowControl/>
        <w:spacing w:line="480" w:lineRule="auto" w:before="0" w:after="240"/>
        <w:ind w:firstLine="0" w:left="0"/>
        <w:jc w:val="both"/>
      </w:pPr>
      <w:r>
        <w:rPr>
          <w:rFonts w:ascii="Times New Roman" w:hAnsi="Times New Roman" w:cs="Times New Roman" w:eastAsia="Times New Roman"/>
          <w:b/>
          <w:i w:val="0"/>
          <w:color w:val="000000"/>
          <w:sz w:val="24"/>
        </w:rPr>
        <w:t>Stationary point:</w:t>
      </w:r>
      <w:r>
        <w:rPr>
          <w:rFonts w:ascii="Times New Roman" w:hAnsi="Times New Roman" w:cs="Times New Roman" w:eastAsia="Times New Roman"/>
          <w:b w:val="0"/>
          <w:i w:val="0"/>
          <w:color w:val="000000"/>
          <w:sz w:val="24"/>
        </w:rPr>
        <w:t xml:space="preserve"> A structure at which the calculated energy gradient is zero. A minimum has no meaningful imaginary vibrational frequencies, while a first-order saddle point has one.</w:t>
      </w:r>
    </w:p>
    <w:p>
      <w:pPr>
        <w:widowControl/>
        <w:spacing w:line="480" w:lineRule="auto" w:before="0" w:after="240"/>
        <w:ind w:firstLine="0" w:left="0"/>
        <w:jc w:val="both"/>
      </w:pPr>
      <w:r>
        <w:rPr>
          <w:rFonts w:ascii="Times New Roman" w:hAnsi="Times New Roman" w:cs="Times New Roman" w:eastAsia="Times New Roman"/>
          <w:b/>
          <w:i w:val="0"/>
          <w:color w:val="000000"/>
          <w:sz w:val="24"/>
        </w:rPr>
        <w:t>Imaginary frequency:</w:t>
      </w:r>
      <w:r>
        <w:rPr>
          <w:rFonts w:ascii="Times New Roman" w:hAnsi="Times New Roman" w:cs="Times New Roman" w:eastAsia="Times New Roman"/>
          <w:b w:val="0"/>
          <w:i w:val="0"/>
          <w:color w:val="000000"/>
          <w:sz w:val="24"/>
        </w:rPr>
        <w:t xml:space="preserve"> A negative calculated vibrational frequency that indicates instability along a particular structural motion.</w:t>
      </w:r>
    </w:p>
    <w:p>
      <w:pPr>
        <w:pStyle w:val="Heading1"/>
        <w:pageBreakBefore/>
        <w:jc w:val="left"/>
      </w:pPr>
      <w:r>
        <w:rPr>
          <w:rFonts w:ascii="Times New Roman" w:hAnsi="Times New Roman" w:cs="Times New Roman" w:eastAsia="Times New Roman"/>
          <w:b/>
          <w:i w:val="0"/>
          <w:color w:val="000000"/>
          <w:sz w:val="24"/>
        </w:rPr>
        <w:t>2.0 LITERATURE REVIEW</w:t>
      </w:r>
    </w:p>
    <w:p>
      <w:pPr>
        <w:pStyle w:val="Heading2"/>
        <w:jc w:val="left"/>
      </w:pPr>
      <w:r>
        <w:rPr>
          <w:rFonts w:ascii="Times New Roman" w:hAnsi="Times New Roman" w:cs="Times New Roman" w:eastAsia="Times New Roman"/>
          <w:b/>
          <w:i w:val="0"/>
          <w:color w:val="000000"/>
          <w:sz w:val="24"/>
        </w:rPr>
        <w:t>2.1 Zeolite Y in Residue Fluid Catalytic Cracking</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Residue fluid catalytic cracking processes heavy feedstocks that contain metals and other contaminants. The catalyst circulates between the reactor and the regenerator. Coke burns off in the regenerator, where air and steam contact the catalyst at high temperature. Vanadium carried in the feed can accumulate on the catalyst and is associated with loss of zeolite activity (Adanenche et al., 2023).</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Zeolite Y is the main cracking component in many fluid catalytic cracking catalysts. Its faujasite framework contains interconnected cages and channels, including a large supercage where hydrocarbon reactions occur. Figure 2.1 shows the structure of Zeolite Y and the supercage openings. A framework aluminium atom creates a negative charge that is balanced by a proton on a nearby oxygen, forming a Brønsted acid site.</w:t>
      </w:r>
    </w:p>
    <w:p>
      <w:pPr>
        <w:keepNext/>
        <w:keepLines/>
        <w:spacing w:line="240" w:lineRule="auto" w:before="120" w:after="80"/>
        <w:jc w:val="center"/>
      </w:pPr>
      <w:r>
        <w:drawing>
          <wp:inline xmlns:a="http://schemas.openxmlformats.org/drawingml/2006/main" xmlns:pic="http://schemas.openxmlformats.org/drawingml/2006/picture">
            <wp:extent cx="5400000" cy="5359651"/>
            <wp:docPr id="1" name="Picture 1"/>
            <wp:cNvGraphicFramePr>
              <a:graphicFrameLocks noChangeAspect="1"/>
            </wp:cNvGraphicFramePr>
            <a:graphic>
              <a:graphicData uri="http://schemas.openxmlformats.org/drawingml/2006/picture">
                <pic:pic>
                  <pic:nvPicPr>
                    <pic:cNvPr id="0" name="etim2016_fig1_y_zeolite.png"/>
                    <pic:cNvPicPr/>
                  </pic:nvPicPr>
                  <pic:blipFill>
                    <a:blip r:embed="rId10"/>
                    <a:stretch>
                      <a:fillRect/>
                    </a:stretch>
                  </pic:blipFill>
                  <pic:spPr>
                    <a:xfrm>
                      <a:off x="0" y="0"/>
                      <a:ext cx="5400000" cy="5359651"/>
                    </a:xfrm>
                    <a:prstGeom prst="rect"/>
                  </pic:spPr>
                </pic:pic>
              </a:graphicData>
            </a:graphic>
          </wp:inline>
        </w:drawing>
      </w:r>
    </w:p>
    <w:p>
      <w:pPr>
        <w:keepLines/>
        <w:widowControl/>
        <w:spacing w:line="480" w:lineRule="auto" w:before="0" w:after="240"/>
        <w:ind w:firstLine="0" w:left="0"/>
        <w:jc w:val="center"/>
      </w:pPr>
      <w:bookmarkStart w:id="1" w:name="Figure_2_1"/>
      <w:r>
        <w:rPr>
          <w:rFonts w:ascii="Times New Roman" w:hAnsi="Times New Roman" w:cs="Times New Roman" w:eastAsia="Times New Roman"/>
          <w:b w:val="0"/>
          <w:i w:val="0"/>
          <w:color w:val="000000"/>
          <w:sz w:val="24"/>
        </w:rPr>
        <w:t>Figure 2.1: Structure of Zeolite Y showing the supercage and its twelve-membered-ring opening</w:t>
      </w:r>
      <w:bookmarkEnd w:id="1"/>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Brønsted acid site helps convert large hydrocarbon molecules into smaller products. Removal of framework aluminium eliminates the associated acid site. The remaining framework oxygens can form hydroxyl groups known as a silanol nest. This process is called dealumination and is one cause of permanent catalyst deactivation.</w:t>
      </w:r>
    </w:p>
    <w:p>
      <w:pPr>
        <w:pStyle w:val="Heading2"/>
        <w:jc w:val="left"/>
      </w:pPr>
      <w:r>
        <w:rPr>
          <w:rFonts w:ascii="Times New Roman" w:hAnsi="Times New Roman" w:cs="Times New Roman" w:eastAsia="Times New Roman"/>
          <w:b/>
          <w:i w:val="0"/>
          <w:color w:val="000000"/>
          <w:sz w:val="24"/>
        </w:rPr>
        <w:t>2.2 Steam Dealumination</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Steam can hydrolyse aluminium–oxygen bonds in the zeolite framework. In the simplified overall reaction below, water supplies hydroxyl groups to the aluminium and leaves silanol groups on the framework:</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Al(OSi)</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H + 3 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 ⇌ Al(OH)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 xml:space="preserve"> + 4 ≡Si–OH</w:t>
      </w:r>
    </w:p>
    <w:p>
      <w:pPr>
        <w:spacing w:line="240" w:lineRule="auto" w:after="240"/>
        <w:jc w:val="right"/>
      </w:pPr>
      <w:r>
        <w:rPr>
          <w:rFonts w:ascii="Times New Roman" w:hAnsi="Times New Roman" w:cs="Times New Roman" w:eastAsia="Times New Roman"/>
          <w:b w:val="0"/>
          <w:i w:val="0"/>
          <w:color w:val="000000"/>
          <w:sz w:val="24"/>
        </w:rPr>
        <w:t>(2.1)</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aluminium hydroxide can then bind another water molecule and form a hydrated extra-framework species:</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Al(OH)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 xml:space="preserve"> + 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 ⇌ Al(OH)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w:t>
      </w:r>
    </w:p>
    <w:p>
      <w:pPr>
        <w:spacing w:line="240" w:lineRule="auto" w:after="240"/>
        <w:jc w:val="right"/>
      </w:pPr>
      <w:r>
        <w:rPr>
          <w:rFonts w:ascii="Times New Roman" w:hAnsi="Times New Roman" w:cs="Times New Roman" w:eastAsia="Times New Roman"/>
          <w:b w:val="0"/>
          <w:i w:val="0"/>
          <w:color w:val="000000"/>
          <w:sz w:val="24"/>
        </w:rPr>
        <w:t>(2.2)</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Malola et al. (2012) used periodic density functional theory to calculate a stepwise dealumination pathway. They reported that at least three water molecules were needed to release aluminium as Al(OH)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 while a fourth water molecule stabilised Al(OH)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 Their calculated effective barriers were about 190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xml:space="preserve"> when incoming water was referenced to the gas phase and about 260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xml:space="preserve"> when it was referenced to an adsorbed state. Figure 2.2 shows the calculated reaction paths.</w:t>
      </w:r>
    </w:p>
    <w:p>
      <w:pPr>
        <w:keepNext/>
        <w:keepLines/>
        <w:spacing w:line="240" w:lineRule="auto" w:before="120" w:after="80"/>
        <w:jc w:val="center"/>
      </w:pPr>
      <w:r>
        <w:drawing>
          <wp:inline xmlns:a="http://schemas.openxmlformats.org/drawingml/2006/main" xmlns:pic="http://schemas.openxmlformats.org/drawingml/2006/picture">
            <wp:extent cx="3918126" cy="7199998"/>
            <wp:docPr id="2" name="Picture 2"/>
            <wp:cNvGraphicFramePr>
              <a:graphicFrameLocks noChangeAspect="1"/>
            </wp:cNvGraphicFramePr>
            <a:graphic>
              <a:graphicData uri="http://schemas.openxmlformats.org/drawingml/2006/picture">
                <pic:pic>
                  <pic:nvPicPr>
                    <pic:cNvPr id="0" name="malola2012_fig2_paths.png"/>
                    <pic:cNvPicPr/>
                  </pic:nvPicPr>
                  <pic:blipFill>
                    <a:blip r:embed="rId11"/>
                    <a:stretch>
                      <a:fillRect/>
                    </a:stretch>
                  </pic:blipFill>
                  <pic:spPr>
                    <a:xfrm>
                      <a:off x="0" y="0"/>
                      <a:ext cx="3918126" cy="7199998"/>
                    </a:xfrm>
                    <a:prstGeom prst="rect"/>
                  </pic:spPr>
                </pic:pic>
              </a:graphicData>
            </a:graphic>
          </wp:inline>
        </w:drawing>
      </w:r>
    </w:p>
    <w:p>
      <w:pPr>
        <w:keepLines/>
        <w:widowControl/>
        <w:spacing w:line="480" w:lineRule="auto" w:before="0" w:after="240"/>
        <w:ind w:firstLine="0" w:left="0"/>
        <w:jc w:val="center"/>
      </w:pPr>
      <w:bookmarkStart w:id="2" w:name="Figure_2_2"/>
      <w:r>
        <w:rPr>
          <w:rFonts w:ascii="Times New Roman" w:hAnsi="Times New Roman" w:cs="Times New Roman" w:eastAsia="Times New Roman"/>
          <w:b w:val="0"/>
          <w:i w:val="0"/>
          <w:color w:val="000000"/>
          <w:sz w:val="24"/>
        </w:rPr>
        <w:t>Figure 2.2: Calculated reaction paths for dealumination and desilication using gas-phase and adsorbed water references</w:t>
      </w:r>
      <w:bookmarkEnd w:id="2"/>
    </w:p>
    <w:p>
      <w:pPr>
        <w:widowControl/>
        <w:spacing w:line="480" w:lineRule="auto" w:before="0" w:after="240"/>
        <w:ind w:firstLine="0" w:left="0"/>
        <w:jc w:val="both"/>
      </w:pPr>
      <w:r>
        <w:rPr>
          <w:rFonts w:ascii="Times New Roman" w:hAnsi="Times New Roman" w:cs="Times New Roman" w:eastAsia="Times New Roman"/>
          <w:b w:val="0"/>
          <w:i w:val="0"/>
          <w:color w:val="000000"/>
          <w:sz w:val="24"/>
        </w:rPr>
        <w:t>Silaghi et al. (2016) extended the calculations to several zeolite frameworks, including faujasite. They found a common sequence in which water approached aluminium and hydrolysed framework aluminium–oxygen bonds in stages. Their results supported steam hydrolysis as a baseline process that occurs without vanadium. Any explanation for the additional effect of vanadium therefore needs to identify a step that differs from this water-driven route.</w:t>
      </w:r>
    </w:p>
    <w:p>
      <w:pPr>
        <w:pStyle w:val="Heading2"/>
        <w:jc w:val="left"/>
      </w:pPr>
      <w:r>
        <w:rPr>
          <w:rFonts w:ascii="Times New Roman" w:hAnsi="Times New Roman" w:cs="Times New Roman" w:eastAsia="Times New Roman"/>
          <w:b/>
          <w:i w:val="0"/>
          <w:color w:val="000000"/>
          <w:sz w:val="24"/>
        </w:rPr>
        <w:t>2.3 Vanadium in the Regenerator</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Vanadium enters the refinery in metal-containing compounds in the heavy feed. During cracking and regeneration, the organic material is removed and vanadium-containing species remain on the catalyst. Vanadium pentoxide is mobile at typical regenerator temperatures, which can help vanadium move across the catalyst. This movement brings vanadium into contact with the zeolite (Mitchell, 1980; Trujillo et al., 1997).</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Wormsbecher et al. (1986) proposed that vanadium pentoxide reacts with steam to produce volatile vanadic acid:</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V</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w:t>
      </w:r>
      <w:r>
        <w:rPr>
          <w:rFonts w:ascii="Times New Roman" w:hAnsi="Times New Roman" w:cs="Times New Roman" w:eastAsia="Times New Roman"/>
          <w:b w:val="0"/>
          <w:i w:val="0"/>
          <w:color w:val="000000"/>
          <w:sz w:val="24"/>
          <w:vertAlign w:val="subscript"/>
        </w:rPr>
        <w:t>5</w:t>
      </w:r>
      <w:r>
        <w:rPr>
          <w:rFonts w:ascii="Times New Roman" w:hAnsi="Times New Roman" w:cs="Times New Roman" w:eastAsia="Times New Roman"/>
          <w:b w:val="0"/>
          <w:i w:val="0"/>
          <w:color w:val="000000"/>
          <w:sz w:val="24"/>
        </w:rPr>
        <w:t xml:space="preserve"> + 3 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O(g) ⇌ 2 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(g)</w:t>
      </w:r>
    </w:p>
    <w:p>
      <w:pPr>
        <w:spacing w:line="240" w:lineRule="auto" w:after="240"/>
        <w:jc w:val="right"/>
      </w:pPr>
      <w:r>
        <w:rPr>
          <w:rFonts w:ascii="Times New Roman" w:hAnsi="Times New Roman" w:cs="Times New Roman" w:eastAsia="Times New Roman"/>
          <w:b w:val="0"/>
          <w:i w:val="0"/>
          <w:color w:val="000000"/>
          <w:sz w:val="24"/>
        </w:rPr>
        <w:t>(2.3)</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They estimated a bulk vanadic-acid concentration of about 1–10 ppm under the regenerator conditions they considered. They argued that vanadic acid could hydrolyse the zeolite framework because it is an acid. Their work also showed that basic oxides, including magnesia, could capture vanadium and reduce catalyst damage.</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Trujillo et al. (1997) examined vanadium species in steamed zeolites. They found that oxidising conditions were important and proposed that vanadium could first occupy acid sites and then be released as vanadic acid in the presence of steam. The authors also noted a concentration problem: steam is present at a much higher concentration than vanadic acid. They proposed that vanadic acid could reach a higher local concentration inside the zeolite than in the surrounding gas, but that local concentration was not quantified by the adsorption calculations in the present study.</w:t>
      </w:r>
    </w:p>
    <w:p>
      <w:pPr>
        <w:pStyle w:val="Heading2"/>
        <w:jc w:val="left"/>
      </w:pPr>
      <w:r>
        <w:rPr>
          <w:rFonts w:ascii="Times New Roman" w:hAnsi="Times New Roman" w:cs="Times New Roman" w:eastAsia="Times New Roman"/>
          <w:b/>
          <w:i w:val="0"/>
          <w:color w:val="000000"/>
          <w:sz w:val="24"/>
        </w:rPr>
        <w:t>2.4 Proposed Explanations for Vanadium-Related Damage</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Three explanations have been used to describe vanadium-related damage to Zeolite Y. The first assigns the damage to steam alone, with vanadium acting as a spectator or a minor accelerator. The second proposes that vanadic acid promotes hydrolysis of framework aluminium–oxygen bonds. The third proposes that vanadium releases sodium and that sodium hydroxide attacks the framework; Figure 2.3 summarises these alternatives.</w:t>
      </w:r>
    </w:p>
    <w:p>
      <w:pPr>
        <w:keepNext/>
        <w:keepLines/>
        <w:spacing w:line="240" w:lineRule="auto" w:before="120" w:after="80"/>
        <w:jc w:val="center"/>
      </w:pPr>
      <w:r>
        <w:drawing>
          <wp:inline xmlns:a="http://schemas.openxmlformats.org/drawingml/2006/main" xmlns:pic="http://schemas.openxmlformats.org/drawingml/2006/picture">
            <wp:extent cx="5400000" cy="2683988"/>
            <wp:docPr id="3" name="Picture 3"/>
            <wp:cNvGraphicFramePr>
              <a:graphicFrameLocks noChangeAspect="1"/>
            </wp:cNvGraphicFramePr>
            <a:graphic>
              <a:graphicData uri="http://schemas.openxmlformats.org/drawingml/2006/picture">
                <pic:pic>
                  <pic:nvPicPr>
                    <pic:cNvPr id="0" name="fig2_1_dispute.png"/>
                    <pic:cNvPicPr/>
                  </pic:nvPicPr>
                  <pic:blipFill>
                    <a:blip r:embed="rId12"/>
                    <a:stretch>
                      <a:fillRect/>
                    </a:stretch>
                  </pic:blipFill>
                  <pic:spPr>
                    <a:xfrm>
                      <a:off x="0" y="0"/>
                      <a:ext cx="5400000" cy="2683988"/>
                    </a:xfrm>
                    <a:prstGeom prst="rect"/>
                  </pic:spPr>
                </pic:pic>
              </a:graphicData>
            </a:graphic>
          </wp:inline>
        </w:drawing>
      </w:r>
    </w:p>
    <w:p>
      <w:pPr>
        <w:keepLines/>
        <w:widowControl/>
        <w:spacing w:line="480" w:lineRule="auto" w:before="0" w:after="240"/>
        <w:ind w:firstLine="0" w:left="0"/>
        <w:jc w:val="center"/>
      </w:pPr>
      <w:bookmarkStart w:id="3" w:name="Figure_2_3"/>
      <w:r>
        <w:rPr>
          <w:rFonts w:ascii="Times New Roman" w:hAnsi="Times New Roman" w:cs="Times New Roman" w:eastAsia="Times New Roman"/>
          <w:b w:val="0"/>
          <w:i w:val="0"/>
          <w:color w:val="000000"/>
          <w:sz w:val="24"/>
        </w:rPr>
        <w:t>Figure 2.3: Proposed explanations for vanadium-related damage to Zeolite Y and the adsorption comparison examined in this study</w:t>
      </w:r>
      <w:bookmarkEnd w:id="3"/>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vanadic-acid explanation began with Wormsbecher et al. (1986) and was developed by Trujillo et al. (1997). Trujillo et al. proposed that vanadium could bind at a zeolite acid site and then form vanadic acid in the presence of steam. They represented the proposed steps as:</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V</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w:t>
      </w:r>
      <w:r>
        <w:rPr>
          <w:rFonts w:ascii="Times New Roman" w:hAnsi="Times New Roman" w:cs="Times New Roman" w:eastAsia="Times New Roman"/>
          <w:b w:val="0"/>
          <w:i w:val="0"/>
          <w:color w:val="000000"/>
          <w:sz w:val="24"/>
          <w:vertAlign w:val="subscript"/>
        </w:rPr>
        <w:t>5</w:t>
      </w:r>
      <w:r>
        <w:rPr>
          <w:rFonts w:ascii="Times New Roman" w:hAnsi="Times New Roman" w:cs="Times New Roman" w:eastAsia="Times New Roman"/>
          <w:b w:val="0"/>
          <w:i w:val="0"/>
          <w:color w:val="000000"/>
          <w:sz w:val="24"/>
        </w:rPr>
        <w:t xml:space="preserve"> + 2 H</w:t>
      </w:r>
      <w:r>
        <w:rPr>
          <w:rFonts w:ascii="Times New Roman" w:hAnsi="Times New Roman" w:cs="Times New Roman" w:eastAsia="Times New Roman"/>
          <w:b w:val="0"/>
          <w:i w:val="0"/>
          <w:color w:val="000000"/>
          <w:sz w:val="24"/>
          <w:vertAlign w:val="superscript"/>
        </w:rPr>
        <w:t>+</w:t>
      </w:r>
      <w:r>
        <w:rPr>
          <w:rFonts w:ascii="Times New Roman" w:hAnsi="Times New Roman" w:cs="Times New Roman" w:eastAsia="Times New Roman"/>
          <w:b w:val="0"/>
          <w:i w:val="0"/>
          <w:color w:val="000000"/>
          <w:sz w:val="24"/>
        </w:rPr>
        <w:t>–Y ⇌ 2 VO</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vertAlign w:val="superscript"/>
        </w:rPr>
        <w:t>+</w:t>
      </w:r>
      <w:r>
        <w:rPr>
          <w:rFonts w:ascii="Times New Roman" w:hAnsi="Times New Roman" w:cs="Times New Roman" w:eastAsia="Times New Roman"/>
          <w:b w:val="0"/>
          <w:i w:val="0"/>
          <w:color w:val="000000"/>
          <w:sz w:val="24"/>
        </w:rPr>
        <w:t>–Y + 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w:t>
      </w:r>
    </w:p>
    <w:p>
      <w:pPr>
        <w:spacing w:line="240" w:lineRule="auto" w:after="240"/>
        <w:jc w:val="right"/>
      </w:pPr>
      <w:r>
        <w:rPr>
          <w:rFonts w:ascii="Times New Roman" w:hAnsi="Times New Roman" w:cs="Times New Roman" w:eastAsia="Times New Roman"/>
          <w:b w:val="0"/>
          <w:i w:val="0"/>
          <w:color w:val="000000"/>
          <w:sz w:val="24"/>
        </w:rPr>
        <w:t>(2.4)</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vertAlign w:val="superscript"/>
        </w:rPr>
        <w:t>+</w:t>
      </w:r>
      <w:r>
        <w:rPr>
          <w:rFonts w:ascii="Times New Roman" w:hAnsi="Times New Roman" w:cs="Times New Roman" w:eastAsia="Times New Roman"/>
          <w:b w:val="0"/>
          <w:i w:val="0"/>
          <w:color w:val="000000"/>
          <w:sz w:val="24"/>
        </w:rPr>
        <w:t>–Y + 2 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 ⇌ H</w:t>
      </w:r>
      <w:r>
        <w:rPr>
          <w:rFonts w:ascii="Times New Roman" w:hAnsi="Times New Roman" w:cs="Times New Roman" w:eastAsia="Times New Roman"/>
          <w:b w:val="0"/>
          <w:i w:val="0"/>
          <w:color w:val="000000"/>
          <w:sz w:val="24"/>
          <w:vertAlign w:val="superscript"/>
        </w:rPr>
        <w:t>+</w:t>
      </w:r>
      <w:r>
        <w:rPr>
          <w:rFonts w:ascii="Times New Roman" w:hAnsi="Times New Roman" w:cs="Times New Roman" w:eastAsia="Times New Roman"/>
          <w:b w:val="0"/>
          <w:i w:val="0"/>
          <w:color w:val="000000"/>
          <w:sz w:val="24"/>
        </w:rPr>
        <w:t>–Y + 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p>
    <w:p>
      <w:pPr>
        <w:spacing w:line="240" w:lineRule="auto" w:after="240"/>
        <w:jc w:val="right"/>
      </w:pPr>
      <w:r>
        <w:rPr>
          <w:rFonts w:ascii="Times New Roman" w:hAnsi="Times New Roman" w:cs="Times New Roman" w:eastAsia="Times New Roman"/>
          <w:b w:val="0"/>
          <w:i w:val="0"/>
          <w:color w:val="000000"/>
          <w:sz w:val="24"/>
        </w:rPr>
        <w:t>(2.5)</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In this account, vanadium can move through the catalyst and promote damage without being consumed in each dealumination event. However, the proposed mechanism must explain how a low concentration of vanadic acid affects the framework in a regenerator containing much more steam. It must also explain why other acids present in the regenerator do not produce the same effect.</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Pine (1990) measured zeolite destruction over a range of vanadium loadings and found a similar activation energy with and without vanadium. He also reported damage to silicalite, which contains little framework aluminium. These results led him to argue that vanadium did not control the rate-determining step and that the damage was not restricted to aluminium sites. His findings therefore challenged a mechanism that depends only on direct attack at aluminium-containing acid sites.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Xu et al. (2002) proposed that vanadium acts through exchangeable sodium. In their experiments, reducing the sodium content reduced the effect of vanadium, while sodium-containing compounds caused damage in the presence of steam. They proposed that vanadium mobilises sodium and that the resulting sodium hydroxide attacks the framework. Their simplified sequence was:</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HVO</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 xml:space="preserve"> + Na</w:t>
      </w:r>
      <w:r>
        <w:rPr>
          <w:rFonts w:ascii="Times New Roman" w:hAnsi="Times New Roman" w:cs="Times New Roman" w:eastAsia="Times New Roman"/>
          <w:b w:val="0"/>
          <w:i w:val="0"/>
          <w:color w:val="000000"/>
          <w:sz w:val="24"/>
          <w:vertAlign w:val="superscript"/>
        </w:rPr>
        <w:t>+</w:t>
      </w:r>
      <w:r>
        <w:rPr>
          <w:rFonts w:ascii="Times New Roman" w:hAnsi="Times New Roman" w:cs="Times New Roman" w:eastAsia="Times New Roman"/>
          <w:b w:val="0"/>
          <w:i w:val="0"/>
          <w:color w:val="000000"/>
          <w:sz w:val="24"/>
        </w:rPr>
        <w:t>–Y ⇌ NaVO</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 xml:space="preserve"> + H</w:t>
      </w:r>
      <w:r>
        <w:rPr>
          <w:rFonts w:ascii="Times New Roman" w:hAnsi="Times New Roman" w:cs="Times New Roman" w:eastAsia="Times New Roman"/>
          <w:b w:val="0"/>
          <w:i w:val="0"/>
          <w:color w:val="000000"/>
          <w:sz w:val="24"/>
          <w:vertAlign w:val="superscript"/>
        </w:rPr>
        <w:t>+</w:t>
      </w:r>
      <w:r>
        <w:rPr>
          <w:rFonts w:ascii="Times New Roman" w:hAnsi="Times New Roman" w:cs="Times New Roman" w:eastAsia="Times New Roman"/>
          <w:b w:val="0"/>
          <w:i w:val="0"/>
          <w:color w:val="000000"/>
          <w:sz w:val="24"/>
        </w:rPr>
        <w:t>–Y</w:t>
      </w:r>
    </w:p>
    <w:p>
      <w:pPr>
        <w:spacing w:line="240" w:lineRule="auto" w:after="240"/>
        <w:jc w:val="right"/>
      </w:pPr>
      <w:r>
        <w:rPr>
          <w:rFonts w:ascii="Times New Roman" w:hAnsi="Times New Roman" w:cs="Times New Roman" w:eastAsia="Times New Roman"/>
          <w:b w:val="0"/>
          <w:i w:val="0"/>
          <w:color w:val="000000"/>
          <w:sz w:val="24"/>
        </w:rPr>
        <w:t>(2.6)</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NaVO</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 xml:space="preserve"> + 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 ⇌ HVO</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 xml:space="preserve"> + NaOH</w:t>
      </w:r>
    </w:p>
    <w:p>
      <w:pPr>
        <w:spacing w:line="240" w:lineRule="auto" w:after="240"/>
        <w:jc w:val="right"/>
      </w:pPr>
      <w:r>
        <w:rPr>
          <w:rFonts w:ascii="Times New Roman" w:hAnsi="Times New Roman" w:cs="Times New Roman" w:eastAsia="Times New Roman"/>
          <w:b w:val="0"/>
          <w:i w:val="0"/>
          <w:color w:val="000000"/>
          <w:sz w:val="24"/>
        </w:rPr>
        <w:t>(2.7)</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NaOH ⇌ Naᵟ</w:t>
      </w:r>
      <w:r>
        <w:rPr>
          <w:rFonts w:ascii="Times New Roman" w:hAnsi="Times New Roman" w:cs="Times New Roman" w:eastAsia="Times New Roman"/>
          <w:b w:val="0"/>
          <w:i w:val="0"/>
          <w:color w:val="000000"/>
          <w:sz w:val="24"/>
          <w:vertAlign w:val="superscript"/>
        </w:rPr>
        <w:t>+</w:t>
      </w:r>
      <w:r>
        <w:rPr>
          <w:rFonts w:ascii="Times New Roman" w:hAnsi="Times New Roman" w:cs="Times New Roman" w:eastAsia="Times New Roman"/>
          <w:b w:val="0"/>
          <w:i w:val="0"/>
          <w:color w:val="000000"/>
          <w:sz w:val="24"/>
        </w:rPr>
        <w:t>OHᵟ</w:t>
      </w:r>
      <w:r>
        <w:rPr>
          <w:rFonts w:ascii="Times New Roman" w:hAnsi="Times New Roman" w:cs="Times New Roman" w:eastAsia="Times New Roman"/>
          <w:b w:val="0"/>
          <w:i w:val="0"/>
          <w:color w:val="000000"/>
          <w:sz w:val="24"/>
          <w:vertAlign w:val="superscript"/>
        </w:rPr>
        <w:t>-</w:t>
      </w:r>
    </w:p>
    <w:p>
      <w:pPr>
        <w:spacing w:line="240" w:lineRule="auto" w:after="240"/>
        <w:jc w:val="right"/>
      </w:pPr>
      <w:r>
        <w:rPr>
          <w:rFonts w:ascii="Times New Roman" w:hAnsi="Times New Roman" w:cs="Times New Roman" w:eastAsia="Times New Roman"/>
          <w:b w:val="0"/>
          <w:i w:val="0"/>
          <w:color w:val="000000"/>
          <w:sz w:val="24"/>
        </w:rPr>
        <w:t>(2.8)</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sodium mechanism does not require vanadic acid to outcompete steam for an acid site. It instead predicts that sodium content should strongly affect the extent of damage. The model in this study did not contain sodium, so it could not test that mechanism directly.</w:t>
      </w:r>
    </w:p>
    <w:p>
      <w:pPr>
        <w:pStyle w:val="Heading2"/>
        <w:jc w:val="left"/>
      </w:pPr>
      <w:r>
        <w:rPr>
          <w:rFonts w:ascii="Times New Roman" w:hAnsi="Times New Roman" w:cs="Times New Roman" w:eastAsia="Times New Roman"/>
          <w:b/>
          <w:i w:val="0"/>
          <w:color w:val="000000"/>
          <w:sz w:val="24"/>
        </w:rPr>
        <w:t>2.5 Evidence of Damage and Methods of Protection</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Etim et al. (2016) studied vanadium-contaminated ultra-stable Y zeolite after steaming. They reported changes in the pore structure and a large loss of surface area at higher vanadium loading. Figure 2.4 shows transmission electron micrographs from their study. These measurements confirm that vanadium and steam can cause substantial structural damage, but they do not by themselves identify the elementary reaction that causes it.</w:t>
      </w:r>
    </w:p>
    <w:p>
      <w:pPr>
        <w:keepNext/>
        <w:keepLines/>
        <w:spacing w:line="240" w:lineRule="auto" w:before="120" w:after="80"/>
        <w:jc w:val="center"/>
      </w:pPr>
      <w:r>
        <w:drawing>
          <wp:inline xmlns:a="http://schemas.openxmlformats.org/drawingml/2006/main" xmlns:pic="http://schemas.openxmlformats.org/drawingml/2006/picture">
            <wp:extent cx="5399999" cy="3011294"/>
            <wp:docPr id="4" name="Picture 4"/>
            <wp:cNvGraphicFramePr>
              <a:graphicFrameLocks noChangeAspect="1"/>
            </wp:cNvGraphicFramePr>
            <a:graphic>
              <a:graphicData uri="http://schemas.openxmlformats.org/drawingml/2006/picture">
                <pic:pic>
                  <pic:nvPicPr>
                    <pic:cNvPr id="0" name="etim2016_fig8_tem.png"/>
                    <pic:cNvPicPr/>
                  </pic:nvPicPr>
                  <pic:blipFill>
                    <a:blip r:embed="rId13"/>
                    <a:stretch>
                      <a:fillRect/>
                    </a:stretch>
                  </pic:blipFill>
                  <pic:spPr>
                    <a:xfrm>
                      <a:off x="0" y="0"/>
                      <a:ext cx="5399999" cy="3011294"/>
                    </a:xfrm>
                    <a:prstGeom prst="rect"/>
                  </pic:spPr>
                </pic:pic>
              </a:graphicData>
            </a:graphic>
          </wp:inline>
        </w:drawing>
      </w:r>
    </w:p>
    <w:p>
      <w:pPr>
        <w:keepLines/>
        <w:widowControl/>
        <w:spacing w:line="480" w:lineRule="auto" w:before="0" w:after="240"/>
        <w:ind w:firstLine="0" w:left="0"/>
        <w:jc w:val="center"/>
      </w:pPr>
      <w:bookmarkStart w:id="4" w:name="Figure_2_4"/>
      <w:r>
        <w:rPr>
          <w:rFonts w:ascii="Times New Roman" w:hAnsi="Times New Roman" w:cs="Times New Roman" w:eastAsia="Times New Roman"/>
          <w:b w:val="0"/>
          <w:i w:val="0"/>
          <w:color w:val="000000"/>
          <w:sz w:val="24"/>
        </w:rPr>
        <w:t>Figure 2.4: Transmission electron micrographs of ultra-stable Y zeolite before and after vanadium contamination and steaming</w:t>
      </w:r>
      <w:bookmarkEnd w:id="4"/>
    </w:p>
    <w:p>
      <w:pPr>
        <w:widowControl/>
        <w:spacing w:line="480" w:lineRule="auto" w:before="0" w:after="240"/>
        <w:ind w:firstLine="0" w:left="0"/>
        <w:jc w:val="both"/>
      </w:pPr>
      <w:r>
        <w:rPr>
          <w:rFonts w:ascii="Times New Roman" w:hAnsi="Times New Roman" w:cs="Times New Roman" w:eastAsia="Times New Roman"/>
          <w:b w:val="0"/>
          <w:i w:val="0"/>
          <w:color w:val="000000"/>
          <w:sz w:val="24"/>
        </w:rPr>
        <w:t>Researchers have tested metal traps and passivators to reduce vanadium contact with the zeolite. Wormsbecher et al. (1986) reported that magnesia protected catalyst activity under their test conditions. Etim et al. (2018) examined magnesium–yttrium oxide and reported vanadium capture as yttrium vanadate. Faghani et al. (2024) reported improved structural retention with barium titanate. These studies show that vanadium immobilisation is a practical mitigation route, although the performance of a trap depends on the catalyst and operating conditions.</w:t>
      </w:r>
    </w:p>
    <w:p>
      <w:pPr>
        <w:pStyle w:val="Heading2"/>
        <w:jc w:val="left"/>
      </w:pPr>
      <w:r>
        <w:rPr>
          <w:rFonts w:ascii="Times New Roman" w:hAnsi="Times New Roman" w:cs="Times New Roman" w:eastAsia="Times New Roman"/>
          <w:b/>
          <w:i w:val="0"/>
          <w:color w:val="000000"/>
          <w:sz w:val="24"/>
        </w:rPr>
        <w:t>2.6 Computational Studies and the Research Gap</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Density functional theory has been used to examine zeolite dealumination and vanadium-containing zeolites. Malola et al. (2012) and Silaghi et al. (2016) calculated water-driven dealumination pathways. Tielens and Dzwigaj (2010) used calculations to study acid sites in vanadium-containing zeolites. These studies provide methods and mechanisms relevant to the present work, but they did not compare vanadic acid and water adsorption at the same Zeolite Y acid site.</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Semi-empirical methods such as GFN2-xTB can screen structures at lower computational cost than density functional theory (Bannwarth, Ehlert, &amp; Grimme, 2019). Hybrid functionals such as B3LYP and PBE0 provide a more detailed estimate of electronic energies (Becke, 1993; Lee, Yang, &amp; Parr, 1988; Adamo &amp; Barone, 1999). Dispersion corrections and suitable basis sets are also important when comparing adsorbed structures (Grimme, Ehrlich, &amp; Goerigk, 2011; Weigend &amp; Ahlrichs, 2005).</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literature therefore leaves a specific comparison unresolved: the relative adsorption energies of vanadic acid and water at one model Zeolite Y Brønsted acid site. This project made that comparison using the same cluster and density-functional levels for both adsorbates. It also examined thermochemical corrections and attempted to validate candidate structures beyond adsorption, while treating failed calculations as limitations rather than as evidence for a reaction barrier.</w:t>
      </w:r>
    </w:p>
    <w:p>
      <w:pPr>
        <w:pStyle w:val="Heading1"/>
        <w:pageBreakBefore/>
        <w:jc w:val="left"/>
      </w:pPr>
      <w:r>
        <w:rPr>
          <w:rFonts w:ascii="Times New Roman" w:hAnsi="Times New Roman" w:cs="Times New Roman" w:eastAsia="Times New Roman"/>
          <w:b/>
          <w:i w:val="0"/>
          <w:color w:val="000000"/>
          <w:sz w:val="24"/>
        </w:rPr>
        <w:t>3.0 METHODOLOGY</w:t>
      </w:r>
    </w:p>
    <w:p>
      <w:pPr>
        <w:pStyle w:val="Heading2"/>
        <w:jc w:val="left"/>
      </w:pPr>
      <w:r>
        <w:rPr>
          <w:rFonts w:ascii="Times New Roman" w:hAnsi="Times New Roman" w:cs="Times New Roman" w:eastAsia="Times New Roman"/>
          <w:b/>
          <w:i w:val="0"/>
          <w:color w:val="000000"/>
          <w:sz w:val="24"/>
        </w:rPr>
        <w:t>3.1 Computational Design and Resources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A two-stage computational workflow was used. GFN2-xTB calculations screened initial structures and candidate reaction paths. Accepted geometries were then refined with density functional theory (DFT), and the adsorption energies were checked with a second functional. Figure 3.1 presented the workflow used in the calculations.</w:t>
      </w:r>
    </w:p>
    <w:p>
      <w:pPr>
        <w:keepNext/>
        <w:keepLines/>
        <w:spacing w:line="240" w:lineRule="auto" w:before="120" w:after="80"/>
        <w:jc w:val="center"/>
      </w:pPr>
      <w:r>
        <w:drawing>
          <wp:inline xmlns:a="http://schemas.openxmlformats.org/drawingml/2006/main" xmlns:pic="http://schemas.openxmlformats.org/drawingml/2006/picture">
            <wp:extent cx="5400000" cy="3817137"/>
            <wp:docPr id="5" name="Picture 5"/>
            <wp:cNvGraphicFramePr>
              <a:graphicFrameLocks noChangeAspect="1"/>
            </wp:cNvGraphicFramePr>
            <a:graphic>
              <a:graphicData uri="http://schemas.openxmlformats.org/drawingml/2006/picture">
                <pic:pic>
                  <pic:nvPicPr>
                    <pic:cNvPr id="0" name="fig3_1_workflow.png"/>
                    <pic:cNvPicPr/>
                  </pic:nvPicPr>
                  <pic:blipFill>
                    <a:blip r:embed="rId14"/>
                    <a:stretch>
                      <a:fillRect/>
                    </a:stretch>
                  </pic:blipFill>
                  <pic:spPr>
                    <a:xfrm>
                      <a:off x="0" y="0"/>
                      <a:ext cx="5400000" cy="3817137"/>
                    </a:xfrm>
                    <a:prstGeom prst="rect"/>
                  </pic:spPr>
                </pic:pic>
              </a:graphicData>
            </a:graphic>
          </wp:inline>
        </w:drawing>
      </w:r>
    </w:p>
    <w:p>
      <w:pPr>
        <w:keepLines/>
        <w:widowControl/>
        <w:spacing w:line="480" w:lineRule="auto" w:before="0" w:after="240"/>
        <w:ind w:firstLine="0" w:left="0"/>
        <w:jc w:val="center"/>
      </w:pPr>
      <w:bookmarkStart w:id="5" w:name="Figure_3_1"/>
      <w:r>
        <w:rPr>
          <w:rFonts w:ascii="Times New Roman" w:hAnsi="Times New Roman" w:cs="Times New Roman" w:eastAsia="Times New Roman"/>
          <w:b w:val="0"/>
          <w:i w:val="0"/>
          <w:color w:val="000000"/>
          <w:sz w:val="24"/>
        </w:rPr>
        <w:t>Figure 3.1: Two-stage computational workflow used in this study</w:t>
      </w:r>
      <w:bookmarkEnd w:id="5"/>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GFN2-xTB calculations were run with ORCA 6.1.0 on a Dell Latitude E6430 laptop with 16 GB of memory and one processor core. The DFT calculations were run with ORCA 6.1.1 on a cloud virtual machine using four MPI processes (Neese, 2025). Python scripts in the repository parsed the ORCA output files and generated the calculation tables. Molecular structures were prepared and checked with Spartan and Avogadro.</w:t>
      </w:r>
    </w:p>
    <w:p>
      <w:pPr>
        <w:pStyle w:val="Heading2"/>
        <w:jc w:val="left"/>
      </w:pPr>
      <w:r>
        <w:rPr>
          <w:rFonts w:ascii="Times New Roman" w:hAnsi="Times New Roman" w:cs="Times New Roman" w:eastAsia="Times New Roman"/>
          <w:b/>
          <w:i w:val="0"/>
          <w:color w:val="000000"/>
          <w:sz w:val="24"/>
        </w:rPr>
        <w:t>3.2 Zeolite Y Cluster and Adsorbate Models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Zeolite Y model was a gas-phase cluster with the formula AlSi</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13</w:t>
      </w:r>
      <w:r>
        <w:rPr>
          <w:rFonts w:ascii="Times New Roman" w:hAnsi="Times New Roman" w:cs="Times New Roman" w:eastAsia="Times New Roman"/>
          <w:b w:val="0"/>
          <w:i w:val="0"/>
          <w:color w:val="000000"/>
          <w:sz w:val="24"/>
        </w:rPr>
        <w:t>. It contained one framework aluminium atom, four neighbouring silicon atoms, four bridging oxygen atoms, twelve terminal hydrogen atoms, and one proton on a bridging oxygen. The protonated oxygen formed the model Brønsted acid site. The terminal hydrogen atoms capped the bonds at the cluster boundary.</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twelve terminal hydrogen atoms were held fixed during geometry optimisation. The aluminium atom, four silicon atoms, bridging oxygen atoms, and Brønsted proton were allowed to relax. The cluster, vanadic acid, and water were treated as neutral singlets. Vanadic acid was modelled with one V=O bond and three V–OH groups; water was modelled as 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 Several initial adsorbate orientations were prepared around the acid site before screening.</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model represented the local acid site rather than the full Zeolite Y crystal. Figure 3.2 showed the optimised cluster and the two isolated adsorbates used as reference species. The same cluster was used for both adsorption calculations so that the energy comparison used a common framework model.</w:t>
      </w:r>
    </w:p>
    <w:p>
      <w:pPr>
        <w:keepNext/>
        <w:keepLines/>
        <w:spacing w:line="240" w:lineRule="auto" w:before="120" w:after="80"/>
        <w:jc w:val="center"/>
      </w:pPr>
      <w:r>
        <w:drawing>
          <wp:inline xmlns:a="http://schemas.openxmlformats.org/drawingml/2006/main" xmlns:pic="http://schemas.openxmlformats.org/drawingml/2006/picture">
            <wp:extent cx="5400000" cy="2076163"/>
            <wp:docPr id="6" name="Picture 6"/>
            <wp:cNvGraphicFramePr>
              <a:graphicFrameLocks noChangeAspect="1"/>
            </wp:cNvGraphicFramePr>
            <a:graphic>
              <a:graphicData uri="http://schemas.openxmlformats.org/drawingml/2006/picture">
                <pic:pic>
                  <pic:nvPicPr>
                    <pic:cNvPr id="0" name="fig3_2_cluster.png"/>
                    <pic:cNvPicPr/>
                  </pic:nvPicPr>
                  <pic:blipFill>
                    <a:blip r:embed="rId15"/>
                    <a:stretch>
                      <a:fillRect/>
                    </a:stretch>
                  </pic:blipFill>
                  <pic:spPr>
                    <a:xfrm>
                      <a:off x="0" y="0"/>
                      <a:ext cx="5400000" cy="2076163"/>
                    </a:xfrm>
                    <a:prstGeom prst="rect"/>
                  </pic:spPr>
                </pic:pic>
              </a:graphicData>
            </a:graphic>
          </wp:inline>
        </w:drawing>
      </w:r>
    </w:p>
    <w:p>
      <w:pPr>
        <w:keepLines/>
        <w:widowControl/>
        <w:spacing w:line="480" w:lineRule="auto" w:before="0" w:after="240"/>
        <w:ind w:firstLine="0" w:left="0"/>
        <w:jc w:val="center"/>
      </w:pPr>
      <w:bookmarkStart w:id="6" w:name="Figure_3_2"/>
      <w:r>
        <w:rPr>
          <w:rFonts w:ascii="Times New Roman" w:hAnsi="Times New Roman" w:cs="Times New Roman" w:eastAsia="Times New Roman"/>
          <w:b w:val="0"/>
          <w:i w:val="0"/>
          <w:color w:val="000000"/>
          <w:sz w:val="24"/>
        </w:rPr>
        <w:t>Figure 3.2: Zeolite Y cluster AlSi</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13</w:t>
      </w:r>
      <w:r>
        <w:rPr>
          <w:rFonts w:ascii="Times New Roman" w:hAnsi="Times New Roman" w:cs="Times New Roman" w:eastAsia="Times New Roman"/>
          <w:b w:val="0"/>
          <w:i w:val="0"/>
          <w:color w:val="000000"/>
          <w:sz w:val="24"/>
        </w:rPr>
        <w:t>, vanadic acid, and water used in the calculations</w:t>
      </w:r>
      <w:bookmarkEnd w:id="6"/>
    </w:p>
    <w:p>
      <w:pPr>
        <w:pStyle w:val="Heading2"/>
        <w:jc w:val="left"/>
      </w:pPr>
      <w:r>
        <w:rPr>
          <w:rFonts w:ascii="Times New Roman" w:hAnsi="Times New Roman" w:cs="Times New Roman" w:eastAsia="Times New Roman"/>
          <w:b/>
          <w:i w:val="0"/>
          <w:color w:val="000000"/>
          <w:sz w:val="24"/>
        </w:rPr>
        <w:t>3.3 Initial Geometry Screening</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isolated cluster, vanadic acid, and water were first optimised with GFN2-xTB. Adsorption complexes were then generated by placing each adsorbate in different orientations near the Brønsted proton and relaxing the structures. The lowest-energy converged structures were carried forward for DFT refinement. This procedure provided starting geometries and did not establish accurate adsorption energies.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Candidate reaction paths were explored with nudged elastic band calculations followed by eigenvector-following transition-state optimisations. The searches covered the proposed vanadic-acid route and a water-hydrolysis control. Jobs that did not converge or failed the vibrational checks were retained in the calculation register but were not treated as validated structures.</w:t>
      </w:r>
    </w:p>
    <w:p>
      <w:pPr>
        <w:pStyle w:val="Heading2"/>
        <w:jc w:val="left"/>
      </w:pPr>
      <w:r>
        <w:rPr>
          <w:rFonts w:ascii="Times New Roman" w:hAnsi="Times New Roman" w:cs="Times New Roman" w:eastAsia="Times New Roman"/>
          <w:b/>
          <w:i w:val="0"/>
          <w:color w:val="000000"/>
          <w:sz w:val="24"/>
        </w:rPr>
        <w:t>3.4 DFT Refinement and Adsorption Energies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accepted reference structures and adsorption complexes were re-optimised with B3LYP-D3(BJ)/def2-TZVP. The calculations used the RIJCOSX approximation, the def2/J auxiliary basis, the DefGrid3 integration grid, tight self-consistent-field convergence, and tight geometry convergence. Harmonic frequencies were calculated for the optimised structures at the same level of theory.</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PBE0-D3(BJ)/def2-TZVP single-point calculations were performed on the B3LYP-optimised geometries of the isolated reference species and the two adsorption complexes. The geometries were not re-optimised with PBE0. This calculation provided a second estimate of the relative adsorption energies, rather than an independent geometry optimisation.</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electronic adsorption energy was calculated as:</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ΔE</w:t>
      </w:r>
      <w:r>
        <w:rPr>
          <w:rFonts w:ascii="Times New Roman" w:hAnsi="Times New Roman" w:cs="Times New Roman" w:eastAsia="Times New Roman"/>
          <w:b w:val="0"/>
          <w:i w:val="0"/>
          <w:color w:val="000000"/>
          <w:sz w:val="24"/>
          <w:vertAlign w:val="subscript"/>
        </w:rPr>
        <w:t>a</w:t>
      </w:r>
      <w:r>
        <w:rPr>
          <w:rFonts w:ascii="Times New Roman" w:hAnsi="Times New Roman" w:cs="Times New Roman" w:eastAsia="Times New Roman"/>
          <w:b w:val="0"/>
          <w:i w:val="0"/>
          <w:color w:val="000000"/>
          <w:sz w:val="24"/>
        </w:rPr>
        <w:t>d</w:t>
      </w:r>
      <w:r>
        <w:rPr>
          <w:rFonts w:ascii="Times New Roman" w:hAnsi="Times New Roman" w:cs="Times New Roman" w:eastAsia="Times New Roman"/>
          <w:b w:val="0"/>
          <w:i w:val="0"/>
          <w:color w:val="000000"/>
          <w:sz w:val="24"/>
          <w:vertAlign w:val="subscript"/>
        </w:rPr>
        <w:t>s</w:t>
      </w:r>
      <w:r>
        <w:rPr>
          <w:rFonts w:ascii="Times New Roman" w:hAnsi="Times New Roman" w:cs="Times New Roman" w:eastAsia="Times New Roman"/>
          <w:b w:val="0"/>
          <w:i w:val="0"/>
          <w:color w:val="000000"/>
          <w:sz w:val="24"/>
        </w:rPr>
        <w:t xml:space="preserve"> = E(complex) − [E(cluster) + E(adsorbate)]</w:t>
      </w:r>
    </w:p>
    <w:p>
      <w:pPr>
        <w:spacing w:line="240" w:lineRule="auto" w:after="240"/>
        <w:jc w:val="right"/>
      </w:pPr>
      <w:r>
        <w:rPr>
          <w:rFonts w:ascii="Times New Roman" w:hAnsi="Times New Roman" w:cs="Times New Roman" w:eastAsia="Times New Roman"/>
          <w:b w:val="0"/>
          <w:i w:val="0"/>
          <w:color w:val="000000"/>
          <w:sz w:val="24"/>
        </w:rPr>
        <w:t>(3.1)</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A negative value indicated that the complex had a lower electronic energy than the separated cluster and adsorbate. The relative energy difference was calculated as:</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ΔΔE = ΔE</w:t>
      </w:r>
      <w:r>
        <w:rPr>
          <w:rFonts w:ascii="Times New Roman" w:hAnsi="Times New Roman" w:cs="Times New Roman" w:eastAsia="Times New Roman"/>
          <w:b w:val="0"/>
          <w:i w:val="0"/>
          <w:color w:val="000000"/>
          <w:sz w:val="24"/>
          <w:vertAlign w:val="subscript"/>
        </w:rPr>
        <w:t>a</w:t>
      </w:r>
      <w:r>
        <w:rPr>
          <w:rFonts w:ascii="Times New Roman" w:hAnsi="Times New Roman" w:cs="Times New Roman" w:eastAsia="Times New Roman"/>
          <w:b w:val="0"/>
          <w:i w:val="0"/>
          <w:color w:val="000000"/>
          <w:sz w:val="24"/>
        </w:rPr>
        <w:t>d</w:t>
      </w:r>
      <w:r>
        <w:rPr>
          <w:rFonts w:ascii="Times New Roman" w:hAnsi="Times New Roman" w:cs="Times New Roman" w:eastAsia="Times New Roman"/>
          <w:b w:val="0"/>
          <w:i w:val="0"/>
          <w:color w:val="000000"/>
          <w:sz w:val="24"/>
          <w:vertAlign w:val="subscript"/>
        </w:rPr>
        <w:t>s</w:t>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 ΔE</w:t>
      </w:r>
      <w:r>
        <w:rPr>
          <w:rFonts w:ascii="Times New Roman" w:hAnsi="Times New Roman" w:cs="Times New Roman" w:eastAsia="Times New Roman"/>
          <w:b w:val="0"/>
          <w:i w:val="0"/>
          <w:color w:val="000000"/>
          <w:sz w:val="24"/>
          <w:vertAlign w:val="subscript"/>
        </w:rPr>
        <w:t>a</w:t>
      </w:r>
      <w:r>
        <w:rPr>
          <w:rFonts w:ascii="Times New Roman" w:hAnsi="Times New Roman" w:cs="Times New Roman" w:eastAsia="Times New Roman"/>
          <w:b w:val="0"/>
          <w:i w:val="0"/>
          <w:color w:val="000000"/>
          <w:sz w:val="24"/>
        </w:rPr>
        <w:t>d</w:t>
      </w:r>
      <w:r>
        <w:rPr>
          <w:rFonts w:ascii="Times New Roman" w:hAnsi="Times New Roman" w:cs="Times New Roman" w:eastAsia="Times New Roman"/>
          <w:b w:val="0"/>
          <w:i w:val="0"/>
          <w:color w:val="000000"/>
          <w:sz w:val="24"/>
          <w:vertAlign w:val="subscript"/>
        </w:rPr>
        <w:t>s</w:t>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w:t>
      </w:r>
    </w:p>
    <w:p>
      <w:pPr>
        <w:spacing w:line="240" w:lineRule="auto" w:after="240"/>
        <w:jc w:val="right"/>
      </w:pPr>
      <w:r>
        <w:rPr>
          <w:rFonts w:ascii="Times New Roman" w:hAnsi="Times New Roman" w:cs="Times New Roman" w:eastAsia="Times New Roman"/>
          <w:b w:val="0"/>
          <w:i w:val="0"/>
          <w:color w:val="000000"/>
          <w:sz w:val="24"/>
        </w:rPr>
        <w:t>(3.2)</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A negative ΔΔE indicated a stronger electronic adsorption energy for vanadic acid. The cluster reference energy cancelled from this difference. Counterpoise calculations were attempted to estimate basis-set superposition error, but they did not produce a complete set of converged fragment energies; no counterpoise-corrected values were used.</w:t>
      </w:r>
    </w:p>
    <w:p>
      <w:pPr>
        <w:pStyle w:val="Heading2"/>
        <w:jc w:val="left"/>
      </w:pPr>
      <w:r>
        <w:rPr>
          <w:rFonts w:ascii="Times New Roman" w:hAnsi="Times New Roman" w:cs="Times New Roman" w:eastAsia="Times New Roman"/>
          <w:b/>
          <w:i w:val="0"/>
          <w:color w:val="000000"/>
          <w:sz w:val="24"/>
        </w:rPr>
        <w:t>3.5 Vibrational Analysis and Thermochemistry</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Harmonic frequencies were used to classify the optimised structures and calculate zero-point and thermal corrections. A minimum was accepted when the optimisation converged and no chemically meaningful imaginary frequency remained. Frequencies below 20 cm</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xml:space="preserve"> were treated as numerical noise when the associated displacement did not represent a chemical reaction. A transition-state candidate was accepted only when its optimisation converged, it had one chemically meaningful imaginary frequency, and displacement in both directions led to the two expected minima.</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Gibbs free energies were calculated at 298.15 K and 1003.15 K using the ideal-gas, rigid-rotor, harmonic-oscillator treatment in ORCA. The second temperature represented a typical RFCC regenerator temperature of approximately 730 °C. The calculated thermochemical corrections were assessed separately from the electronic adsorption energies because the gas-phase entropy treatment did not include zeolite pore confinement.</w:t>
      </w:r>
    </w:p>
    <w:p>
      <w:pPr>
        <w:pStyle w:val="Heading2"/>
        <w:jc w:val="left"/>
      </w:pPr>
      <w:r>
        <w:rPr>
          <w:rFonts w:ascii="Times New Roman" w:hAnsi="Times New Roman" w:cs="Times New Roman" w:eastAsia="Times New Roman"/>
          <w:b/>
          <w:i w:val="0"/>
          <w:color w:val="000000"/>
          <w:sz w:val="24"/>
        </w:rPr>
        <w:t>3.6 Pathway Checks and Data Handling</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Candidate structures beyond adsorption were assessed using geometry convergence, vibrational-frequency counts, relative energies, and displacement tests. A candidate transition state was not accepted if the optimisation failed, if it had more than one meaningful imaginary frequency, or if the displaced structures did not relax to the expected reactant and product minima. Energies from failed or unconverged jobs were retained for audit purposes but were excluded from mechanistic conclusions.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ORCA input files, output files, final geometries, and calculation registers were retained in the repository. The results tables were checked against the output logs before they were entered in Chapter Four. This audit trail allowed each accepted value and each failed calculation to be traced to its source file.</w:t>
      </w:r>
    </w:p>
    <w:p>
      <w:pPr>
        <w:pStyle w:val="Heading1"/>
        <w:pageBreakBefore/>
        <w:jc w:val="left"/>
      </w:pPr>
      <w:r>
        <w:rPr>
          <w:rFonts w:ascii="Times New Roman" w:hAnsi="Times New Roman" w:cs="Times New Roman" w:eastAsia="Times New Roman"/>
          <w:b/>
          <w:i w:val="0"/>
          <w:color w:val="000000"/>
          <w:sz w:val="24"/>
        </w:rPr>
        <w:t>4.0 RESULTS AND DISCUSSION</w:t>
      </w:r>
    </w:p>
    <w:p>
      <w:pPr>
        <w:pStyle w:val="Heading2"/>
        <w:jc w:val="left"/>
      </w:pPr>
      <w:r>
        <w:rPr>
          <w:rFonts w:ascii="Times New Roman" w:hAnsi="Times New Roman" w:cs="Times New Roman" w:eastAsia="Times New Roman"/>
          <w:b/>
          <w:i w:val="0"/>
          <w:color w:val="000000"/>
          <w:sz w:val="24"/>
        </w:rPr>
        <w:t>4.1 Model Structures and Geometry Checks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cluster and adsorbates were optimised before the adsorption energies were compared. Figure 4.1 shows the converged vanadic-acid and water complexes at the model Brønsted acid site. Both complexes remained bound to the site after DFT refinement, but the geometries alone did not establish which adsorbate had the lower energy.</w:t>
      </w:r>
    </w:p>
    <w:p>
      <w:pPr>
        <w:keepNext/>
        <w:keepLines/>
        <w:spacing w:line="240" w:lineRule="auto" w:before="120" w:after="80"/>
        <w:jc w:val="center"/>
      </w:pPr>
      <w:r>
        <w:drawing>
          <wp:inline xmlns:a="http://schemas.openxmlformats.org/drawingml/2006/main" xmlns:pic="http://schemas.openxmlformats.org/drawingml/2006/picture">
            <wp:extent cx="5400000" cy="2731926"/>
            <wp:docPr id="7" name="Picture 7"/>
            <wp:cNvGraphicFramePr>
              <a:graphicFrameLocks noChangeAspect="1"/>
            </wp:cNvGraphicFramePr>
            <a:graphic>
              <a:graphicData uri="http://schemas.openxmlformats.org/drawingml/2006/picture">
                <pic:pic>
                  <pic:nvPicPr>
                    <pic:cNvPr id="0" name="fig4_1_complexes.png"/>
                    <pic:cNvPicPr/>
                  </pic:nvPicPr>
                  <pic:blipFill>
                    <a:blip r:embed="rId16"/>
                    <a:stretch>
                      <a:fillRect/>
                    </a:stretch>
                  </pic:blipFill>
                  <pic:spPr>
                    <a:xfrm>
                      <a:off x="0" y="0"/>
                      <a:ext cx="5400000" cy="2731926"/>
                    </a:xfrm>
                    <a:prstGeom prst="rect"/>
                  </pic:spPr>
                </pic:pic>
              </a:graphicData>
            </a:graphic>
          </wp:inline>
        </w:drawing>
      </w:r>
    </w:p>
    <w:p>
      <w:pPr>
        <w:keepLines/>
        <w:widowControl/>
        <w:spacing w:line="480" w:lineRule="auto" w:before="0" w:after="240"/>
        <w:ind w:firstLine="0" w:left="0"/>
        <w:jc w:val="center"/>
      </w:pPr>
      <w:bookmarkStart w:id="7" w:name="Figure_4_1"/>
      <w:r>
        <w:rPr>
          <w:rFonts w:ascii="Times New Roman" w:hAnsi="Times New Roman" w:cs="Times New Roman" w:eastAsia="Times New Roman"/>
          <w:b w:val="0"/>
          <w:i w:val="0"/>
          <w:color w:val="000000"/>
          <w:sz w:val="24"/>
        </w:rPr>
        <w:t>Figure 4.1: Optimised adsorption complexes at B3LYP-D3(BJ)/def2-TZVP. Left, vanadic acid (V-PRC); right, water (W-PRC)</w:t>
      </w:r>
      <w:bookmarkEnd w:id="7"/>
    </w:p>
    <w:p>
      <w:pPr>
        <w:widowControl/>
        <w:spacing w:line="480" w:lineRule="auto" w:before="0" w:after="240"/>
        <w:ind w:firstLine="0" w:left="0"/>
        <w:jc w:val="both"/>
      </w:pPr>
      <w:r>
        <w:rPr>
          <w:rFonts w:ascii="Times New Roman" w:hAnsi="Times New Roman" w:cs="Times New Roman" w:eastAsia="Times New Roman"/>
          <w:b w:val="0"/>
          <w:i w:val="0"/>
          <w:color w:val="000000"/>
          <w:sz w:val="24"/>
        </w:rPr>
        <w:t>Table 4.1 summarises the termination, convergence, and vibrational checks for the structures used in the analysis. The cluster reference had a low-magnitude imaginary mode that was treated as numerical noise under the criterion in Section 3.5. This qualification was retained because the cluster energy was used as the reference for the absolute adsorption energies.</w:t>
      </w:r>
    </w:p>
    <w:p>
      <w:pPr>
        <w:keepNext/>
        <w:keepLines/>
        <w:widowControl/>
        <w:spacing w:line="480" w:lineRule="auto" w:before="0" w:after="80"/>
        <w:ind w:firstLine="0" w:left="0"/>
        <w:jc w:val="left"/>
      </w:pPr>
      <w:bookmarkStart w:id="8" w:name="Table_4_1"/>
      <w:r>
        <w:rPr>
          <w:rFonts w:ascii="Times New Roman" w:hAnsi="Times New Roman" w:cs="Times New Roman" w:eastAsia="Times New Roman"/>
          <w:b w:val="0"/>
          <w:i w:val="0"/>
          <w:color w:val="000000"/>
          <w:sz w:val="24"/>
        </w:rPr>
        <w:t>Table 4.1: Convergence and vibrational checks for structures calculated at B3LYP-D3(BJ)/def2-TZVP</w:t>
      </w:r>
      <w:bookmarkEnd w:id="8"/>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rPr>
          <w:tblHeader w:val="true"/>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State</w:t>
            </w:r>
          </w:p>
        </w:tc>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Optimisation status</w:t>
            </w:r>
          </w:p>
        </w:tc>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Imaginary frequencies</w:t>
            </w:r>
          </w:p>
        </w:tc>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Assessment</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Cluster reference</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Converged</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 (−4.64 cm</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Accepted as a flat reference minimum</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Converged</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0</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Accepted minimum</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Converged</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0</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Accepted minimum</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V-PRC</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Converged</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0</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Accepted minimum</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V-I1</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Converged</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0</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Accepted minimum</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V-TS2</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Not converged</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14</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Rejected, not a first-order saddle point</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V-I2</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Not converged</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0</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Rejected, cycle limit reached</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V-P</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Did not terminate</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Not calculated</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Rejected, job stopped before completion</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W-PRC</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Converged</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0</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Accepted minimum</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W-P</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Converged</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0</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Accepted minimum</w:t>
            </w:r>
          </w:p>
        </w:tc>
      </w:tr>
    </w:tbl>
    <w:p>
      <w:pPr>
        <w:spacing w:after="160"/>
      </w:pP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candidate structure V-TS2 failed the convergence and vibrational checks. A first-order transition state should have one chemically meaningful imaginary frequency, so V-TS2 was not used as a transition state. The other unsuccessful vanadic-acid structures also failed the convergence or completion checks. Their energies were not treated as validated stationary-point energies.</w:t>
      </w:r>
    </w:p>
    <w:p>
      <w:pPr>
        <w:pStyle w:val="Heading2"/>
        <w:jc w:val="left"/>
      </w:pPr>
      <w:r>
        <w:rPr>
          <w:rFonts w:ascii="Times New Roman" w:hAnsi="Times New Roman" w:cs="Times New Roman" w:eastAsia="Times New Roman"/>
          <w:b/>
          <w:i w:val="0"/>
          <w:color w:val="000000"/>
          <w:sz w:val="24"/>
        </w:rPr>
        <w:t>4.2 Adsorption Energies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Table 4.2 compares the electronic adsorption energies of vanadic acid and water at three calculation levels. The negative values indicate that both adsorbates formed lower-energy complexes than the separated cluster and molecule. The difference, ΔΔE, was defined as the vanadic-acid adsorption energy minus the water adsorption energy; a negative value therefore favoured vanadic acid.</w:t>
      </w:r>
    </w:p>
    <w:p>
      <w:pPr>
        <w:keepNext/>
        <w:keepLines/>
        <w:widowControl/>
        <w:spacing w:line="480" w:lineRule="auto" w:before="0" w:after="80"/>
        <w:ind w:firstLine="0" w:left="0"/>
        <w:jc w:val="left"/>
      </w:pPr>
      <w:bookmarkStart w:id="9" w:name="Table_4_2"/>
      <w:r>
        <w:rPr>
          <w:rFonts w:ascii="Times New Roman" w:hAnsi="Times New Roman" w:cs="Times New Roman" w:eastAsia="Times New Roman"/>
          <w:b w:val="0"/>
          <w:i w:val="0"/>
          <w:color w:val="000000"/>
          <w:sz w:val="24"/>
        </w:rPr>
        <w:t>Table 4.2: Electronic adsorption energies and their difference for vanadic acid and water</w:t>
      </w:r>
      <w:bookmarkEnd w:id="9"/>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rPr>
          <w:tblHeader w:val="true"/>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Level of theory</w:t>
            </w:r>
          </w:p>
        </w:tc>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H</w:t>
            </w:r>
            <w:r>
              <w:rPr>
                <w:rFonts w:ascii="Times New Roman" w:hAnsi="Times New Roman" w:cs="Times New Roman" w:eastAsia="Times New Roman"/>
                <w:b/>
                <w:i w:val="0"/>
                <w:color w:val="000000"/>
                <w:sz w:val="24"/>
                <w:vertAlign w:val="subscript"/>
              </w:rPr>
              <w:t>3</w:t>
            </w:r>
            <w:r>
              <w:rPr>
                <w:rFonts w:ascii="Times New Roman" w:hAnsi="Times New Roman" w:cs="Times New Roman" w:eastAsia="Times New Roman"/>
                <w:b/>
                <w:i w:val="0"/>
                <w:color w:val="000000"/>
                <w:sz w:val="24"/>
              </w:rPr>
              <w:t>VO</w:t>
            </w:r>
            <w:r>
              <w:rPr>
                <w:rFonts w:ascii="Times New Roman" w:hAnsi="Times New Roman" w:cs="Times New Roman" w:eastAsia="Times New Roman"/>
                <w:b/>
                <w:i w:val="0"/>
                <w:color w:val="000000"/>
                <w:sz w:val="24"/>
                <w:vertAlign w:val="subscript"/>
              </w:rPr>
              <w:t>4</w:t>
            </w:r>
            <w:r>
              <w:rPr>
                <w:rFonts w:ascii="Times New Roman" w:hAnsi="Times New Roman" w:cs="Times New Roman" w:eastAsia="Times New Roman"/>
                <w:b/>
                <w:i w:val="0"/>
                <w:color w:val="000000"/>
                <w:sz w:val="24"/>
              </w:rPr>
              <w:t xml:space="preserve"> (kJ mol</w:t>
            </w:r>
            <w:r>
              <w:rPr>
                <w:rFonts w:ascii="Times New Roman" w:hAnsi="Times New Roman" w:cs="Times New Roman" w:eastAsia="Times New Roman"/>
                <w:b/>
                <w:i w:val="0"/>
                <w:color w:val="000000"/>
                <w:sz w:val="24"/>
                <w:vertAlign w:val="superscript"/>
              </w:rPr>
              <w:t>-1</w:t>
            </w:r>
            <w:r>
              <w:rPr>
                <w:rFonts w:ascii="Times New Roman" w:hAnsi="Times New Roman" w:cs="Times New Roman" w:eastAsia="Times New Roman"/>
                <w:b/>
                <w:i w:val="0"/>
                <w:color w:val="000000"/>
                <w:sz w:val="24"/>
              </w:rPr>
              <w:t>)</w:t>
            </w:r>
          </w:p>
        </w:tc>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H</w:t>
            </w:r>
            <w:r>
              <w:rPr>
                <w:rFonts w:ascii="Times New Roman" w:hAnsi="Times New Roman" w:cs="Times New Roman" w:eastAsia="Times New Roman"/>
                <w:b/>
                <w:i w:val="0"/>
                <w:color w:val="000000"/>
                <w:sz w:val="24"/>
                <w:vertAlign w:val="subscript"/>
              </w:rPr>
              <w:t>2</w:t>
            </w:r>
            <w:r>
              <w:rPr>
                <w:rFonts w:ascii="Times New Roman" w:hAnsi="Times New Roman" w:cs="Times New Roman" w:eastAsia="Times New Roman"/>
                <w:b/>
                <w:i w:val="0"/>
                <w:color w:val="000000"/>
                <w:sz w:val="24"/>
              </w:rPr>
              <w:t>O (kJ mol</w:t>
            </w:r>
            <w:r>
              <w:rPr>
                <w:rFonts w:ascii="Times New Roman" w:hAnsi="Times New Roman" w:cs="Times New Roman" w:eastAsia="Times New Roman"/>
                <w:b/>
                <w:i w:val="0"/>
                <w:color w:val="000000"/>
                <w:sz w:val="24"/>
                <w:vertAlign w:val="superscript"/>
              </w:rPr>
              <w:t>-1</w:t>
            </w:r>
            <w:r>
              <w:rPr>
                <w:rFonts w:ascii="Times New Roman" w:hAnsi="Times New Roman" w:cs="Times New Roman" w:eastAsia="Times New Roman"/>
                <w:b/>
                <w:i w:val="0"/>
                <w:color w:val="000000"/>
                <w:sz w:val="24"/>
              </w:rPr>
              <w:t>)</w:t>
            </w:r>
          </w:p>
        </w:tc>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ΔΔE = ΔE(H</w:t>
            </w:r>
            <w:r>
              <w:rPr>
                <w:rFonts w:ascii="Times New Roman" w:hAnsi="Times New Roman" w:cs="Times New Roman" w:eastAsia="Times New Roman"/>
                <w:b/>
                <w:i w:val="0"/>
                <w:color w:val="000000"/>
                <w:sz w:val="24"/>
                <w:vertAlign w:val="subscript"/>
              </w:rPr>
              <w:t>3</w:t>
            </w:r>
            <w:r>
              <w:rPr>
                <w:rFonts w:ascii="Times New Roman" w:hAnsi="Times New Roman" w:cs="Times New Roman" w:eastAsia="Times New Roman"/>
                <w:b/>
                <w:i w:val="0"/>
                <w:color w:val="000000"/>
                <w:sz w:val="24"/>
              </w:rPr>
              <w:t>VO</w:t>
            </w:r>
            <w:r>
              <w:rPr>
                <w:rFonts w:ascii="Times New Roman" w:hAnsi="Times New Roman" w:cs="Times New Roman" w:eastAsia="Times New Roman"/>
                <w:b/>
                <w:i w:val="0"/>
                <w:color w:val="000000"/>
                <w:sz w:val="24"/>
                <w:vertAlign w:val="subscript"/>
              </w:rPr>
              <w:t>4</w:t>
            </w:r>
            <w:r>
              <w:rPr>
                <w:rFonts w:ascii="Times New Roman" w:hAnsi="Times New Roman" w:cs="Times New Roman" w:eastAsia="Times New Roman"/>
                <w:b/>
                <w:i w:val="0"/>
                <w:color w:val="000000"/>
                <w:sz w:val="24"/>
              </w:rPr>
              <w:t>) − ΔE(H</w:t>
            </w:r>
            <w:r>
              <w:rPr>
                <w:rFonts w:ascii="Times New Roman" w:hAnsi="Times New Roman" w:cs="Times New Roman" w:eastAsia="Times New Roman"/>
                <w:b/>
                <w:i w:val="0"/>
                <w:color w:val="000000"/>
                <w:sz w:val="24"/>
                <w:vertAlign w:val="subscript"/>
              </w:rPr>
              <w:t>2</w:t>
            </w:r>
            <w:r>
              <w:rPr>
                <w:rFonts w:ascii="Times New Roman" w:hAnsi="Times New Roman" w:cs="Times New Roman" w:eastAsia="Times New Roman"/>
                <w:b/>
                <w:i w:val="0"/>
                <w:color w:val="000000"/>
                <w:sz w:val="24"/>
              </w:rPr>
              <w:t>O) (kJ mol</w:t>
            </w:r>
            <w:r>
              <w:rPr>
                <w:rFonts w:ascii="Times New Roman" w:hAnsi="Times New Roman" w:cs="Times New Roman" w:eastAsia="Times New Roman"/>
                <w:b/>
                <w:i w:val="0"/>
                <w:color w:val="000000"/>
                <w:sz w:val="24"/>
                <w:vertAlign w:val="superscript"/>
              </w:rPr>
              <w:t>-1</w:t>
            </w:r>
            <w:r>
              <w:rPr>
                <w:rFonts w:ascii="Times New Roman" w:hAnsi="Times New Roman" w:cs="Times New Roman" w:eastAsia="Times New Roman"/>
                <w:b/>
                <w:i w:val="0"/>
                <w:color w:val="000000"/>
                <w:sz w:val="24"/>
              </w:rPr>
              <w:t>)</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GFN2-xTB</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−196.9</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−69.6</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−127.3</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B3LYP-D3(BJ)/def2-TZVP</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−93.01</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−78.32</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−14.69</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PBE0-D3(BJ)/def2-TZVP, single point</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−93.07</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−78.62</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−14.44</w:t>
            </w:r>
          </w:p>
        </w:tc>
      </w:tr>
    </w:tbl>
    <w:p>
      <w:pPr>
        <w:spacing w:after="160"/>
      </w:pPr>
    </w:p>
    <w:p>
      <w:pPr>
        <w:widowControl/>
        <w:spacing w:line="480" w:lineRule="auto" w:before="0" w:after="240"/>
        <w:ind w:firstLine="0" w:left="0"/>
        <w:jc w:val="both"/>
      </w:pPr>
      <w:r>
        <w:rPr>
          <w:rFonts w:ascii="Times New Roman" w:hAnsi="Times New Roman" w:cs="Times New Roman" w:eastAsia="Times New Roman"/>
          <w:b w:val="0"/>
          <w:i w:val="0"/>
          <w:color w:val="000000"/>
          <w:sz w:val="24"/>
        </w:rPr>
        <w:t>Both DFT calculations predicted a more negative electronic adsorption energy for vanadic acid than for water. Their close agreement showed that this ordering was stable to the change of functional, although agreement between two methods did not establish the absolute accuracy of either value. The calculations therefore supported a relative electronic binding preference, not a general conclusion about catalyst performance.</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GFN2-xTB predicted a much larger preference for vanadic acid than either DFT calculation. It was therefore suitable for initial geometry screening but not for measuring the adsorption-energy difference in this system. The DFT values were not counterpoise-corrected because the fragment calculations did not produce a complete, converged correction. The absolute adsorption energies may therefore include basis-set-superposition error, and no numerical correction was assumed.</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electronic-energy difference does not by itself establish an adsorption equilibrium or a dealumination rate. It shows that, within this cluster model and at these electronic-structure levels, vanadic acid formed the more strongly bound electronic complex. Entropy, gas composition, pore confinement, and the later bond-cleavage steps also affect the behaviour of adsorbates in a regenerator.</w:t>
      </w:r>
    </w:p>
    <w:p>
      <w:pPr>
        <w:pStyle w:val="Heading2"/>
        <w:jc w:val="left"/>
      </w:pPr>
      <w:r>
        <w:rPr>
          <w:rFonts w:ascii="Times New Roman" w:hAnsi="Times New Roman" w:cs="Times New Roman" w:eastAsia="Times New Roman"/>
          <w:b/>
          <w:i w:val="0"/>
          <w:color w:val="000000"/>
          <w:sz w:val="24"/>
        </w:rPr>
        <w:t>4.3 Thermochemical Assessment</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Table 4.3 gives the B3LYP harmonic Gibbs free energies of the accepted minima relative to the separated cluster and adsorbate. At 298.15 K, the gas-phase harmonic model favoured water adsorption over vanadic-acid adsorption. This result differed from the electronic-energy comparison and showed that the predicted ordering depended on whether thermal corrections were included.</w:t>
      </w:r>
    </w:p>
    <w:p>
      <w:pPr>
        <w:keepNext/>
        <w:keepLines/>
        <w:widowControl/>
        <w:spacing w:line="480" w:lineRule="auto" w:before="0" w:after="80"/>
        <w:ind w:firstLine="0" w:left="0"/>
        <w:jc w:val="left"/>
      </w:pPr>
      <w:bookmarkStart w:id="10" w:name="Table_4_3"/>
      <w:r>
        <w:rPr>
          <w:rFonts w:ascii="Times New Roman" w:hAnsi="Times New Roman" w:cs="Times New Roman" w:eastAsia="Times New Roman"/>
          <w:b w:val="0"/>
          <w:i w:val="0"/>
          <w:color w:val="000000"/>
          <w:sz w:val="24"/>
        </w:rPr>
        <w:t>Table 4.3: Harmonic Gibbs free energies relative to the separated cluster and adsorbate at B3LYP-D3(BJ)/def2-TZVP</w:t>
      </w:r>
      <w:bookmarkEnd w:id="10"/>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35"/>
        <w:gridCol w:w="2835"/>
        <w:gridCol w:w="2835"/>
      </w:tblGrid>
      <w:tr>
        <w:trPr>
          <w:tblHeader w:val="true"/>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i w:val="0"/>
                <w:color w:val="000000"/>
                <w:sz w:val="24"/>
              </w:rPr>
              <w:t>State</w:t>
            </w:r>
          </w:p>
        </w:tc>
        <w:tc>
          <w:tcPr>
            <w:tcW w:type="dxa" w:w="2835"/>
          </w:tcPr>
          <w:p>
            <w:pPr>
              <w:widowControl/>
              <w:spacing w:line="480" w:lineRule="auto" w:before="0" w:after="40"/>
              <w:ind w:firstLine="0" w:left="0"/>
              <w:jc w:val="left"/>
            </w:pPr>
            <w:r/>
            <w:r>
              <w:rPr>
                <w:rFonts w:ascii="Times New Roman" w:hAnsi="Times New Roman" w:cs="Times New Roman" w:eastAsia="Times New Roman"/>
                <w:b/>
                <w:i w:val="0"/>
                <w:color w:val="000000"/>
                <w:sz w:val="24"/>
              </w:rPr>
              <w:t>ΔG at 298.15 K (kJ mol</w:t>
            </w:r>
            <w:r>
              <w:rPr>
                <w:rFonts w:ascii="Times New Roman" w:hAnsi="Times New Roman" w:cs="Times New Roman" w:eastAsia="Times New Roman"/>
                <w:b/>
                <w:i w:val="0"/>
                <w:color w:val="000000"/>
                <w:sz w:val="24"/>
                <w:vertAlign w:val="superscript"/>
              </w:rPr>
              <w:t>-1</w:t>
            </w:r>
            <w:r>
              <w:rPr>
                <w:rFonts w:ascii="Times New Roman" w:hAnsi="Times New Roman" w:cs="Times New Roman" w:eastAsia="Times New Roman"/>
                <w:b/>
                <w:i w:val="0"/>
                <w:color w:val="000000"/>
                <w:sz w:val="24"/>
              </w:rPr>
              <w:t>)</w:t>
            </w:r>
          </w:p>
        </w:tc>
        <w:tc>
          <w:tcPr>
            <w:tcW w:type="dxa" w:w="2835"/>
          </w:tcPr>
          <w:p>
            <w:pPr>
              <w:widowControl/>
              <w:spacing w:line="480" w:lineRule="auto" w:before="0" w:after="40"/>
              <w:ind w:firstLine="0" w:left="0"/>
              <w:jc w:val="left"/>
            </w:pPr>
            <w:r/>
            <w:r>
              <w:rPr>
                <w:rFonts w:ascii="Times New Roman" w:hAnsi="Times New Roman" w:cs="Times New Roman" w:eastAsia="Times New Roman"/>
                <w:b/>
                <w:i w:val="0"/>
                <w:color w:val="000000"/>
                <w:sz w:val="24"/>
              </w:rPr>
              <w:t>ΔG at 1003.15 K (kJ mol</w:t>
            </w:r>
            <w:r>
              <w:rPr>
                <w:rFonts w:ascii="Times New Roman" w:hAnsi="Times New Roman" w:cs="Times New Roman" w:eastAsia="Times New Roman"/>
                <w:b/>
                <w:i w:val="0"/>
                <w:color w:val="000000"/>
                <w:sz w:val="24"/>
                <w:vertAlign w:val="superscript"/>
              </w:rPr>
              <w:t>-1</w:t>
            </w:r>
            <w:r>
              <w:rPr>
                <w:rFonts w:ascii="Times New Roman" w:hAnsi="Times New Roman" w:cs="Times New Roman" w:eastAsia="Times New Roman"/>
                <w:b/>
                <w:i w:val="0"/>
                <w:color w:val="000000"/>
                <w:sz w:val="24"/>
              </w:rPr>
              <w:t>)</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V-PRC</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−17.0</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+133.4</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V-I1</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−35.8</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+108.3</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W-PRC</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−28.9</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+67.0</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W-P</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+30.8</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+132.7</w:t>
            </w:r>
          </w:p>
        </w:tc>
      </w:tr>
    </w:tbl>
    <w:p>
      <w:pPr>
        <w:spacing w:after="160"/>
      </w:pPr>
    </w:p>
    <w:p>
      <w:pPr>
        <w:widowControl/>
        <w:spacing w:line="480" w:lineRule="auto" w:before="0" w:after="240"/>
        <w:ind w:firstLine="0" w:left="0"/>
        <w:jc w:val="both"/>
      </w:pPr>
      <w:r>
        <w:rPr>
          <w:rFonts w:ascii="Times New Roman" w:hAnsi="Times New Roman" w:cs="Times New Roman" w:eastAsia="Times New Roman"/>
          <w:b w:val="0"/>
          <w:i w:val="0"/>
          <w:color w:val="000000"/>
          <w:sz w:val="24"/>
        </w:rPr>
        <w:t>At 1003.15 K, the calculated Gibbs free energies for both pre-reaction complexes were positive. The model therefore predicted that gas-phase adsorption was unfavourable at this temperature and that water was less unfavourable than vanadic acid. This ordering differed from the electronic adsorption energies because the harmonic thermal corrections were substantial.</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1003.15 K values were based on an ideal-gas, rigid-rotor, harmonic-oscillator treatment. That treatment did not represent pore confinement or the local gas environment inside a working catalyst. The electronic adsorption-energy comparison was not a Gibbs free-energy difference and could not be used directly as an equilibrium constant. For these reasons, no quantitative Langmuir site-occupancy estimate was made from the present calculations.</w:t>
      </w:r>
    </w:p>
    <w:p>
      <w:pPr>
        <w:pStyle w:val="Heading2"/>
        <w:jc w:val="left"/>
      </w:pPr>
      <w:r>
        <w:rPr>
          <w:rFonts w:ascii="Times New Roman" w:hAnsi="Times New Roman" w:cs="Times New Roman" w:eastAsia="Times New Roman"/>
          <w:b/>
          <w:i w:val="0"/>
          <w:color w:val="000000"/>
          <w:sz w:val="24"/>
        </w:rPr>
        <w:t>4.4 Evaluation of the Dealumination Pathway</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pathway assessment was limited by the convergence and vibrational failures summarised in Table 4.1. V-I1 was a converged minimum, but the candidate V-TS2 structure did not pass the tests required for a first-order saddle point. The subsequent vanadic-acid structures did not yield a validated pathway. Although W-P was a converged minimum, no density-functional transition state for the corresponding water-hydrolysis step was established in this calculation set. The results therefore did not establish a density-functional activation barrier for either route.</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adsorption-energy comparison alone cannot determine whether vanadic acid accelerates dealumination. The calculation did not include sodium, a periodic pore, or a validated transition state, and it did not model reaction rates. It therefore did not test Trujillo et al.’s (1997) local-concentration proposal or Xu et al.’s (2002) sodium-mediated mechanism. The results provided no direct confirmation of the vanadic-acid mechanism proposed by Wormsbecher et al. (1986), but they did not refute it either.</w:t>
      </w:r>
    </w:p>
    <w:p>
      <w:pPr>
        <w:pStyle w:val="Heading1"/>
        <w:pageBreakBefore/>
        <w:jc w:val="left"/>
      </w:pPr>
      <w:r>
        <w:rPr>
          <w:rFonts w:ascii="Times New Roman" w:hAnsi="Times New Roman" w:cs="Times New Roman" w:eastAsia="Times New Roman"/>
          <w:b/>
          <w:i w:val="0"/>
          <w:color w:val="000000"/>
          <w:sz w:val="24"/>
        </w:rPr>
        <w:t>5.0 CONCLUSIONS AND RECOMMENDATIONS</w:t>
      </w:r>
    </w:p>
    <w:p>
      <w:pPr>
        <w:pStyle w:val="Heading2"/>
        <w:jc w:val="left"/>
      </w:pPr>
      <w:r>
        <w:rPr>
          <w:rFonts w:ascii="Times New Roman" w:hAnsi="Times New Roman" w:cs="Times New Roman" w:eastAsia="Times New Roman"/>
          <w:b/>
          <w:i w:val="0"/>
          <w:color w:val="000000"/>
          <w:sz w:val="24"/>
        </w:rPr>
        <w:t>5.1 Summary of the Study</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This study compared vanadic acid and water adsorption at a model Zeolite Y Brønsted acid site. A local AlSi</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13</w:t>
      </w:r>
      <w:r>
        <w:rPr>
          <w:rFonts w:ascii="Times New Roman" w:hAnsi="Times New Roman" w:cs="Times New Roman" w:eastAsia="Times New Roman"/>
          <w:b w:val="0"/>
          <w:i w:val="0"/>
          <w:color w:val="000000"/>
          <w:sz w:val="24"/>
        </w:rPr>
        <w:t xml:space="preserve"> cluster was screened with GFN2-xTB and refined with B3LYP-D3(BJ)/def2-TZVP. PBE0-D3(BJ)/def2-TZVP single-point calculations checked the relative adsorption energies, while harmonic frequencies supplied thermochemical corrections.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adsorption complexes and several reference structures passed the geometry and frequency checks. The calculated electronic energies favoured vanadic acid, but the harmonic free energies did not support a reliable estimate of competitive site occupancy at regenerator temperature. The candidate density-functional structure for framework bond cleavage failed the transition-state checks, so the study did not establish an activation barrier or a complete dealumination mechanism.</w:t>
      </w:r>
    </w:p>
    <w:p>
      <w:pPr>
        <w:pStyle w:val="Heading2"/>
        <w:jc w:val="left"/>
      </w:pPr>
      <w:r>
        <w:rPr>
          <w:rFonts w:ascii="Times New Roman" w:hAnsi="Times New Roman" w:cs="Times New Roman" w:eastAsia="Times New Roman"/>
          <w:b/>
          <w:i w:val="0"/>
          <w:color w:val="000000"/>
          <w:sz w:val="24"/>
        </w:rPr>
        <w:t>5.2 Conclusions</w:t>
      </w:r>
    </w:p>
    <w:p>
      <w:pPr>
        <w:widowControl/>
        <w:spacing w:line="480" w:lineRule="auto" w:before="0" w:after="120"/>
        <w:ind w:firstLine="0" w:left="255"/>
        <w:jc w:val="both"/>
      </w:pPr>
      <w:r>
        <w:rPr>
          <w:rFonts w:ascii="Times New Roman" w:hAnsi="Times New Roman" w:cs="Times New Roman" w:eastAsia="Times New Roman"/>
          <w:b w:val="0"/>
          <w:i w:val="0"/>
          <w:color w:val="000000"/>
          <w:sz w:val="24"/>
        </w:rPr>
        <w:t>1. A local Zeolite Y cluster with one Brønsted acid site was constructed and optimised, and converged adsorption complexes were obtained for vanadic acid and water. The cluster was suitable for comparing local electronic adsorption energies. It did not represent the full zeolite pore or its long-range electrostatic environment.</w:t>
      </w:r>
    </w:p>
    <w:p>
      <w:pPr>
        <w:widowControl/>
        <w:spacing w:line="480" w:lineRule="auto" w:before="0" w:after="120"/>
        <w:ind w:firstLine="0" w:left="255"/>
        <w:jc w:val="both"/>
      </w:pPr>
      <w:r>
        <w:rPr>
          <w:rFonts w:ascii="Times New Roman" w:hAnsi="Times New Roman" w:cs="Times New Roman" w:eastAsia="Times New Roman"/>
          <w:b w:val="0"/>
          <w:i w:val="0"/>
          <w:color w:val="000000"/>
          <w:sz w:val="24"/>
        </w:rPr>
        <w:t>2. B3LYP-D3(BJ)/def2-TZVP gave electronic adsorption energies of −93.0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xml:space="preserve"> for vanadic acid and −78.3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xml:space="preserve"> for water. PBE0 single-point calculations gave −93.1 and −78.6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respectively. The resulting electronic-energy difference favoured vanadic acid by 14.7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xml:space="preserve"> at B3LYP and 14.4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xml:space="preserve"> at PBE0, while GFN2-xTB substantially overestimated that difference.</w:t>
      </w:r>
    </w:p>
    <w:p>
      <w:pPr>
        <w:widowControl/>
        <w:spacing w:line="480" w:lineRule="auto" w:before="0" w:after="120"/>
        <w:ind w:firstLine="0" w:left="255"/>
        <w:jc w:val="both"/>
      </w:pPr>
      <w:r>
        <w:rPr>
          <w:rFonts w:ascii="Times New Roman" w:hAnsi="Times New Roman" w:cs="Times New Roman" w:eastAsia="Times New Roman"/>
          <w:b w:val="0"/>
          <w:i w:val="0"/>
          <w:color w:val="000000"/>
          <w:sz w:val="24"/>
        </w:rPr>
        <w:t>3. The harmonic Gibbs free energies did not support a quantitative estimate of competitive site occupancy under RFCC regenerator conditions. At 1003.15 K, the calculated gas-phase adsorption free energies were positive for both pre-reaction complexes, and the water complex was less unfavourable than the vanadic-acid complex. These values depended on an ideal-gas harmonic treatment that omitted pore confinement, so they could not be interpreted as reliable adsorption equilibria in an operating catalyst.</w:t>
      </w:r>
    </w:p>
    <w:p>
      <w:pPr>
        <w:widowControl/>
        <w:spacing w:line="480" w:lineRule="auto" w:before="0" w:after="120"/>
        <w:ind w:firstLine="0" w:left="255"/>
        <w:jc w:val="both"/>
      </w:pPr>
      <w:r>
        <w:rPr>
          <w:rFonts w:ascii="Times New Roman" w:hAnsi="Times New Roman" w:cs="Times New Roman" w:eastAsia="Times New Roman"/>
          <w:b w:val="0"/>
          <w:i w:val="0"/>
          <w:color w:val="000000"/>
          <w:sz w:val="24"/>
        </w:rPr>
        <w:t>4. The calculations did not establish a validated vanadic-acid pathway for framework Al–O bond cleavage. The candidate V-TS2 structure had fourteen imaginary frequencies, V-I2 did not converge, and the V-P calculation did not terminate normally. No density-functional activation barrier was therefore reported, and the adsorption-energy comparison alone did not confirm or reject the full vanadic-acid mechanism.</w:t>
      </w:r>
    </w:p>
    <w:p>
      <w:pPr>
        <w:pStyle w:val="Heading2"/>
        <w:jc w:val="left"/>
      </w:pPr>
      <w:r>
        <w:rPr>
          <w:rFonts w:ascii="Times New Roman" w:hAnsi="Times New Roman" w:cs="Times New Roman" w:eastAsia="Times New Roman"/>
          <w:b/>
          <w:i w:val="0"/>
          <w:color w:val="000000"/>
          <w:sz w:val="24"/>
        </w:rPr>
        <w:t>5.3 Recommendations and Further Work</w:t>
      </w:r>
    </w:p>
    <w:p>
      <w:pPr>
        <w:widowControl/>
        <w:spacing w:line="480" w:lineRule="auto" w:before="0" w:after="120"/>
        <w:ind w:firstLine="0" w:left="255"/>
        <w:jc w:val="both"/>
      </w:pPr>
      <w:r>
        <w:rPr>
          <w:rFonts w:ascii="Times New Roman" w:hAnsi="Times New Roman" w:cs="Times New Roman" w:eastAsia="Times New Roman"/>
          <w:b w:val="0"/>
          <w:i w:val="0"/>
          <w:color w:val="000000"/>
          <w:sz w:val="24"/>
        </w:rPr>
        <w:t>1. Recalculate the adsorption complexes with a larger or periodic Zeolite Y model that includes pore confinement and the framework electrostatic field. Include explicit water molecules or a suitable reference state for adsorbed water before using free energies to estimate site occupancy.</w:t>
      </w:r>
    </w:p>
    <w:p>
      <w:pPr>
        <w:widowControl/>
        <w:spacing w:line="480" w:lineRule="auto" w:before="0" w:after="120"/>
        <w:ind w:firstLine="0" w:left="255"/>
        <w:jc w:val="both"/>
      </w:pPr>
      <w:r>
        <w:rPr>
          <w:rFonts w:ascii="Times New Roman" w:hAnsi="Times New Roman" w:cs="Times New Roman" w:eastAsia="Times New Roman"/>
          <w:b w:val="0"/>
          <w:i w:val="0"/>
          <w:color w:val="000000"/>
          <w:sz w:val="24"/>
        </w:rPr>
        <w:t>2. Complete the basis-set-superposition correction for both adsorbates with a consistent set of converged fragment calculations. The corrected values should be reported alongside the uncorrected energies before either value is used to screen vanadium traps.</w:t>
      </w:r>
    </w:p>
    <w:p>
      <w:pPr>
        <w:widowControl/>
        <w:spacing w:line="480" w:lineRule="auto" w:before="0" w:after="120"/>
        <w:ind w:firstLine="0" w:left="255"/>
        <w:jc w:val="both"/>
      </w:pPr>
      <w:r>
        <w:rPr>
          <w:rFonts w:ascii="Times New Roman" w:hAnsi="Times New Roman" w:cs="Times New Roman" w:eastAsia="Times New Roman"/>
          <w:b w:val="0"/>
          <w:i w:val="0"/>
          <w:color w:val="000000"/>
          <w:sz w:val="24"/>
        </w:rPr>
        <w:t>3. Repeat the framework bond-cleavage search with a larger model or a less restrictive boundary. Accept a transition state only after a converged optimisation, one chemically meaningful imaginary frequency, and a two-sided displacement or reaction-path check.</w:t>
      </w:r>
    </w:p>
    <w:p>
      <w:pPr>
        <w:widowControl/>
        <w:spacing w:line="480" w:lineRule="auto" w:before="0" w:after="120"/>
        <w:ind w:firstLine="0" w:left="255"/>
        <w:jc w:val="both"/>
      </w:pPr>
      <w:r>
        <w:rPr>
          <w:rFonts w:ascii="Times New Roman" w:hAnsi="Times New Roman" w:cs="Times New Roman" w:eastAsia="Times New Roman"/>
          <w:b w:val="0"/>
          <w:i w:val="0"/>
          <w:color w:val="000000"/>
          <w:sz w:val="24"/>
        </w:rPr>
        <w:t>4. Add sodium to the model to test the competing sodium-mediated explanation. A direct comparison of the vanadic-acid and sodium pathways would address a key limitation of the present cluster model.</w:t>
      </w:r>
    </w:p>
    <w:p>
      <w:pPr>
        <w:pStyle w:val="Heading1"/>
        <w:pageBreakBefore/>
        <w:jc w:val="left"/>
      </w:pPr>
      <w:r>
        <w:rPr>
          <w:rFonts w:ascii="Times New Roman" w:hAnsi="Times New Roman" w:cs="Times New Roman" w:eastAsia="Times New Roman"/>
          <w:b/>
          <w:i w:val="0"/>
          <w:color w:val="000000"/>
          <w:sz w:val="24"/>
        </w:rPr>
        <w:t>REFERENCES</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Adamo, C., &amp; Barone, V. (1999). Toward reliable density functional methods without adjustable parameters: The PBE0 model. </w:t>
      </w:r>
      <w:r>
        <w:rPr>
          <w:rFonts w:ascii="Times New Roman" w:hAnsi="Times New Roman" w:cs="Times New Roman" w:eastAsia="Times New Roman"/>
          <w:b w:val="0"/>
          <w:i/>
          <w:color w:val="000000"/>
          <w:sz w:val="24"/>
        </w:rPr>
        <w:t>The Journal of Chemical Physics, 110</w:t>
      </w:r>
      <w:r>
        <w:rPr>
          <w:rFonts w:ascii="Times New Roman" w:hAnsi="Times New Roman" w:cs="Times New Roman" w:eastAsia="Times New Roman"/>
          <w:b w:val="0"/>
          <w:i w:val="0"/>
          <w:color w:val="000000"/>
          <w:sz w:val="24"/>
        </w:rPr>
        <w:t>(13), 6158–6170. https://doi.org/10.1063/1.478522</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Adanenche, D. E., Aliyu, A., Atta, A. Y., &amp; El-Yakubu, B. J. (2023). Residue fluid catalytic cracking: A review on the mitigation strategies of metal poisoning of RFCC catalyst using metal passivators/traps. </w:t>
      </w:r>
      <w:r>
        <w:rPr>
          <w:rFonts w:ascii="Times New Roman" w:hAnsi="Times New Roman" w:cs="Times New Roman" w:eastAsia="Times New Roman"/>
          <w:b w:val="0"/>
          <w:i/>
          <w:color w:val="000000"/>
          <w:sz w:val="24"/>
        </w:rPr>
        <w:t>Fuel, 343</w:t>
      </w:r>
      <w:r>
        <w:rPr>
          <w:rFonts w:ascii="Times New Roman" w:hAnsi="Times New Roman" w:cs="Times New Roman" w:eastAsia="Times New Roman"/>
          <w:b w:val="0"/>
          <w:i w:val="0"/>
          <w:color w:val="000000"/>
          <w:sz w:val="24"/>
        </w:rPr>
        <w:t>, 127894. https://doi.org/10.1016/j.fuel.2023.127894</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Bannwarth, C., Ehlert, S., &amp; Grimme, S. (2019). GFN2-xTB: An accurate and broadly parametrized self-consistent tight-binding quantum chemical method with multipole electrostatics and density-dependent dispersion contributions. </w:t>
      </w:r>
      <w:r>
        <w:rPr>
          <w:rFonts w:ascii="Times New Roman" w:hAnsi="Times New Roman" w:cs="Times New Roman" w:eastAsia="Times New Roman"/>
          <w:b w:val="0"/>
          <w:i/>
          <w:color w:val="000000"/>
          <w:sz w:val="24"/>
        </w:rPr>
        <w:t>Journal of Chemical Theory and Computation, 15</w:t>
      </w:r>
      <w:r>
        <w:rPr>
          <w:rFonts w:ascii="Times New Roman" w:hAnsi="Times New Roman" w:cs="Times New Roman" w:eastAsia="Times New Roman"/>
          <w:b w:val="0"/>
          <w:i w:val="0"/>
          <w:color w:val="000000"/>
          <w:sz w:val="24"/>
        </w:rPr>
        <w:t>(3), 1652–1671. https://doi.org/10.1021/acs.jctc.8b01176</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Becke, A. D. (1993). Density-functional thermochemistry. III. The role of exact exchange. </w:t>
      </w:r>
      <w:r>
        <w:rPr>
          <w:rFonts w:ascii="Times New Roman" w:hAnsi="Times New Roman" w:cs="Times New Roman" w:eastAsia="Times New Roman"/>
          <w:b w:val="0"/>
          <w:i/>
          <w:color w:val="000000"/>
          <w:sz w:val="24"/>
        </w:rPr>
        <w:t>The Journal of Chemical Physics, 98</w:t>
      </w:r>
      <w:r>
        <w:rPr>
          <w:rFonts w:ascii="Times New Roman" w:hAnsi="Times New Roman" w:cs="Times New Roman" w:eastAsia="Times New Roman"/>
          <w:b w:val="0"/>
          <w:i w:val="0"/>
          <w:color w:val="000000"/>
          <w:sz w:val="24"/>
        </w:rPr>
        <w:t>(7), 5648–5652. https://doi.org/10.1063/1.464913</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Etim, U. J., Bai, P., Ullah, R., Subhan, F., &amp; Yan, Z. (2018). Vanadium contamination of FCC catalyst: Understanding the destruction and passivation mechanisms. </w:t>
      </w:r>
      <w:r>
        <w:rPr>
          <w:rFonts w:ascii="Times New Roman" w:hAnsi="Times New Roman" w:cs="Times New Roman" w:eastAsia="Times New Roman"/>
          <w:b w:val="0"/>
          <w:i/>
          <w:color w:val="000000"/>
          <w:sz w:val="24"/>
        </w:rPr>
        <w:t>Applied Catalysis A: General, 555</w:t>
      </w:r>
      <w:r>
        <w:rPr>
          <w:rFonts w:ascii="Times New Roman" w:hAnsi="Times New Roman" w:cs="Times New Roman" w:eastAsia="Times New Roman"/>
          <w:b w:val="0"/>
          <w:i w:val="0"/>
          <w:color w:val="000000"/>
          <w:sz w:val="24"/>
        </w:rPr>
        <w:t>, 108–117. https://doi.org/10.1016/j.apcata.2018.02.011</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Etim, U. J., Xu, B., Ullah, R., &amp; Yan, Z. (2016). Effect of vanadium contamination on the framework and micropore structure of ultra stable Y-zeolite. </w:t>
      </w:r>
      <w:r>
        <w:rPr>
          <w:rFonts w:ascii="Times New Roman" w:hAnsi="Times New Roman" w:cs="Times New Roman" w:eastAsia="Times New Roman"/>
          <w:b w:val="0"/>
          <w:i/>
          <w:color w:val="000000"/>
          <w:sz w:val="24"/>
        </w:rPr>
        <w:t>Journal of Colloid and Interface Science, 463</w:t>
      </w:r>
      <w:r>
        <w:rPr>
          <w:rFonts w:ascii="Times New Roman" w:hAnsi="Times New Roman" w:cs="Times New Roman" w:eastAsia="Times New Roman"/>
          <w:b w:val="0"/>
          <w:i w:val="0"/>
          <w:color w:val="000000"/>
          <w:sz w:val="24"/>
        </w:rPr>
        <w:t>, 188–198. https://doi.org/10.1016/j.jcis.2015.10.049</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Faghani, M. H., Mohammadipour, E., Tarighi, S., Naderifar, A., &amp; Habibzadeh, S. (2024). High vanadium tolerant FCC catalyst by barium titanate as metal trap and passivator. </w:t>
      </w:r>
      <w:r>
        <w:rPr>
          <w:rFonts w:ascii="Times New Roman" w:hAnsi="Times New Roman" w:cs="Times New Roman" w:eastAsia="Times New Roman"/>
          <w:b w:val="0"/>
          <w:i/>
          <w:color w:val="000000"/>
          <w:sz w:val="24"/>
        </w:rPr>
        <w:t>Fuel, 375</w:t>
      </w:r>
      <w:r>
        <w:rPr>
          <w:rFonts w:ascii="Times New Roman" w:hAnsi="Times New Roman" w:cs="Times New Roman" w:eastAsia="Times New Roman"/>
          <w:b w:val="0"/>
          <w:i w:val="0"/>
          <w:color w:val="000000"/>
          <w:sz w:val="24"/>
        </w:rPr>
        <w:t>, 132531. https://doi.org/10.1016/j.fuel.2024.132531</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Grimme, S., Ehrlich, S., &amp; Goerigk, L. (2011). Effect of the damping function in dispersion corrected density functional theory. </w:t>
      </w:r>
      <w:r>
        <w:rPr>
          <w:rFonts w:ascii="Times New Roman" w:hAnsi="Times New Roman" w:cs="Times New Roman" w:eastAsia="Times New Roman"/>
          <w:b w:val="0"/>
          <w:i/>
          <w:color w:val="000000"/>
          <w:sz w:val="24"/>
        </w:rPr>
        <w:t>Journal of Computational Chemistry, 32</w:t>
      </w:r>
      <w:r>
        <w:rPr>
          <w:rFonts w:ascii="Times New Roman" w:hAnsi="Times New Roman" w:cs="Times New Roman" w:eastAsia="Times New Roman"/>
          <w:b w:val="0"/>
          <w:i w:val="0"/>
          <w:color w:val="000000"/>
          <w:sz w:val="24"/>
        </w:rPr>
        <w:t>(7), 1456–1465. https://doi.org/10.1002/jcc.21759</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Lee, C., Yang, W., &amp; Parr, R. G. (1988). Development of the Colle-Salvetti correlation-energy formula into a functional of the electron density. </w:t>
      </w:r>
      <w:r>
        <w:rPr>
          <w:rFonts w:ascii="Times New Roman" w:hAnsi="Times New Roman" w:cs="Times New Roman" w:eastAsia="Times New Roman"/>
          <w:b w:val="0"/>
          <w:i/>
          <w:color w:val="000000"/>
          <w:sz w:val="24"/>
        </w:rPr>
        <w:t>Physical Review B, 37</w:t>
      </w:r>
      <w:r>
        <w:rPr>
          <w:rFonts w:ascii="Times New Roman" w:hAnsi="Times New Roman" w:cs="Times New Roman" w:eastAsia="Times New Roman"/>
          <w:b w:val="0"/>
          <w:i w:val="0"/>
          <w:color w:val="000000"/>
          <w:sz w:val="24"/>
        </w:rPr>
        <w:t>(2), 785–789. https://doi.org/10.1103/PhysRevB.37.785</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Malola, S., Svelle, S., Lønstad Bleken, F., &amp; Swang, O. (2012). Detailed reaction paths for zeolite dealumination and desilication from density functional calculations. </w:t>
      </w:r>
      <w:r>
        <w:rPr>
          <w:rFonts w:ascii="Times New Roman" w:hAnsi="Times New Roman" w:cs="Times New Roman" w:eastAsia="Times New Roman"/>
          <w:b w:val="0"/>
          <w:i/>
          <w:color w:val="000000"/>
          <w:sz w:val="24"/>
        </w:rPr>
        <w:t>Angewandte Chemie International Edition, 51</w:t>
      </w:r>
      <w:r>
        <w:rPr>
          <w:rFonts w:ascii="Times New Roman" w:hAnsi="Times New Roman" w:cs="Times New Roman" w:eastAsia="Times New Roman"/>
          <w:b w:val="0"/>
          <w:i w:val="0"/>
          <w:color w:val="000000"/>
          <w:sz w:val="24"/>
        </w:rPr>
        <w:t>(3), 652–655. https://doi.org/10.1002/anie.201104462</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Mitchell, B. R. (1980). Metal contamination of cracking catalysts. 1. Synthetic metals deposition on fresh catalysts. </w:t>
      </w:r>
      <w:r>
        <w:rPr>
          <w:rFonts w:ascii="Times New Roman" w:hAnsi="Times New Roman" w:cs="Times New Roman" w:eastAsia="Times New Roman"/>
          <w:b w:val="0"/>
          <w:i/>
          <w:color w:val="000000"/>
          <w:sz w:val="24"/>
        </w:rPr>
        <w:t>Industrial &amp; Engineering Chemistry Product Research and Development, 19</w:t>
      </w:r>
      <w:r>
        <w:rPr>
          <w:rFonts w:ascii="Times New Roman" w:hAnsi="Times New Roman" w:cs="Times New Roman" w:eastAsia="Times New Roman"/>
          <w:b w:val="0"/>
          <w:i w:val="0"/>
          <w:color w:val="000000"/>
          <w:sz w:val="24"/>
        </w:rPr>
        <w:t>(2), 209–213. https://doi.org/10.1021/i360074a015</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Neese, F. (2025). Software update: The ORCA program system: Version 6.0. </w:t>
      </w:r>
      <w:r>
        <w:rPr>
          <w:rFonts w:ascii="Times New Roman" w:hAnsi="Times New Roman" w:cs="Times New Roman" w:eastAsia="Times New Roman"/>
          <w:b w:val="0"/>
          <w:i/>
          <w:color w:val="000000"/>
          <w:sz w:val="24"/>
        </w:rPr>
        <w:t>Wiley Interdisciplinary Reviews: Computational Molecular Science, 15</w:t>
      </w:r>
      <w:r>
        <w:rPr>
          <w:rFonts w:ascii="Times New Roman" w:hAnsi="Times New Roman" w:cs="Times New Roman" w:eastAsia="Times New Roman"/>
          <w:b w:val="0"/>
          <w:i w:val="0"/>
          <w:color w:val="000000"/>
          <w:sz w:val="24"/>
        </w:rPr>
        <w:t>, e70019. https://doi.org/10.1002/wcms.70019</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Pine, L. A. (1990). Vanadium-catalyzed destruction of USY zeolites. </w:t>
      </w:r>
      <w:r>
        <w:rPr>
          <w:rFonts w:ascii="Times New Roman" w:hAnsi="Times New Roman" w:cs="Times New Roman" w:eastAsia="Times New Roman"/>
          <w:b w:val="0"/>
          <w:i/>
          <w:color w:val="000000"/>
          <w:sz w:val="24"/>
        </w:rPr>
        <w:t>Journal of Catalysis, 125</w:t>
      </w:r>
      <w:r>
        <w:rPr>
          <w:rFonts w:ascii="Times New Roman" w:hAnsi="Times New Roman" w:cs="Times New Roman" w:eastAsia="Times New Roman"/>
          <w:b w:val="0"/>
          <w:i w:val="0"/>
          <w:color w:val="000000"/>
          <w:sz w:val="24"/>
        </w:rPr>
        <w:t>(2), 514–524. https://doi.org/10.1016/0021-9517(90)90323-C</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Silaghi, M.-C., Chizallet, C., Sauer, J., &amp; Raybaud, P. (2016). Dealumination mechanisms of zeolites and extra-framework aluminum confinement. </w:t>
      </w:r>
      <w:r>
        <w:rPr>
          <w:rFonts w:ascii="Times New Roman" w:hAnsi="Times New Roman" w:cs="Times New Roman" w:eastAsia="Times New Roman"/>
          <w:b w:val="0"/>
          <w:i/>
          <w:color w:val="000000"/>
          <w:sz w:val="24"/>
        </w:rPr>
        <w:t>Journal of Catalysis, 339</w:t>
      </w:r>
      <w:r>
        <w:rPr>
          <w:rFonts w:ascii="Times New Roman" w:hAnsi="Times New Roman" w:cs="Times New Roman" w:eastAsia="Times New Roman"/>
          <w:b w:val="0"/>
          <w:i w:val="0"/>
          <w:color w:val="000000"/>
          <w:sz w:val="24"/>
        </w:rPr>
        <w:t>, 242–255. https://doi.org/10.1016/j.jcat.2016.04.021</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Tielens, F., &amp; Dzwigaj, S. (2010). Probing acid-base sites in vanadium redox zeolites by DFT calculation and compared with FTIR results. </w:t>
      </w:r>
      <w:r>
        <w:rPr>
          <w:rFonts w:ascii="Times New Roman" w:hAnsi="Times New Roman" w:cs="Times New Roman" w:eastAsia="Times New Roman"/>
          <w:b w:val="0"/>
          <w:i/>
          <w:color w:val="000000"/>
          <w:sz w:val="24"/>
        </w:rPr>
        <w:t>Catalysis Today, 152</w:t>
      </w:r>
      <w:r>
        <w:rPr>
          <w:rFonts w:ascii="Times New Roman" w:hAnsi="Times New Roman" w:cs="Times New Roman" w:eastAsia="Times New Roman"/>
          <w:b w:val="0"/>
          <w:i w:val="0"/>
          <w:color w:val="000000"/>
          <w:sz w:val="24"/>
        </w:rPr>
        <w:t>(1–4), 66–69. https://doi.org/10.1016/j.cattod.2009.09.006</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Trujillo, C. A., Navarro Uribe, U., Knops-Gerrits, P.-P., Oviedo A., L. A., &amp; Jacobs, P. A. (1997). The mechanism of zeolite Y destruction by steam in the presence of vanadium. </w:t>
      </w:r>
      <w:r>
        <w:rPr>
          <w:rFonts w:ascii="Times New Roman" w:hAnsi="Times New Roman" w:cs="Times New Roman" w:eastAsia="Times New Roman"/>
          <w:b w:val="0"/>
          <w:i/>
          <w:color w:val="000000"/>
          <w:sz w:val="24"/>
        </w:rPr>
        <w:t>Journal of Catalysis, 168</w:t>
      </w:r>
      <w:r>
        <w:rPr>
          <w:rFonts w:ascii="Times New Roman" w:hAnsi="Times New Roman" w:cs="Times New Roman" w:eastAsia="Times New Roman"/>
          <w:b w:val="0"/>
          <w:i w:val="0"/>
          <w:color w:val="000000"/>
          <w:sz w:val="24"/>
        </w:rPr>
        <w:t>(1), 1–15. https://doi.org/10.1006/jcat.1997.1550</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Weigend, F., &amp; Ahlrichs, R. (2005). Balanced basis sets of split valence, triple zeta valence and quadruple zeta valence quality for H to Rn: Design and assessment of accuracy. </w:t>
      </w:r>
      <w:r>
        <w:rPr>
          <w:rFonts w:ascii="Times New Roman" w:hAnsi="Times New Roman" w:cs="Times New Roman" w:eastAsia="Times New Roman"/>
          <w:b w:val="0"/>
          <w:i/>
          <w:color w:val="000000"/>
          <w:sz w:val="24"/>
        </w:rPr>
        <w:t>Physical Chemistry Chemical Physics, 7</w:t>
      </w:r>
      <w:r>
        <w:rPr>
          <w:rFonts w:ascii="Times New Roman" w:hAnsi="Times New Roman" w:cs="Times New Roman" w:eastAsia="Times New Roman"/>
          <w:b w:val="0"/>
          <w:i w:val="0"/>
          <w:color w:val="000000"/>
          <w:sz w:val="24"/>
        </w:rPr>
        <w:t>(18), 3297–3305. https://doi.org/10.1039/b508541a</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Wormsbecher, R. F., Peters, A. W., &amp; Maselli, J. M. (1986). Vanadium poisoning of cracking catalysts: Mechanism of poisoning and design of vanadium tolerant catalyst system. </w:t>
      </w:r>
      <w:r>
        <w:rPr>
          <w:rFonts w:ascii="Times New Roman" w:hAnsi="Times New Roman" w:cs="Times New Roman" w:eastAsia="Times New Roman"/>
          <w:b w:val="0"/>
          <w:i/>
          <w:color w:val="000000"/>
          <w:sz w:val="24"/>
        </w:rPr>
        <w:t>Journal of Catalysis, 100</w:t>
      </w:r>
      <w:r>
        <w:rPr>
          <w:rFonts w:ascii="Times New Roman" w:hAnsi="Times New Roman" w:cs="Times New Roman" w:eastAsia="Times New Roman"/>
          <w:b w:val="0"/>
          <w:i w:val="0"/>
          <w:color w:val="000000"/>
          <w:sz w:val="24"/>
        </w:rPr>
        <w:t>(1), 130–137. https://doi.org/10.1016/0021-9517(86)90078-3</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Xu, M., Liu, X., &amp; Madon, R. J. (2002). Pathways for Y zeolite destruction: The role of sodium and vanadium. </w:t>
      </w:r>
      <w:r>
        <w:rPr>
          <w:rFonts w:ascii="Times New Roman" w:hAnsi="Times New Roman" w:cs="Times New Roman" w:eastAsia="Times New Roman"/>
          <w:b w:val="0"/>
          <w:i/>
          <w:color w:val="000000"/>
          <w:sz w:val="24"/>
        </w:rPr>
        <w:t>Journal of Catalysis, 207</w:t>
      </w:r>
      <w:r>
        <w:rPr>
          <w:rFonts w:ascii="Times New Roman" w:hAnsi="Times New Roman" w:cs="Times New Roman" w:eastAsia="Times New Roman"/>
          <w:b w:val="0"/>
          <w:i w:val="0"/>
          <w:color w:val="000000"/>
          <w:sz w:val="24"/>
        </w:rPr>
        <w:t>(2), 237–246. https://doi.org/10.1006/jcat.2002.3517</w:t>
      </w:r>
    </w:p>
    <w:sectPr w:rsidR="00FC693F" w:rsidRPr="0006063C" w:rsidSect="00034616">
      <w:footerReference w:type="default" r:id="rId9"/>
      <w:pgSz w:w="11906" w:h="16838"/>
      <w:pgMar w:top="1417" w:right="1417" w:bottom="1417" w:left="198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after="0"/>
      <w:jc w:val="center"/>
    </w:pPr>
    <w:r>
      <w:fldChar w:fldCharType="begin"/>
    </w:r>
    <w:r>
      <w:instrText xml:space="preserve">PAGE</w:instrText>
    </w:r>
    <w:r>
      <w:fldChar w:fldCharType="separate"/>
    </w:r>
    <w:r>
      <w:rPr>
        <w:rFonts w:ascii="Times New Roman" w:hAnsi="Times New Roman" w:cs="Times New Roman" w:eastAsia="Times New Roman"/>
        <w:b w:val="0"/>
        <w:i w:val="0"/>
        <w:color w:val="000000"/>
        <w:sz w:val="24"/>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480" w:lineRule="auto" w:before="0" w:after="240"/>
      <w:ind w:firstLine="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40" w:line="240" w:lineRule="auto"/>
      <w:ind w:firstLine="0"/>
      <w:jc w:val="left"/>
      <w:outlineLvl w:val="0"/>
    </w:pPr>
    <w:rPr>
      <w:rFonts w:asciiTheme="majorHAnsi" w:eastAsiaTheme="majorEastAsia" w:hAnsiTheme="majorHAnsi" w:cstheme="majorBidi" w:ascii="Times New Roman" w:hAnsi="Times New Roman" w:cs="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widowControl/>
      <w:spacing w:before="240" w:after="120" w:line="240" w:lineRule="auto"/>
      <w:ind w:firstLine="0"/>
      <w:jc w:val="left"/>
      <w:outlineLvl w:val="1"/>
    </w:pPr>
    <w:rPr>
      <w:rFonts w:asciiTheme="majorHAnsi" w:eastAsiaTheme="majorEastAsia" w:hAnsiTheme="majorHAnsi" w:cstheme="majorBidi" w:ascii="Times New Roman" w:hAnsi="Times New Roman" w:cs="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160" w:after="80" w:line="240" w:lineRule="auto"/>
      <w:ind w:firstLine="0"/>
      <w:jc w:val="left"/>
      <w:outlineLvl w:val="2"/>
    </w:pPr>
    <w:rPr>
      <w:rFonts w:asciiTheme="majorHAnsi" w:eastAsiaTheme="majorEastAsia" w:hAnsiTheme="majorHAnsi" w:cstheme="majorBidi" w:ascii="Times New Roman" w:hAnsi="Times New Roman" w:cs="Times New Roman" w:eastAsia="Times New Roman"/>
      <w:b w:val="0"/>
      <w:bCs/>
      <w:i w:val="0"/>
      <w:color w:val="000000"/>
      <w:sz w:val="24"/>
    </w:rPr>
  </w:style>
  <w:style w:type="paragraph" w:styleId="Heading4">
    <w:name w:val="heading 4"/>
    <w:basedOn w:val="Normal"/>
    <w:next w:val="Normal"/>
    <w:link w:val="Heading4Char"/>
    <w:uiPriority w:val="9"/>
    <w:semiHidden/>
    <w:unhideWhenUsed/>
    <w:qFormat/>
    <w:rsid w:val="00FC693F"/>
    <w:pPr>
      <w:keepNext/>
      <w:keepLines/>
      <w:widowControl/>
      <w:spacing w:before="160" w:after="80" w:line="240" w:lineRule="auto"/>
      <w:ind w:firstLine="0"/>
      <w:jc w:val="left"/>
      <w:outlineLvl w:val="3"/>
    </w:pPr>
    <w:rPr>
      <w:rFonts w:asciiTheme="majorHAnsi" w:eastAsiaTheme="majorEastAsia" w:hAnsiTheme="majorHAnsi" w:cstheme="majorBidi" w:ascii="Times New Roman" w:hAnsi="Times New Roman" w:cs="Times New Roman" w:eastAsia="Times New Roman"/>
      <w:b w:val="0"/>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DENSITY FUNCTIONAL THEORY EVALUATION OF VANADIC ACID ZEOLITE Y DEALUMINATION IN RESIDUE FLUID CATALYTIC CRACKING REGENERATOR</dc:title>
  <dc:subject>B.Eng. Chemical Engineering undergraduate research project</dc:subject>
  <dc:creator>Ahmad Usman Shehu</dc:creator>
  <cp:keywords/>
  <dc:description>generated by python-docx</dc:description>
  <cp:lastModifiedBy>Ahmad Usman Shehu</cp:lastModifiedBy>
  <cp:revision>1</cp:revision>
  <dcterms:created xsi:type="dcterms:W3CDTF">2013-12-23T23:15:00Z</dcterms:created>
  <dcterms:modified xsi:type="dcterms:W3CDTF">2013-12-23T23:15:00Z</dcterms:modified>
  <cp:category/>
</cp:coreProperties>
</file>