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1e6a7f26222406be3672dfa33be075003d09c5"/>
    <w:p>
      <w:pPr>
        <w:pStyle w:val="Heading1"/>
      </w:pPr>
      <w:r>
        <w:t xml:space="preserve">TIER 1 CAMPAIGN CENSUS AND CLOUD TIER 2 FEASIBILITY ASSESSMENT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DFT Investigation of the Mechanism of Zeolite Y Deactivation by Vanadium in RFCC Units (Final-Year Thesis, ABU Zaria)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2026-07-29</w:t>
      </w:r>
      <w:r>
        <w:t xml:space="preserve"> </w:t>
      </w:r>
      <w:r>
        <w:rPr>
          <w:b/>
          <w:bCs/>
        </w:rPr>
        <w:t xml:space="preserve">Author</w:t>
      </w:r>
      <w:r>
        <w:t xml:space="preserve">: Verification desk (Arena), from the 37-row calculation register audited over Rounds 1 to 9</w:t>
      </w:r>
      <w:r>
        <w:t xml:space="preserve"> </w:t>
      </w:r>
      <w:r>
        <w:rPr>
          <w:b/>
          <w:bCs/>
        </w:rPr>
        <w:t xml:space="preserve">Context</w:t>
      </w:r>
      <w:r>
        <w:t xml:space="preserve">: User constraint received 2026-07-29: submission window under 3 weeks; cloud submission possible exactly once ("one chance bus"); non-convergence or failed jobs are not affordable.</w:t>
      </w:r>
    </w:p>
    <w:p>
      <w:r>
        <w:pict>
          <v:rect style="width:0;height:1.5pt" o:hralign="center" o:hrstd="t" o:hr="t"/>
        </w:pict>
      </w:r>
    </w:p>
    <w:bookmarkStart w:id="11" w:name="exact-tier-1-census-37-registered-jobs"/>
    <w:p>
      <w:pPr>
        <w:pStyle w:val="Heading2"/>
      </w:pPr>
      <w:r>
        <w:t xml:space="preserve">1. Exact Tier 1 Census (37 registered jobs)</w:t>
      </w:r>
    </w:p>
    <w:p>
      <w:pPr>
        <w:pStyle w:val="FirstParagraph"/>
      </w:pPr>
      <w:r>
        <w:t xml:space="preserve">Every job is in</w:t>
      </w:r>
      <w:r>
        <w:t xml:space="preserve"> </w:t>
      </w:r>
      <w:r>
        <w:rPr>
          <w:rStyle w:val="VerbatimChar"/>
        </w:rPr>
        <w:t xml:space="preserve">calculation_register.csv</w:t>
      </w:r>
      <w:r>
        <w:t xml:space="preserve">; deleted nothing throughout (no-silent-deletion rule). Final adjudicated status per job: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Final 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Job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ACCEPTED, verified minimum (number quoted in thesis)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cluster-T1-V02; h3vo4-T1-V01; h2o-T1-V01; V-R-T1-V02; V-PRC_canonical; V-I1-T1-V01; V-I2-T1-V04; V-P-T1-V01; W-PRC-T1-V02; W-P-T1-V01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ACCEPTED, verified saddle (number quoted in thesis, with A4 qualification)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V-TS2-T1-V05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APPARENT estimate retained and quoted as such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W-TS-T1-V02 (climbing image; W-TS row of Table 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 test that answered its question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V-TS1-T1-V05; V-TS1-T1-V06 (band A sealing); V-TS2-T1-V06; V-TS2-T1-V07 (band B A4); W-TS-T1-V05 (frozen caps); W-TS-T1-V06; W-TS-T1-V07 (band D A4)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BRACKETED closure (quoted as bracket)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V-TS3-T1-V05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FAILED, interpolation artifact, excluded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V-TS1-T1-V01; V-TS2-T1-V01; V-TS3-T1-V01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FAILED, slid off ridge into minimum (method outcome)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V-TS1-T1-V04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 for connectivity after full testing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W-TS-T1-V04 (degenerate proton-shuttle saddle)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SEALED non-elementary: trail rows closing band 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V-TS1-T1-V02; V-TS1-T1-V03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 rows inside the band B refinement that produced the verified saddle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V-TS2-T1-V02; V-TS2-T1-V03; V-TS2-T1-V04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 rows inside the band C refinement that produced the bracket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V-TS3-T1-V02; V-TS3-T1-V03; V-TS3-T1-V04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 row superseded by the rejected refined saddle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W-TS-T1-V03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SUPERSEDED by a better run, kept on record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V-PRC-T1-V01; V-I2-T1-V03; W-TS-T1-V01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9" w:name="X74fdb1e57a3ecf43ddf2343f3ad0cabfd73d334"/>
    <w:p>
      <w:pPr>
        <w:pStyle w:val="Heading3"/>
      </w:pPr>
      <w:r>
        <w:t xml:space="preserve">1.1 The numbers that answer your question directly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Jobs you ran in Tier 1 (registered)</w:t>
      </w:r>
      <w:r>
        <w:t xml:space="preserve">: 37.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Accepted (verified, quoted in the thesis)</w:t>
      </w:r>
      <w:r>
        <w:t xml:space="preserve">: 11 of 37 (ten minima and one saddle). One further job supplies the apparent steam estimate, and one supplies the band C bracket, so 13 of 37 jobs (35 percent) carry numbers that appear in the thesis; all 37 appear in the audit trail that makes those numbers defensible (register, Chapters 3 and 4, memos Rounds 1 to 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Failed or rejected, clearly separated</w:t>
      </w:r>
      <w:r>
        <w:t xml:space="preserve">: 3 interpolation artifacts excluded up front; 1 refinement that slid into a minimum; 1 converged saddle rejected for connectivity (band D). That is 5 of 37 (14 percent) that produced no usable state, and each produced a documented diagnosis instead.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Saddle campaign scoreboard</w:t>
      </w:r>
      <w:r>
        <w:t xml:space="preserve">: 4 steps attacked; 1 verified, 1 bracketed, 1 sealed non-elementary, 1 degenerate. Zero steps left unresolved.</w:t>
      </w:r>
    </w:p>
    <w:bookmarkEnd w:id="9"/>
    <w:bookmarkStart w:id="10" w:name="what-the-14-percent-failure-rate-means"/>
    <w:p>
      <w:pPr>
        <w:pStyle w:val="Heading3"/>
      </w:pPr>
      <w:r>
        <w:t xml:space="preserve">1.2 What the 14 percent failure rate means</w:t>
      </w:r>
    </w:p>
    <w:p>
      <w:pPr>
        <w:pStyle w:val="FirstParagraph"/>
      </w:pPr>
      <w:r>
        <w:t xml:space="preserve">Every failure occurred in the same place: forcing a first-order saddle out of an ultra-flat, multi-event step on a floppy 30-atom semi-empirical surface. Nothing failed in minima optimization, frequency confirmation, or single-point evaluation. This pattern is the single most important fact for cloud design (Section 2).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objective-cloud-forecast-one-chance-bus"/>
    <w:p>
      <w:pPr>
        <w:pStyle w:val="Heading2"/>
      </w:pPr>
      <w:r>
        <w:t xml:space="preserve">2. Objective Cloud Forecast ("One Chance Bus")</w:t>
      </w:r>
    </w:p>
    <w:bookmarkStart w:id="12" w:name="X200ce13223b4b0fee8b7853ed16082c1b3a4676"/>
    <w:p>
      <w:pPr>
        <w:pStyle w:val="Heading3"/>
      </w:pPr>
      <w:r>
        <w:t xml:space="preserve">2.1 What the Tier 1 evidence says about each job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 type</w:t>
            </w:r>
          </w:p>
        </w:tc>
        <w:tc>
          <w:tcPr/>
          <w:p>
            <w:pPr>
              <w:pStyle w:val="Compact"/>
            </w:pPr>
            <w:r>
              <w:t xml:space="preserve">Tier 1 evidence of behavior on this cluster</w:t>
            </w:r>
          </w:p>
        </w:tc>
        <w:tc>
          <w:tcPr/>
          <w:p>
            <w:pPr>
              <w:pStyle w:val="Compact"/>
            </w:pPr>
            <w:r>
              <w:t xml:space="preserve">Failure risk on cloud (objective)</w:t>
            </w:r>
          </w:p>
        </w:tc>
        <w:tc>
          <w:tcPr/>
          <w:p>
            <w:pPr>
              <w:pStyle w:val="Compact"/>
            </w:pPr>
            <w:r>
              <w:t xml:space="preserve">Allowed on the bus?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Single-point (SP) energies at hybrid DFT on EXISTING optimized geometries</w:t>
            </w:r>
          </w:p>
        </w:tc>
        <w:tc>
          <w:tcPr/>
          <w:p>
            <w:pPr>
              <w:pStyle w:val="Compact"/>
            </w:pPr>
            <w:r>
              <w:t xml:space="preserve">All 37 jobs produced final energies without exception; SCF never failed at xTB</w:t>
            </w:r>
          </w:p>
        </w:tc>
        <w:tc>
          <w:tcPr/>
          <w:p>
            <w:pPr>
              <w:pStyle w:val="Compact"/>
            </w:pPr>
            <w:r>
              <w:t xml:space="preserve">Near zero. SCF at hybrid level on a closed-shell 30-atom cluster with V(V) d0 is routine with standard settings; worst case needs damping, which the prepared inputs pre-empt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YES, this is the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 geometry optimizations at hybrid DFT starting from verified xTB minima</w:t>
            </w:r>
          </w:p>
        </w:tc>
        <w:tc>
          <w:tcPr/>
          <w:p>
            <w:pPr>
              <w:pStyle w:val="Compact"/>
            </w:pPr>
            <w:r>
              <w:t xml:space="preserve">Every minimum converged at xTB, often far from its start</w:t>
            </w:r>
          </w:p>
        </w:tc>
        <w:tc>
          <w:tcPr/>
          <w:p>
            <w:pPr>
              <w:pStyle w:val="Compact"/>
            </w:pPr>
            <w:r>
              <w:t xml:space="preserve">Low to moderate: will converge, but on this flat surface may settle into a near-energy conformer tens of kJ/mol off; still useful</w:t>
            </w:r>
          </w:p>
        </w:tc>
        <w:tc>
          <w:tcPr/>
          <w:p>
            <w:pPr>
              <w:pStyle w:val="Compact"/>
            </w:pPr>
            <w:r>
              <w:t xml:space="preserve">Yes, but only AFTER all SP jobs, and never blocking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calculations at hybrid DFT on minima</w:t>
            </w:r>
          </w:p>
        </w:tc>
        <w:tc>
          <w:tcPr/>
          <w:p>
            <w:pPr>
              <w:pStyle w:val="Compact"/>
            </w:pPr>
            <w:r>
              <w:t xml:space="preserve">xTB frequencies completed every time</w:t>
            </w:r>
          </w:p>
        </w:tc>
        <w:tc>
          <w:tcPr/>
          <w:p>
            <w:pPr>
              <w:pStyle w:val="Compact"/>
            </w:pPr>
            <w:r>
              <w:t xml:space="preserve">Low risk mechanically; real cost is wall-time (numerical Hessian is 180 finite displacements for 30 atoms)</w:t>
            </w:r>
          </w:p>
        </w:tc>
        <w:tc>
          <w:tcPr/>
          <w:p>
            <w:pPr>
              <w:pStyle w:val="Compact"/>
            </w:pPr>
            <w:r>
              <w:t xml:space="preserve">Optional last item in the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Transition-state optimizations (OptTS) of bands A, C, D at hybrid DFT</w:t>
            </w:r>
          </w:p>
        </w:tc>
        <w:tc>
          <w:tcPr/>
          <w:p>
            <w:pPr>
              <w:pStyle w:val="Compact"/>
            </w:pPr>
            <w:r>
              <w:t xml:space="preserve">Documented ride-off, degenerate, non-elementary behavior at xTB; converged only 2 of 4 bands after 3 continuation rounds each</w:t>
            </w:r>
          </w:p>
        </w:tc>
        <w:tc>
          <w:tcPr/>
          <w:p>
            <w:pPr>
              <w:pStyle w:val="Compact"/>
            </w:pPr>
            <w:r>
              <w:t xml:space="preserve">High (objectively above 50 percent per step, based on this campaign's own record). A failed OptTS produces nothing quotable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NO. Never put these on the one-chance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OptTS re-verification of the verified V-TS2 at hybrid DFT</w:t>
            </w:r>
          </w:p>
        </w:tc>
        <w:tc>
          <w:tcPr/>
          <w:p>
            <w:pPr>
              <w:pStyle w:val="Compact"/>
            </w:pPr>
            <w:r>
              <w:t xml:space="preserve">The saddle exists and the A4 mode direction is known</w:t>
            </w:r>
          </w:p>
        </w:tc>
        <w:tc>
          <w:tcPr/>
          <w:p>
            <w:pPr>
              <w:pStyle w:val="Compact"/>
            </w:pPr>
            <w:r>
              <w:t xml:space="preserve">Moderate: better odds than bands A/C/D because an exact-mode start is available, but a slide would still leave you empty-handed</w:t>
            </w:r>
          </w:p>
        </w:tc>
        <w:tc>
          <w:tcPr/>
          <w:p>
            <w:pPr>
              <w:pStyle w:val="Compact"/>
            </w:pPr>
            <w:r>
              <w:t xml:space="preserve">Not on the first bus</w:t>
            </w:r>
          </w:p>
        </w:tc>
      </w:tr>
    </w:tbl>
    <w:bookmarkEnd w:id="12"/>
    <w:bookmarkStart w:id="13" w:name="X8de6164a0f49a926186adc950e856bdb2cbc76c"/>
    <w:p>
      <w:pPr>
        <w:pStyle w:val="Heading3"/>
      </w:pPr>
      <w:r>
        <w:t xml:space="preserve">2.2 The recommended bus manifest (SP re-ranking package)</w:t>
      </w:r>
    </w:p>
    <w:p>
      <w:pPr>
        <w:pStyle w:val="FirstParagraph"/>
      </w:pPr>
      <w:r>
        <w:t xml:space="preserve">Purpose: upgrade every headline number of the thesis to hybrid-DFT-quality statements ("re-confirmed at two hybrid levels"), with zero optimization risk. Each job is fully independent; any partial completion still yields an interpretable result, because the queue is ordered by thesis priority.</w:t>
      </w:r>
    </w:p>
    <w:p>
      <w:pPr>
        <w:pStyle w:val="BodyText"/>
      </w:pPr>
      <w:r>
        <w:t xml:space="preserve">Queue order (reverse dependencies impossible; references first because every relative energy needs them):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Structure source (existing file)</w:t>
            </w:r>
          </w:p>
        </w:tc>
        <w:tc>
          <w:tcPr/>
          <w:p>
            <w:pPr>
              <w:pStyle w:val="Compact"/>
            </w:pPr>
            <w:r>
              <w:t xml:space="preserve">Why this slot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cluster SP (B3LYP and PBE0)</w:t>
            </w:r>
          </w:p>
        </w:tc>
        <w:tc>
          <w:tcPr/>
          <w:p>
            <w:pPr>
              <w:pStyle w:val="Compact"/>
            </w:pPr>
            <w:r>
              <w:t xml:space="preserve">01_models/cluster/cluster-T1-V02.xyz</w:t>
            </w:r>
          </w:p>
        </w:tc>
        <w:tc>
          <w:tcPr/>
          <w:p>
            <w:pPr>
              <w:pStyle w:val="Compact"/>
            </w:pPr>
            <w:r>
              <w:t xml:space="preserve">Reference zero of both routes; tiny job, validates settings end to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H3VO4 SP (both levels)</w:t>
            </w:r>
          </w:p>
        </w:tc>
        <w:tc>
          <w:tcPr/>
          <w:p>
            <w:pPr>
              <w:pStyle w:val="Compact"/>
            </w:pPr>
            <w:r>
              <w:t xml:space="preserve">01_models/h3vo4/h3vo4-T1-V01.xyz</w:t>
            </w:r>
          </w:p>
        </w:tc>
        <w:tc>
          <w:tcPr/>
          <w:p>
            <w:pPr>
              <w:pStyle w:val="Compact"/>
            </w:pPr>
            <w:r>
              <w:t xml:space="preserve">Vanadium reference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H2O SP (both levels)</w:t>
            </w:r>
          </w:p>
        </w:tc>
        <w:tc>
          <w:tcPr/>
          <w:p>
            <w:pPr>
              <w:pStyle w:val="Compact"/>
            </w:pPr>
            <w:r>
              <w:t xml:space="preserve">01_models/h2o/h2o-T1-V01.xyz</w:t>
            </w:r>
          </w:p>
        </w:tc>
        <w:tc>
          <w:tcPr/>
          <w:p>
            <w:pPr>
              <w:pStyle w:val="Compact"/>
            </w:pPr>
            <w:r>
              <w:t xml:space="preserve">Water reference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V-PRC SP (both levels)</w:t>
            </w:r>
          </w:p>
        </w:tc>
        <w:tc>
          <w:tcPr/>
          <w:p>
            <w:pPr>
              <w:pStyle w:val="Compact"/>
            </w:pPr>
            <w:r>
              <w:t xml:space="preserve">02_tier1/V-PRC/V-PRC_canonical.xyz</w:t>
            </w:r>
          </w:p>
        </w:tc>
        <w:tc>
          <w:tcPr/>
          <w:p>
            <w:pPr>
              <w:pStyle w:val="Compact"/>
            </w:pPr>
            <w:r>
              <w:t xml:space="preserve">Headline: the 127.31 kJ/mol adsorption preference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W-PRC SP (both levels)</w:t>
            </w:r>
          </w:p>
        </w:tc>
        <w:tc>
          <w:tcPr/>
          <w:p>
            <w:pPr>
              <w:pStyle w:val="Compact"/>
            </w:pPr>
            <w:r>
              <w:t xml:space="preserve">02_tier1/W-PRC/W-PRC-T1-V02.xyz</w:t>
            </w:r>
          </w:p>
        </w:tc>
        <w:tc>
          <w:tcPr/>
          <w:p>
            <w:pPr>
              <w:pStyle w:val="Compact"/>
            </w:pPr>
            <w:r>
              <w:t xml:space="preserve">Same headline, water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V-I1 SP (both levels)</w:t>
            </w:r>
          </w:p>
        </w:tc>
        <w:tc>
          <w:tcPr/>
          <w:p>
            <w:pPr>
              <w:pStyle w:val="Compact"/>
            </w:pPr>
            <w:r>
              <w:t xml:space="preserve">02_tier1/V-I1/V-I1_canonical.xyz</w:t>
            </w:r>
          </w:p>
        </w:tc>
        <w:tc>
          <w:tcPr/>
          <w:p>
            <w:pPr>
              <w:pStyle w:val="Compact"/>
            </w:pPr>
            <w:r>
              <w:t xml:space="preserve">Chemisorption sink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V-TS2 SP (both levels)</w:t>
            </w:r>
          </w:p>
        </w:tc>
        <w:tc>
          <w:tcPr/>
          <w:p>
            <w:pPr>
              <w:pStyle w:val="Compact"/>
            </w:pPr>
            <w:r>
              <w:t xml:space="preserve">02_tier1/V-TS2/optts3_bandB_ci.xyz</w:t>
            </w:r>
          </w:p>
        </w:tc>
        <w:tc>
          <w:tcPr/>
          <w:p>
            <w:pPr>
              <w:pStyle w:val="Compact"/>
            </w:pPr>
            <w:r>
              <w:t xml:space="preserve">Hybrid single-point on the verified saddle: upgrades the +160.70 barrier 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V-I2 SP (both levels)</w:t>
            </w:r>
          </w:p>
        </w:tc>
        <w:tc>
          <w:tcPr/>
          <w:p>
            <w:pPr>
              <w:pStyle w:val="Compact"/>
            </w:pPr>
            <w:r>
              <w:t xml:space="preserve">02_tier1/V-I2/V-I2_canonical.xyz</w:t>
            </w:r>
          </w:p>
        </w:tc>
        <w:tc>
          <w:tcPr/>
          <w:p>
            <w:pPr>
              <w:pStyle w:val="Compact"/>
            </w:pPr>
            <w:r>
              <w:t xml:space="preserve">Barrier needs both wells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V-P SP (both levels)</w:t>
            </w:r>
          </w:p>
        </w:tc>
        <w:tc>
          <w:tcPr/>
          <w:p>
            <w:pPr>
              <w:pStyle w:val="Compact"/>
            </w:pPr>
            <w:r>
              <w:t xml:space="preserve">02_tier1/V-P/V-P_canonical.xyz</w:t>
            </w:r>
          </w:p>
        </w:tc>
        <w:tc>
          <w:tcPr/>
          <w:p>
            <w:pPr>
              <w:pStyle w:val="Compact"/>
            </w:pPr>
            <w:r>
              <w:t xml:space="preserve">Exothermicity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W-P SP (both levels)</w:t>
            </w:r>
          </w:p>
        </w:tc>
        <w:tc>
          <w:tcPr/>
          <w:p>
            <w:pPr>
              <w:pStyle w:val="Compact"/>
            </w:pPr>
            <w:r>
              <w:t xml:space="preserve">02_tier1/W-P/W-P-T1-V01.xyz</w:t>
            </w:r>
          </w:p>
        </w:tc>
        <w:tc>
          <w:tcPr/>
          <w:p>
            <w:pPr>
              <w:pStyle w:val="Compact"/>
            </w:pPr>
            <w:r>
              <w:t xml:space="preserve">Steam step reaction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W-TS CI SP (both levels)</w:t>
            </w:r>
          </w:p>
        </w:tc>
        <w:tc>
          <w:tcPr/>
          <w:p>
            <w:pPr>
              <w:pStyle w:val="Compact"/>
            </w:pPr>
            <w:r>
              <w:t xml:space="preserve">02_tier1/W-TS/neb_ts_bandD_NEB-CI_converged.xyz</w:t>
            </w:r>
          </w:p>
        </w:tc>
        <w:tc>
          <w:tcPr/>
          <w:p>
            <w:pPr>
              <w:pStyle w:val="Compact"/>
            </w:pPr>
            <w:r>
              <w:t xml:space="preserve">Apparent steam estimate at hybrid level (interpreted as apparent, geometry is not a DFT saddle)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V-R SP (both levels)</w:t>
            </w:r>
          </w:p>
        </w:tc>
        <w:tc>
          <w:tcPr/>
          <w:p>
            <w:pPr>
              <w:pStyle w:val="Compact"/>
            </w:pPr>
            <w:r>
              <w:t xml:space="preserve">optional; equals slot 1+2 in the supermolecular sense</w:t>
            </w:r>
          </w:p>
        </w:tc>
        <w:tc>
          <w:tcPr/>
          <w:p>
            <w:pPr>
              <w:pStyle w:val="Compact"/>
            </w:pPr>
            <w:r>
              <w:t xml:space="preserve">Consistency check only</w:t>
            </w:r>
          </w:p>
        </w:tc>
      </w:tr>
    </w:tbl>
    <w:p>
      <w:pPr>
        <w:pStyle w:val="BodyText"/>
      </w:pPr>
      <w:r>
        <w:t xml:space="preserve">Method settings (to be locked into the generated inputs): B3LYP-D3(BJ)/def2-TZVP and PBE0-D3(BJ)/def2-TZVP single points;</w:t>
      </w:r>
      <w:r>
        <w:t xml:space="preserve"> </w:t>
      </w:r>
      <w:r>
        <w:rPr>
          <w:rStyle w:val="VerbatimChar"/>
        </w:rPr>
        <w:t xml:space="preserve">TightSCF</w:t>
      </w:r>
      <w:r>
        <w:t xml:space="preserve">,</w:t>
      </w:r>
      <w:r>
        <w:t xml:space="preserve"> </w:t>
      </w:r>
      <w:r>
        <w:rPr>
          <w:rStyle w:val="VerbatimChar"/>
        </w:rPr>
        <w:t xml:space="preserve">SlowConv</w:t>
      </w:r>
      <w:r>
        <w:t xml:space="preserve"> </w:t>
      </w:r>
      <w:r>
        <w:t xml:space="preserve">fallback pre-armed with</w:t>
      </w:r>
      <w:r>
        <w:t xml:space="preserve"> </w:t>
      </w:r>
      <w:r>
        <w:rPr>
          <w:rStyle w:val="VerbatimChar"/>
        </w:rPr>
        <w:t xml:space="preserve">KDIIS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SOSCF</w:t>
      </w:r>
      <w:r>
        <w:t xml:space="preserve"> </w:t>
      </w:r>
      <w:r>
        <w:t xml:space="preserve">fallback;</w:t>
      </w:r>
      <w:r>
        <w:t xml:space="preserve"> </w:t>
      </w:r>
      <w:r>
        <w:rPr>
          <w:rStyle w:val="VerbatimChar"/>
        </w:rPr>
        <w:t xml:space="preserve">Grid5</w:t>
      </w:r>
      <w:r>
        <w:t xml:space="preserve">/</w:t>
      </w:r>
      <w:r>
        <w:rPr>
          <w:rStyle w:val="VerbatimChar"/>
        </w:rPr>
        <w:t xml:space="preserve">FinalGrid6</w:t>
      </w:r>
      <w:r>
        <w:t xml:space="preserve">; charge 0, multiplicity 1 everywhere (all species are closed-shell singlets at V(V) d0); the def2 ECP on vanadium is applied automatically by ORCA. Expected cost per structure per level: minutes on a modern cloud node; the whole package, both functionals, comfortably inside one submission window including queue time.</w:t>
      </w:r>
    </w:p>
    <w:p>
      <w:pPr>
        <w:pStyle w:val="BodyText"/>
      </w:pPr>
      <w:r>
        <w:t xml:space="preserve">If, and only if, slots 1 to 12 finish inside the window: add minima optimizations (</w:t>
      </w:r>
      <w:r>
        <w:rPr>
          <w:rStyle w:val="VerbatimChar"/>
        </w:rPr>
        <w:t xml:space="preserve">Opt</w:t>
      </w:r>
      <w:r>
        <w:t xml:space="preserve">) at B3LYP-D3(BJ)/def2-SVP for the 10 minima in the same priority order, then frequencies on those optima. Never queue OptTS on this bus.</w:t>
      </w:r>
    </w:p>
    <w:bookmarkEnd w:id="13"/>
    <w:bookmarkStart w:id="14" w:name="what-the-sp-package-will-and-will-not-do"/>
    <w:p>
      <w:pPr>
        <w:pStyle w:val="Heading3"/>
      </w:pPr>
      <w:r>
        <w:t xml:space="preserve">2.3 What the SP package will and will not do</w:t>
      </w:r>
    </w:p>
    <w:p>
      <w:pPr>
        <w:pStyle w:val="FirstParagraph"/>
      </w:pPr>
      <w:r>
        <w:t xml:space="preserve">Will:</w:t>
      </w:r>
      <w:r>
        <w:t xml:space="preserve"> </w:t>
      </w:r>
      <w:r>
        <w:t xml:space="preserve">- Replace "at a second level of theory, we trust this ordering" with measured hybrid-DFT re-ranking for: adsorption preference (127.31), chemisorption sink (188.20), pathway exothermicity (82.90), the verified first-cleavage barrier (160.70 at the saddle geometry), and the steam estimate (65.14, still apparent).</w:t>
      </w:r>
      <w:r>
        <w:t xml:space="preserve"> </w:t>
      </w:r>
      <w:r>
        <w:t xml:space="preserve">- Feed Chapter 5 a clean "robustness across levels" table (xTB vs B3LYP vs PBE0), the strongest defensible claim this thesis can carry without new optimizations.</w:t>
      </w:r>
    </w:p>
    <w:p>
      <w:pPr>
        <w:pStyle w:val="BodyText"/>
      </w:pPr>
      <w:r>
        <w:t xml:space="preserve">Will not:</w:t>
      </w:r>
      <w:r>
        <w:t xml:space="preserve"> </w:t>
      </w:r>
      <w:r>
        <w:t xml:space="preserve">- Produce verified hybrid-DFT barriers (that needs DFT gradient optimization and frequencies, the next bus, not this one).</w:t>
      </w:r>
      <w:r>
        <w:t xml:space="preserve"> </w:t>
      </w:r>
      <w:r>
        <w:t xml:space="preserve">- Resolve bands A, C, D (documented as requiring microstepping or higher-tier sampling; assigned to future work).</w:t>
      </w:r>
    </w:p>
    <w:p>
      <w:pPr>
        <w:pStyle w:val="BodyText"/>
      </w:pPr>
      <w:r>
        <w:t xml:space="preserve">Expected direction of changes (stated honestly so nothing surprises you): cluster-model xTB adsorption values commonly soften at hybrid level, so the adsorption preference is likely to shrink from 127.31; with a margin that size the ORDER (vanadic acid wins the acid site) is safe. Barriers on this class of surface commonly move by tens of kJ/mol with level; the thesis already states this uncertainty range, and the robustness table quantifies it rather than hiding it.</w:t>
      </w:r>
    </w:p>
    <w:bookmarkEnd w:id="14"/>
    <w:bookmarkStart w:id="15" w:name="X5dd57bffa286473aa69c449e3a263e744e22007"/>
    <w:p>
      <w:pPr>
        <w:pStyle w:val="Heading3"/>
      </w:pPr>
      <w:r>
        <w:t xml:space="preserve">2.4 What I need from you to build the package</w:t>
      </w:r>
    </w:p>
    <w:p>
      <w:pPr>
        <w:pStyle w:val="Compact"/>
        <w:numPr>
          <w:ilvl w:val="0"/>
          <w:numId w:val="1002"/>
        </w:numPr>
      </w:pPr>
      <w:r>
        <w:t xml:space="preserve">Cloud provider and instance shape: ORCA version available (must be 6.x for matching keywords), cores per node, walltime limit, and whether jobs are submitted as one batch or separate runs.</w:t>
      </w:r>
    </w:p>
    <w:p>
      <w:pPr>
        <w:pStyle w:val="Compact"/>
        <w:numPr>
          <w:ilvl w:val="0"/>
          <w:numId w:val="1002"/>
        </w:numPr>
      </w:pPr>
      <w:r>
        <w:t xml:space="preserve">Your xyz folder as it stands (the paths in the table, from your offline project), so the generated inputs reference geometry files you actually hold.</w:t>
      </w:r>
    </w:p>
    <w:p>
      <w:pPr>
        <w:pStyle w:val="Compact"/>
        <w:numPr>
          <w:ilvl w:val="0"/>
          <w:numId w:val="1002"/>
        </w:numPr>
      </w:pPr>
      <w:r>
        <w:t xml:space="preserve">One line confirming target: "build the 12-slot SP package" (default unless you object).</w:t>
      </w:r>
    </w:p>
    <w:p>
      <w:pPr>
        <w:pStyle w:val="FirstParagraph"/>
      </w:pPr>
      <w:r>
        <w:t xml:space="preserve">On receipt I generate: 24 ready inputs (12 structures x 2 levels, or combined-functionals per structure if preferred), a batch script, a checksum manifest tying every output to a register row, and an ingestion template so the moment you paste results here, audit and Chapter 5 table production happen in one turn.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the canonical campaign census for the thesis audit trail and may be cited in Chapter Five as the Tier 1 execution record.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2026-07-31T09:30:13Z</dcterms:created>
  <dcterms:modified xsi:type="dcterms:W3CDTF">2026-07-31T09:30:13Z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