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F9B9" w14:textId="77777777" w:rsidR="00766BBC" w:rsidRDefault="00766BBC" w:rsidP="00766BBC"/>
    <w:p w14:paraId="6BE6E893" w14:textId="77777777" w:rsidR="00766BBC" w:rsidRPr="002A57DF" w:rsidRDefault="00766BBC" w:rsidP="00766BBC">
      <w:r w:rsidRPr="00766BBC">
        <w:rPr>
          <w:b/>
          <w:bCs/>
          <w:highlight w:val="green"/>
        </w:rPr>
        <w:t>NORWAY → TICINO</w:t>
      </w:r>
    </w:p>
    <w:p w14:paraId="505A3172" w14:textId="0695271F" w:rsidR="00766BBC" w:rsidRPr="002A57DF" w:rsidRDefault="00766BBC" w:rsidP="00766BBC">
      <w:r w:rsidRPr="002A57DF">
        <w:t>Since 2021, changes in Norwegian taxation of personal wealth and capital income have coincided with increased emigration among some very wealthy Norwegian residents. Switzerlan</w:t>
      </w:r>
      <w:r>
        <w:t xml:space="preserve">d, </w:t>
      </w:r>
      <w:r w:rsidRPr="002A57DF">
        <w:t>and Lugano in particula</w:t>
      </w:r>
      <w:r>
        <w:t xml:space="preserve">r, </w:t>
      </w:r>
      <w:r w:rsidRPr="002A57DF">
        <w:t xml:space="preserve">has appeared in press reports as a destination for entrepreneurs, investors and heirs. The evidence supports examining a potential link between tax policy and relocation, but it does not justify treating taxation as the sole cause or describing all HNWIs as leaving Norway. </w:t>
      </w:r>
    </w:p>
    <w:p w14:paraId="2F27D38F" w14:textId="77777777" w:rsidR="00766BBC" w:rsidRPr="002A57DF" w:rsidRDefault="00766BBC" w:rsidP="00766BBC">
      <w:r w:rsidRPr="002A57DF">
        <w:rPr>
          <w:b/>
          <w:bCs/>
        </w:rPr>
        <w:t>1. Norwegian tax developments relevant to wealthy residents</w:t>
      </w:r>
    </w:p>
    <w:p w14:paraId="25EBD311" w14:textId="77777777" w:rsidR="00766BBC" w:rsidRPr="002A57DF" w:rsidRDefault="00766BBC" w:rsidP="00766BBC">
      <w:r w:rsidRPr="002A57DF">
        <w:rPr>
          <w:b/>
          <w:bCs/>
        </w:rPr>
        <w:t>1.1 Net wealth tax</w:t>
      </w:r>
    </w:p>
    <w:p w14:paraId="630CFCE7" w14:textId="2F748237" w:rsidR="00766BBC" w:rsidRPr="002A57DF" w:rsidRDefault="00766BBC" w:rsidP="00766BBC">
      <w:r w:rsidRPr="002A57DF">
        <w:t>Norway levies an annual tax on an individual’s net wealth. The taxable base generally reflects assets</w:t>
      </w:r>
      <w:r>
        <w:t xml:space="preserve">, </w:t>
      </w:r>
      <w:r w:rsidRPr="002A57DF">
        <w:t>including real estate, bank deposits, shares and business assets</w:t>
      </w:r>
      <w:r>
        <w:t xml:space="preserve">, </w:t>
      </w:r>
      <w:r w:rsidRPr="002A57DF">
        <w:t>less debt and subject to statutory valuation discounts. According to the Norwegian Tax Administration’s published 2026 rates, the municipal component is 0.35% above the threshold, while the state component is 0.65% on taxable net wealth from NOK 1.9 million to NOK 21.5 million and 0.75% above NOK 21.5 million. The combined marginal rate is therefore up to 1.10% for an individual above the upper threshold. Thresholds are doubled for spouses assessed jointly.</w:t>
      </w:r>
    </w:p>
    <w:p w14:paraId="044F1FEF" w14:textId="77777777" w:rsidR="00766BBC" w:rsidRPr="002A57DF" w:rsidRDefault="00766BBC" w:rsidP="00766BBC">
      <w:r w:rsidRPr="002A57DF">
        <w:t>This can matter for owners of closely held businesses. A person may hold a valuable, illiquid shareholding without receiving enough cash income to cover the annual personal tax bill. Depending on the circumstances, the owner may need to use other liquid assets or receive dividends. The key issue is not only the headline rate, but also the relationship between taxable wealth and available liquidity.</w:t>
      </w:r>
    </w:p>
    <w:p w14:paraId="6A88CA85" w14:textId="77777777" w:rsidR="00766BBC" w:rsidRPr="002A57DF" w:rsidRDefault="00766BBC" w:rsidP="00766BBC">
      <w:r w:rsidRPr="002A57DF">
        <w:rPr>
          <w:b/>
          <w:bCs/>
        </w:rPr>
        <w:t>1.2 Taxation of dividends and capital income</w:t>
      </w:r>
    </w:p>
    <w:p w14:paraId="1CCE4116" w14:textId="77777777" w:rsidR="00766BBC" w:rsidRPr="002A57DF" w:rsidRDefault="00766BBC" w:rsidP="00766BBC">
      <w:r w:rsidRPr="002A57DF">
        <w:t>Norway also increased the tax burden on certain capital income, including dividends, through reforms introduced in the early 2020s. For business owners, the interaction between annual wealth taxation and the tax on distributions can affect the after-tax cost of holding and extracting value from a company. These taxes apply to different tax bases and events; their rates should not simply be added together. Any comparison with Switzerland must model the individual’s circumstances, ownership structure, residence status and applicable treaty rules.</w:t>
      </w:r>
    </w:p>
    <w:p w14:paraId="2FA3AAA1" w14:textId="77777777" w:rsidR="00766BBC" w:rsidRPr="002A57DF" w:rsidRDefault="00766BBC" w:rsidP="00766BBC">
      <w:r w:rsidRPr="002A57DF">
        <w:rPr>
          <w:b/>
          <w:bCs/>
        </w:rPr>
        <w:t>1.3 Exit tax</w:t>
      </w:r>
    </w:p>
    <w:p w14:paraId="34D5C0D3" w14:textId="77777777" w:rsidR="00766BBC" w:rsidRPr="002A57DF" w:rsidRDefault="00766BBC" w:rsidP="00766BBC">
      <w:r w:rsidRPr="002A57DF">
        <w:t xml:space="preserve">Norway’s exit tax concerns certain </w:t>
      </w:r>
      <w:proofErr w:type="spellStart"/>
      <w:r w:rsidRPr="002A57DF">
        <w:t>unrealised</w:t>
      </w:r>
      <w:proofErr w:type="spellEnd"/>
      <w:r w:rsidRPr="002A57DF">
        <w:t xml:space="preserve"> gains on financial assets when an individual moves tax residence abroad or transfers relevant assets. It is not a general tax on emigration: it targets gains accrued under the applicable rules while the individual was tax resident in Norway. The rules for transfers and relocations from 20 March 2024 were significantly revised, with further </w:t>
      </w:r>
      <w:r w:rsidRPr="002A57DF">
        <w:lastRenderedPageBreak/>
        <w:t>changes effective in October and November 2024. Under the current rules described by the Norwegian Tax Administration, payment is generally due within 12 years unless the person returns to Norway earlier, subject to detailed conditions. Exit tax can therefore complicate the timing and structuring of a move.</w:t>
      </w:r>
    </w:p>
    <w:p w14:paraId="07532C6F" w14:textId="77777777" w:rsidR="00766BBC" w:rsidRPr="002A57DF" w:rsidRDefault="00766BBC" w:rsidP="00766BBC">
      <w:r w:rsidRPr="002A57DF">
        <w:rPr>
          <w:b/>
          <w:bCs/>
        </w:rPr>
        <w:t>2. Is there evidence of a wealthy-person emigration wave?</w:t>
      </w:r>
    </w:p>
    <w:p w14:paraId="1CDC4045" w14:textId="77777777" w:rsidR="00766BBC" w:rsidRPr="002A57DF" w:rsidRDefault="00766BBC" w:rsidP="00766BBC">
      <w:r w:rsidRPr="002A57DF">
        <w:t>Press coverage in 2023 reported that more than 50 wealthy Norwegians had moved to Switzerland over the preceding 12 months, with combined estimated wealth of approximately CHF 35 billion; Lugano was reported as one of the destinations. These were media-reported estimates, not a comprehensive official series of moves to Ticino, and should be presented as such.</w:t>
      </w:r>
    </w:p>
    <w:p w14:paraId="489A5568" w14:textId="77777777" w:rsidR="00766BBC" w:rsidRPr="002A57DF" w:rsidRDefault="00766BBC" w:rsidP="00766BBC">
      <w:r w:rsidRPr="002A57DF">
        <w:t>A 2026 Norwegian government report provides a more systematic, though selected, dataset. It tracks 3,565 individuals who, in at least one year from 2021 to 2025, had net wealth above NOK 100 million or appeared on a list of Norway’s 400 wealthiest individuals. The figures below show registered departures and arrivals for this group. They are not a count of all HNWIs and do not establish why each person moved</w:t>
      </w:r>
    </w:p>
    <w:p w14:paraId="63CB556A" w14:textId="77777777" w:rsidR="00766BBC" w:rsidRDefault="00766BBC" w:rsidP="00766BBC"/>
    <w:p w14:paraId="0A98AD29" w14:textId="77777777" w:rsidR="00766BBC" w:rsidRPr="000314E7" w:rsidRDefault="00766BBC" w:rsidP="00766BBC">
      <w:r w:rsidRPr="002A57DF">
        <w:rPr>
          <w:noProof/>
        </w:rPr>
        <w:drawing>
          <wp:inline distT="0" distB="0" distL="0" distR="0" wp14:anchorId="09314F55" wp14:editId="43BD14E5">
            <wp:extent cx="6248400" cy="3830541"/>
            <wp:effectExtent l="0" t="0" r="0" b="0"/>
            <wp:docPr id="112702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4029" name=""/>
                    <pic:cNvPicPr/>
                  </pic:nvPicPr>
                  <pic:blipFill>
                    <a:blip r:embed="rId4"/>
                    <a:stretch>
                      <a:fillRect/>
                    </a:stretch>
                  </pic:blipFill>
                  <pic:spPr>
                    <a:xfrm>
                      <a:off x="0" y="0"/>
                      <a:ext cx="6258873" cy="3836961"/>
                    </a:xfrm>
                    <a:prstGeom prst="rect">
                      <a:avLst/>
                    </a:prstGeom>
                  </pic:spPr>
                </pic:pic>
              </a:graphicData>
            </a:graphic>
          </wp:inline>
        </w:drawing>
      </w:r>
    </w:p>
    <w:p w14:paraId="1E37B5B8" w14:textId="77777777" w:rsidR="00766BBC" w:rsidRPr="002A57DF" w:rsidRDefault="00766BBC" w:rsidP="00766BBC">
      <w:r w:rsidRPr="002A57DF">
        <w:t xml:space="preserve">Departures rose from 16 in 2021 to 46 in both 2022 and 2023, before falling to 16 in 2024 and 17 in 2025. Arrivals in the same selected group were 14, 10, 8, 5 and 9, respectively. This pattern is </w:t>
      </w:r>
      <w:r w:rsidRPr="002A57DF">
        <w:lastRenderedPageBreak/>
        <w:t xml:space="preserve">consistent with a concentrated increase in departures in 2022–2023, rather than a continuously rising trend. It should not be interpreted as proof that tax changes caused every move. An October 2026 discussion paper using Norwegian data similarly finds that migration responses to the reforms were concentrated among the top 0.1% of the wealth distribution and mostly in 2022–2023; it estimates at most 100 reform-induced departures. This is a working </w:t>
      </w:r>
      <w:proofErr w:type="gramStart"/>
      <w:r w:rsidRPr="002A57DF">
        <w:t>paper</w:t>
      </w:r>
      <w:proofErr w:type="gramEnd"/>
      <w:r w:rsidRPr="002A57DF">
        <w:t xml:space="preserve"> and its findings should be attributed to its authors.</w:t>
      </w:r>
    </w:p>
    <w:p w14:paraId="54486E57" w14:textId="77777777" w:rsidR="00766BBC" w:rsidRDefault="00766BBC" w:rsidP="00766BBC">
      <w:pPr>
        <w:rPr>
          <w:b/>
          <w:bCs/>
        </w:rPr>
      </w:pPr>
    </w:p>
    <w:p w14:paraId="5A4313AE" w14:textId="23B43B02" w:rsidR="00766BBC" w:rsidRPr="002A57DF" w:rsidRDefault="00766BBC" w:rsidP="00766BBC">
      <w:r w:rsidRPr="002A57DF">
        <w:rPr>
          <w:b/>
          <w:bCs/>
        </w:rPr>
        <w:t>3. Why Ticino may appeal to Norwegian HNWIs</w:t>
      </w:r>
    </w:p>
    <w:p w14:paraId="5A56F11F" w14:textId="77777777" w:rsidR="00766BBC" w:rsidRPr="002A57DF" w:rsidRDefault="00766BBC" w:rsidP="00766BBC">
      <w:r w:rsidRPr="002A57DF">
        <w:rPr>
          <w:b/>
          <w:bCs/>
        </w:rPr>
        <w:t>Tax and wealth planning</w:t>
      </w:r>
    </w:p>
    <w:p w14:paraId="546D1637" w14:textId="77777777" w:rsidR="00766BBC" w:rsidRPr="002A57DF" w:rsidRDefault="00766BBC" w:rsidP="00766BBC">
      <w:r w:rsidRPr="002A57DF">
        <w:t>Switzerland has a different tax framework, and qualifying foreign residents may in some circumstances be eligible for expenditure-based taxation. Eligibility is conditional and canton-specific; it is not automatic and should not be assumed to apply to every wealthy migrant.</w:t>
      </w:r>
    </w:p>
    <w:p w14:paraId="77FA21A8" w14:textId="77777777" w:rsidR="00766BBC" w:rsidRPr="002A57DF" w:rsidRDefault="00766BBC" w:rsidP="00766BBC">
      <w:r w:rsidRPr="002A57DF">
        <w:rPr>
          <w:b/>
          <w:bCs/>
        </w:rPr>
        <w:t>Quality of life</w:t>
      </w:r>
    </w:p>
    <w:p w14:paraId="51EA1687" w14:textId="77777777" w:rsidR="00766BBC" w:rsidRPr="002A57DF" w:rsidRDefault="00766BBC" w:rsidP="00766BBC">
      <w:r w:rsidRPr="002A57DF">
        <w:t>Lakes, mountains, a relatively mild climate and outdoor activities may matter to families choosing a long-term residence. Their importance should be substantiated through interviews or direct statements, rather than inferred from residence alone.</w:t>
      </w:r>
    </w:p>
    <w:p w14:paraId="1C6F137C" w14:textId="77777777" w:rsidR="00766BBC" w:rsidRPr="002A57DF" w:rsidRDefault="00766BBC" w:rsidP="00766BBC">
      <w:r w:rsidRPr="002A57DF">
        <w:rPr>
          <w:b/>
          <w:bCs/>
        </w:rPr>
        <w:t>Geographic connectivity</w:t>
      </w:r>
    </w:p>
    <w:p w14:paraId="6C4B38BD" w14:textId="77777777" w:rsidR="00766BBC" w:rsidRPr="002A57DF" w:rsidRDefault="00766BBC" w:rsidP="00766BBC">
      <w:r w:rsidRPr="002A57DF">
        <w:t>Lugano offers access to Milan and wider European markets. Røkke’s public explanation of his move highlighted Lugano’s central European location, suggesting that business connectivity can form part of the destination’s value proposition.</w:t>
      </w:r>
    </w:p>
    <w:p w14:paraId="1CCC8972" w14:textId="77777777" w:rsidR="00766BBC" w:rsidRPr="002A57DF" w:rsidRDefault="00766BBC" w:rsidP="00766BBC">
      <w:r w:rsidRPr="002A57DF">
        <w:rPr>
          <w:b/>
          <w:bCs/>
        </w:rPr>
        <w:t>Institutional stability and security</w:t>
      </w:r>
    </w:p>
    <w:p w14:paraId="6DC1ABB5" w14:textId="77777777" w:rsidR="00766BBC" w:rsidRPr="002A57DF" w:rsidRDefault="00766BBC" w:rsidP="00766BBC">
      <w:r w:rsidRPr="002A57DF">
        <w:t>Legal certainty, personal security and a stable environment can be relevant to families relocating both residence and wealth. The project should distinguish general advantages from motivations explicitly stated by individual movers.</w:t>
      </w:r>
    </w:p>
    <w:p w14:paraId="39E54207" w14:textId="77777777" w:rsidR="00766BBC" w:rsidRPr="002A57DF" w:rsidRDefault="00766BBC" w:rsidP="00766BBC">
      <w:r w:rsidRPr="002A57DF">
        <w:rPr>
          <w:b/>
          <w:bCs/>
        </w:rPr>
        <w:t>Wealth-management and professional ecosystem</w:t>
      </w:r>
    </w:p>
    <w:p w14:paraId="2B22E960" w14:textId="77777777" w:rsidR="00766BBC" w:rsidRPr="002A57DF" w:rsidRDefault="00766BBC" w:rsidP="00766BBC">
      <w:r w:rsidRPr="002A57DF">
        <w:t xml:space="preserve">Private banks, asset managers, fiduciaries, lawyers, tax advisers and relocation specialists can help new residents </w:t>
      </w:r>
      <w:proofErr w:type="spellStart"/>
      <w:r w:rsidRPr="002A57DF">
        <w:t>organise</w:t>
      </w:r>
      <w:proofErr w:type="spellEnd"/>
      <w:r w:rsidRPr="002A57DF">
        <w:t xml:space="preserve"> financial affairs and settle locally. For UBS, this raises questions about referral networks, onboarding needs and long-term client retention.</w:t>
      </w:r>
    </w:p>
    <w:p w14:paraId="755FD1C0" w14:textId="77777777" w:rsidR="00766BBC" w:rsidRPr="002A57DF" w:rsidRDefault="00766BBC" w:rsidP="00766BBC">
      <w:r w:rsidRPr="002A57DF">
        <w:rPr>
          <w:b/>
          <w:bCs/>
        </w:rPr>
        <w:t>Housing and family settlement</w:t>
      </w:r>
    </w:p>
    <w:p w14:paraId="77FEB6B2" w14:textId="77777777" w:rsidR="00766BBC" w:rsidRPr="002A57DF" w:rsidRDefault="00766BBC" w:rsidP="00766BBC">
      <w:r w:rsidRPr="002A57DF">
        <w:t xml:space="preserve">Suitable housing, privacy, schools and family services can influence the practical feasibility of relocation. Housing costs and availability may also be constraints. Interviews with </w:t>
      </w:r>
      <w:proofErr w:type="gramStart"/>
      <w:r w:rsidRPr="002A57DF">
        <w:t>real-estate</w:t>
      </w:r>
      <w:proofErr w:type="gramEnd"/>
      <w:r w:rsidRPr="002A57DF">
        <w:t xml:space="preserve"> and relocation professionals can help establish their importance.</w:t>
      </w:r>
    </w:p>
    <w:p w14:paraId="01B3C5ED" w14:textId="77777777" w:rsidR="00766BBC" w:rsidRPr="002A57DF" w:rsidRDefault="00766BBC" w:rsidP="00766BBC">
      <w:r w:rsidRPr="002A57DF">
        <w:rPr>
          <w:b/>
          <w:bCs/>
        </w:rPr>
        <w:lastRenderedPageBreak/>
        <w:t>4. Why Norway may be less attractive to some large-wealth owners</w:t>
      </w:r>
    </w:p>
    <w:p w14:paraId="68BCC0EE" w14:textId="77777777" w:rsidR="00766BBC" w:rsidRPr="002A57DF" w:rsidRDefault="00766BBC" w:rsidP="00766BBC">
      <w:r w:rsidRPr="002A57DF">
        <w:t xml:space="preserve">The evidence does not support the broad claim that Norway has become unattractive to all HNWIs. Norway remains a high-income country with established institutions and a high quality of life. A more precise hypothesis is that some owners of substantial business wealth may find continued Norwegian tax residence less attractive because of the interaction between annual wealth tax, tax on dividends and the treatment of </w:t>
      </w:r>
      <w:proofErr w:type="spellStart"/>
      <w:r w:rsidRPr="002A57DF">
        <w:t>unrealised</w:t>
      </w:r>
      <w:proofErr w:type="spellEnd"/>
      <w:r w:rsidRPr="002A57DF">
        <w:t xml:space="preserve"> gains on departure.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318"/>
        <w:gridCol w:w="3323"/>
        <w:gridCol w:w="3325"/>
      </w:tblGrid>
      <w:tr w:rsidR="00766BBC" w:rsidRPr="002A57DF" w14:paraId="55626081" w14:textId="77777777" w:rsidTr="00C75FBB">
        <w:tc>
          <w:tcPr>
            <w:tcW w:w="3360" w:type="dxa"/>
            <w:tcBorders>
              <w:top w:val="single" w:sz="8" w:space="0" w:color="auto"/>
              <w:left w:val="single" w:sz="2" w:space="0" w:color="auto"/>
              <w:bottom w:val="single" w:sz="8" w:space="0" w:color="auto"/>
              <w:right w:val="single" w:sz="2" w:space="0" w:color="auto"/>
            </w:tcBorders>
            <w:hideMark/>
          </w:tcPr>
          <w:p w14:paraId="2C424E45" w14:textId="77777777" w:rsidR="00766BBC" w:rsidRPr="002A57DF" w:rsidRDefault="00766BBC" w:rsidP="00C75FBB">
            <w:r w:rsidRPr="002A57DF">
              <w:t>Factor</w:t>
            </w:r>
          </w:p>
        </w:tc>
        <w:tc>
          <w:tcPr>
            <w:tcW w:w="3360" w:type="dxa"/>
            <w:tcBorders>
              <w:top w:val="single" w:sz="8" w:space="0" w:color="auto"/>
              <w:left w:val="single" w:sz="2" w:space="0" w:color="auto"/>
              <w:bottom w:val="single" w:sz="8" w:space="0" w:color="auto"/>
              <w:right w:val="single" w:sz="2" w:space="0" w:color="auto"/>
            </w:tcBorders>
            <w:hideMark/>
          </w:tcPr>
          <w:p w14:paraId="06C17573" w14:textId="77777777" w:rsidR="00766BBC" w:rsidRPr="002A57DF" w:rsidRDefault="00766BBC" w:rsidP="00C75FBB">
            <w:r w:rsidRPr="002A57DF">
              <w:t>Potential relevance to an HNWI</w:t>
            </w:r>
          </w:p>
        </w:tc>
        <w:tc>
          <w:tcPr>
            <w:tcW w:w="3360" w:type="dxa"/>
            <w:tcBorders>
              <w:top w:val="single" w:sz="8" w:space="0" w:color="auto"/>
              <w:left w:val="single" w:sz="2" w:space="0" w:color="auto"/>
              <w:bottom w:val="single" w:sz="8" w:space="0" w:color="auto"/>
              <w:right w:val="single" w:sz="2" w:space="0" w:color="auto"/>
            </w:tcBorders>
            <w:hideMark/>
          </w:tcPr>
          <w:p w14:paraId="46C38216" w14:textId="77777777" w:rsidR="00766BBC" w:rsidRPr="002A57DF" w:rsidRDefault="00766BBC" w:rsidP="00C75FBB">
            <w:r w:rsidRPr="002A57DF">
              <w:t>Evidence needed</w:t>
            </w:r>
          </w:p>
        </w:tc>
      </w:tr>
      <w:tr w:rsidR="00766BBC" w:rsidRPr="002A57DF" w14:paraId="02FAD0EB" w14:textId="77777777" w:rsidTr="00C75FBB">
        <w:tc>
          <w:tcPr>
            <w:tcW w:w="3360" w:type="dxa"/>
            <w:tcBorders>
              <w:top w:val="single" w:sz="8" w:space="0" w:color="auto"/>
              <w:left w:val="single" w:sz="2" w:space="0" w:color="auto"/>
              <w:bottom w:val="single" w:sz="8" w:space="0" w:color="auto"/>
              <w:right w:val="single" w:sz="2" w:space="0" w:color="auto"/>
            </w:tcBorders>
            <w:hideMark/>
          </w:tcPr>
          <w:p w14:paraId="3A1D1EE3" w14:textId="77777777" w:rsidR="00766BBC" w:rsidRPr="002A57DF" w:rsidRDefault="00766BBC" w:rsidP="00C75FBB">
            <w:r w:rsidRPr="002A57DF">
              <w:t>Annual net wealth tax</w:t>
            </w:r>
          </w:p>
        </w:tc>
        <w:tc>
          <w:tcPr>
            <w:tcW w:w="3360" w:type="dxa"/>
            <w:tcBorders>
              <w:top w:val="single" w:sz="8" w:space="0" w:color="auto"/>
              <w:left w:val="single" w:sz="2" w:space="0" w:color="auto"/>
              <w:bottom w:val="single" w:sz="8" w:space="0" w:color="auto"/>
              <w:right w:val="single" w:sz="2" w:space="0" w:color="auto"/>
            </w:tcBorders>
            <w:hideMark/>
          </w:tcPr>
          <w:p w14:paraId="0A36C522" w14:textId="77777777" w:rsidR="00766BBC" w:rsidRPr="002A57DF" w:rsidRDefault="00766BBC" w:rsidP="00C75FBB">
            <w:r w:rsidRPr="002A57DF">
              <w:t>Recurring tax even when assets are not sold or produce limited cash income.</w:t>
            </w:r>
          </w:p>
        </w:tc>
        <w:tc>
          <w:tcPr>
            <w:tcW w:w="3360" w:type="dxa"/>
            <w:tcBorders>
              <w:top w:val="single" w:sz="8" w:space="0" w:color="auto"/>
              <w:left w:val="single" w:sz="2" w:space="0" w:color="auto"/>
              <w:bottom w:val="single" w:sz="8" w:space="0" w:color="auto"/>
              <w:right w:val="single" w:sz="2" w:space="0" w:color="auto"/>
            </w:tcBorders>
            <w:hideMark/>
          </w:tcPr>
          <w:p w14:paraId="72355495" w14:textId="77777777" w:rsidR="00766BBC" w:rsidRPr="002A57DF" w:rsidRDefault="00766BBC" w:rsidP="00C75FBB">
            <w:r w:rsidRPr="002A57DF">
              <w:t>Rates, thresholds, valuation discounts and individual examples.</w:t>
            </w:r>
          </w:p>
        </w:tc>
      </w:tr>
      <w:tr w:rsidR="00766BBC" w:rsidRPr="002A57DF" w14:paraId="1C8B2DBB" w14:textId="77777777" w:rsidTr="00C75FBB">
        <w:tc>
          <w:tcPr>
            <w:tcW w:w="3360" w:type="dxa"/>
            <w:tcBorders>
              <w:top w:val="single" w:sz="8" w:space="0" w:color="auto"/>
              <w:left w:val="single" w:sz="2" w:space="0" w:color="auto"/>
              <w:bottom w:val="single" w:sz="8" w:space="0" w:color="auto"/>
              <w:right w:val="single" w:sz="2" w:space="0" w:color="auto"/>
            </w:tcBorders>
            <w:hideMark/>
          </w:tcPr>
          <w:p w14:paraId="6B2D735A" w14:textId="77777777" w:rsidR="00766BBC" w:rsidRPr="002A57DF" w:rsidRDefault="00766BBC" w:rsidP="00C75FBB">
            <w:r w:rsidRPr="002A57DF">
              <w:t>Dividend and capital-income taxation</w:t>
            </w:r>
          </w:p>
        </w:tc>
        <w:tc>
          <w:tcPr>
            <w:tcW w:w="3360" w:type="dxa"/>
            <w:tcBorders>
              <w:top w:val="single" w:sz="8" w:space="0" w:color="auto"/>
              <w:left w:val="single" w:sz="2" w:space="0" w:color="auto"/>
              <w:bottom w:val="single" w:sz="8" w:space="0" w:color="auto"/>
              <w:right w:val="single" w:sz="2" w:space="0" w:color="auto"/>
            </w:tcBorders>
            <w:hideMark/>
          </w:tcPr>
          <w:p w14:paraId="49AF3570" w14:textId="77777777" w:rsidR="00766BBC" w:rsidRPr="002A57DF" w:rsidRDefault="00766BBC" w:rsidP="00C75FBB">
            <w:r w:rsidRPr="002A57DF">
              <w:t>May increase the after-tax cost of extracting income from a privately held business.</w:t>
            </w:r>
          </w:p>
        </w:tc>
        <w:tc>
          <w:tcPr>
            <w:tcW w:w="3360" w:type="dxa"/>
            <w:tcBorders>
              <w:top w:val="single" w:sz="8" w:space="0" w:color="auto"/>
              <w:left w:val="single" w:sz="2" w:space="0" w:color="auto"/>
              <w:bottom w:val="single" w:sz="8" w:space="0" w:color="auto"/>
              <w:right w:val="single" w:sz="2" w:space="0" w:color="auto"/>
            </w:tcBorders>
            <w:hideMark/>
          </w:tcPr>
          <w:p w14:paraId="61A1F043" w14:textId="77777777" w:rsidR="00766BBC" w:rsidRPr="002A57DF" w:rsidRDefault="00766BBC" w:rsidP="00C75FBB">
            <w:r w:rsidRPr="002A57DF">
              <w:t>Effective tax calculations by ownership structure and income type.</w:t>
            </w:r>
          </w:p>
        </w:tc>
      </w:tr>
      <w:tr w:rsidR="00766BBC" w:rsidRPr="002A57DF" w14:paraId="23FD2B15" w14:textId="77777777" w:rsidTr="00C75FBB">
        <w:tc>
          <w:tcPr>
            <w:tcW w:w="3360" w:type="dxa"/>
            <w:tcBorders>
              <w:top w:val="single" w:sz="8" w:space="0" w:color="auto"/>
              <w:left w:val="single" w:sz="2" w:space="0" w:color="auto"/>
              <w:bottom w:val="single" w:sz="8" w:space="0" w:color="auto"/>
              <w:right w:val="single" w:sz="2" w:space="0" w:color="auto"/>
            </w:tcBorders>
            <w:hideMark/>
          </w:tcPr>
          <w:p w14:paraId="22662E49" w14:textId="77777777" w:rsidR="00766BBC" w:rsidRPr="002A57DF" w:rsidRDefault="00766BBC" w:rsidP="00C75FBB">
            <w:r w:rsidRPr="002A57DF">
              <w:t>Exit tax</w:t>
            </w:r>
          </w:p>
        </w:tc>
        <w:tc>
          <w:tcPr>
            <w:tcW w:w="3360" w:type="dxa"/>
            <w:tcBorders>
              <w:top w:val="single" w:sz="8" w:space="0" w:color="auto"/>
              <w:left w:val="single" w:sz="2" w:space="0" w:color="auto"/>
              <w:bottom w:val="single" w:sz="8" w:space="0" w:color="auto"/>
              <w:right w:val="single" w:sz="2" w:space="0" w:color="auto"/>
            </w:tcBorders>
            <w:hideMark/>
          </w:tcPr>
          <w:p w14:paraId="450A67B5" w14:textId="77777777" w:rsidR="00766BBC" w:rsidRPr="002A57DF" w:rsidRDefault="00766BBC" w:rsidP="00C75FBB">
            <w:r w:rsidRPr="002A57DF">
              <w:t xml:space="preserve">May affect timing and structure of relocation where financial assets have </w:t>
            </w:r>
            <w:proofErr w:type="spellStart"/>
            <w:r w:rsidRPr="002A57DF">
              <w:t>unrealised</w:t>
            </w:r>
            <w:proofErr w:type="spellEnd"/>
            <w:r w:rsidRPr="002A57DF">
              <w:t xml:space="preserve"> gains.</w:t>
            </w:r>
          </w:p>
        </w:tc>
        <w:tc>
          <w:tcPr>
            <w:tcW w:w="3360" w:type="dxa"/>
            <w:tcBorders>
              <w:top w:val="single" w:sz="8" w:space="0" w:color="auto"/>
              <w:left w:val="single" w:sz="2" w:space="0" w:color="auto"/>
              <w:bottom w:val="single" w:sz="8" w:space="0" w:color="auto"/>
              <w:right w:val="single" w:sz="2" w:space="0" w:color="auto"/>
            </w:tcBorders>
            <w:hideMark/>
          </w:tcPr>
          <w:p w14:paraId="3B3965A4" w14:textId="77777777" w:rsidR="00766BBC" w:rsidRPr="002A57DF" w:rsidRDefault="00766BBC" w:rsidP="00C75FBB">
            <w:r w:rsidRPr="002A57DF">
              <w:t>Rules applicable to the person, asset type and departure date.</w:t>
            </w:r>
          </w:p>
        </w:tc>
      </w:tr>
      <w:tr w:rsidR="00766BBC" w:rsidRPr="002A57DF" w14:paraId="44455E6A" w14:textId="77777777" w:rsidTr="00C75FBB">
        <w:tc>
          <w:tcPr>
            <w:tcW w:w="3360" w:type="dxa"/>
            <w:tcBorders>
              <w:top w:val="single" w:sz="8" w:space="0" w:color="auto"/>
              <w:left w:val="single" w:sz="2" w:space="0" w:color="auto"/>
              <w:bottom w:val="single" w:sz="8" w:space="0" w:color="auto"/>
              <w:right w:val="single" w:sz="2" w:space="0" w:color="auto"/>
            </w:tcBorders>
            <w:hideMark/>
          </w:tcPr>
          <w:p w14:paraId="426A8AB0" w14:textId="77777777" w:rsidR="00766BBC" w:rsidRPr="002A57DF" w:rsidRDefault="00766BBC" w:rsidP="00C75FBB">
            <w:r w:rsidRPr="002A57DF">
              <w:t>Long-term tax planning</w:t>
            </w:r>
          </w:p>
        </w:tc>
        <w:tc>
          <w:tcPr>
            <w:tcW w:w="3360" w:type="dxa"/>
            <w:tcBorders>
              <w:top w:val="single" w:sz="8" w:space="0" w:color="auto"/>
              <w:left w:val="single" w:sz="2" w:space="0" w:color="auto"/>
              <w:bottom w:val="single" w:sz="8" w:space="0" w:color="auto"/>
              <w:right w:val="single" w:sz="2" w:space="0" w:color="auto"/>
            </w:tcBorders>
            <w:hideMark/>
          </w:tcPr>
          <w:p w14:paraId="0C575569" w14:textId="77777777" w:rsidR="00766BBC" w:rsidRPr="002A57DF" w:rsidRDefault="00766BBC" w:rsidP="00C75FBB">
            <w:r w:rsidRPr="002A57DF">
              <w:t>Policy changes or uncertainty may enter residence decisions.</w:t>
            </w:r>
          </w:p>
        </w:tc>
        <w:tc>
          <w:tcPr>
            <w:tcW w:w="3360" w:type="dxa"/>
            <w:tcBorders>
              <w:top w:val="single" w:sz="8" w:space="0" w:color="auto"/>
              <w:left w:val="single" w:sz="2" w:space="0" w:color="auto"/>
              <w:bottom w:val="single" w:sz="8" w:space="0" w:color="auto"/>
              <w:right w:val="single" w:sz="2" w:space="0" w:color="auto"/>
            </w:tcBorders>
            <w:hideMark/>
          </w:tcPr>
          <w:p w14:paraId="0D745DF6" w14:textId="77777777" w:rsidR="00766BBC" w:rsidRPr="002A57DF" w:rsidRDefault="00766BBC" w:rsidP="00C75FBB">
            <w:r w:rsidRPr="002A57DF">
              <w:t>Direct testimony from movers, tax advisers and private bankers.</w:t>
            </w:r>
          </w:p>
        </w:tc>
      </w:tr>
    </w:tbl>
    <w:p w14:paraId="3443DD41" w14:textId="77777777" w:rsidR="00766BBC" w:rsidRPr="002A57DF" w:rsidRDefault="00766BBC" w:rsidP="00766BBC">
      <w:r w:rsidRPr="002A57DF">
        <w:rPr>
          <w:b/>
          <w:bCs/>
        </w:rPr>
        <w:t>5. Illustrative relocation cases</w:t>
      </w:r>
    </w:p>
    <w:p w14:paraId="2A8BCACD" w14:textId="77777777" w:rsidR="00766BBC" w:rsidRPr="002A57DF" w:rsidRDefault="00766BBC" w:rsidP="00766BBC">
      <w:r w:rsidRPr="002A57DF">
        <w:rPr>
          <w:b/>
          <w:bCs/>
        </w:rPr>
        <w:t>Kjell Inge Røkke — entrepreneur and investor</w:t>
      </w:r>
    </w:p>
    <w:p w14:paraId="3F6BE18D" w14:textId="77777777" w:rsidR="00766BBC" w:rsidRPr="002A57DF" w:rsidRDefault="00766BBC" w:rsidP="00766BBC">
      <w:r w:rsidRPr="002A57DF">
        <w:rPr>
          <w:b/>
          <w:bCs/>
        </w:rPr>
        <w:t>Ninja Tollefsen — real-estate heir</w:t>
      </w:r>
    </w:p>
    <w:p w14:paraId="28B8B345" w14:textId="77777777" w:rsidR="00766BBC" w:rsidRPr="002A57DF" w:rsidRDefault="00766BBC" w:rsidP="00766BBC">
      <w:r w:rsidRPr="002A57DF">
        <w:t>Ninja Tollefsen, daughter of Norwegian real-estate investor Ivar Tollefsen, was reported to have moved to Lugano in late 2022. Press coverage described her as an heir to a substantial European residential property business. Her case adds a different wealth profile: an heir with exposure to real estate, rather than an entrepreneur whose wealth was primarily built through an operating company. The reports establish the reported relocation but do not provide a first-hand statement of her personal reasons.</w:t>
      </w:r>
    </w:p>
    <w:p w14:paraId="50C217C3" w14:textId="77777777" w:rsidR="00766BBC" w:rsidRPr="002A57DF" w:rsidRDefault="00766BBC" w:rsidP="00766BBC">
      <w:r w:rsidRPr="002A57DF">
        <w:rPr>
          <w:b/>
          <w:bCs/>
        </w:rPr>
        <w:t>Jørgen Dahl — entrepreneur and founder of Sector Alarm</w:t>
      </w:r>
    </w:p>
    <w:p w14:paraId="4116686F" w14:textId="77777777" w:rsidR="00766BBC" w:rsidRPr="002A57DF" w:rsidRDefault="00766BBC" w:rsidP="00766BBC">
      <w:r w:rsidRPr="002A57DF">
        <w:lastRenderedPageBreak/>
        <w:t>Jørgen Dahl, associated with the founding and growth of the Norwegian home-security company Sector Alarm, was reported to have registered his move to Lugano in November 2022. His wealth was linked to building a large operating business. As with the other cases, this is evidence of a reported relocation, not proof that a specific tax factor was the sole cause.</w:t>
      </w:r>
    </w:p>
    <w:p w14:paraId="624AF869" w14:textId="77777777" w:rsidR="00766BBC" w:rsidRPr="002A57DF" w:rsidRDefault="00766BBC" w:rsidP="00766BBC">
      <w:r w:rsidRPr="002A57DF">
        <w:rPr>
          <w:b/>
          <w:bCs/>
        </w:rPr>
        <w:t>Sources and notes</w:t>
      </w:r>
    </w:p>
    <w:p w14:paraId="7128B3FA" w14:textId="77777777" w:rsidR="00766BBC" w:rsidRPr="002A57DF" w:rsidRDefault="00766BBC" w:rsidP="00766BBC">
      <w:r w:rsidRPr="002A57DF">
        <w:t xml:space="preserve">Norwegian Tax Administration, “Net wealth tax and valuation discounts” (2026 </w:t>
      </w:r>
      <w:proofErr w:type="spellStart"/>
      <w:r w:rsidRPr="002A57DF">
        <w:t>rates</w:t>
      </w:r>
      <w:proofErr w:type="spellEnd"/>
      <w:r w:rsidRPr="002A57DF">
        <w:t>): https://www.skatteetaten.no/en/rates/wealth-tax/</w:t>
      </w:r>
    </w:p>
    <w:p w14:paraId="418D63DF" w14:textId="77777777" w:rsidR="00766BBC" w:rsidRPr="002A57DF" w:rsidRDefault="00766BBC" w:rsidP="00766BBC">
      <w:r w:rsidRPr="002A57DF">
        <w:t>Norwegian Tax Administration, “Exit tax”: https://www.skatteetaten.no/en/person/to-from-norway/from/tax-when-you-move-abroad/exit-tax/</w:t>
      </w:r>
    </w:p>
    <w:p w14:paraId="683D4B22" w14:textId="77777777" w:rsidR="00766BBC" w:rsidRPr="002A57DF" w:rsidRDefault="00766BBC" w:rsidP="00766BBC">
      <w:r w:rsidRPr="002A57DF">
        <w:t>Norwegian Government, NOU 2026:9, section 3.7.3 (official selected-group migration counts): https://www.regjeringen.no/no/dokumenter/nou-2026-9/id3167167/?ch=4</w:t>
      </w:r>
    </w:p>
    <w:p w14:paraId="1278517D" w14:textId="77777777" w:rsidR="00766BBC" w:rsidRPr="002A57DF" w:rsidRDefault="00766BBC" w:rsidP="00766BBC">
      <w:r w:rsidRPr="002A57DF">
        <w:t xml:space="preserve">Ring, Marius (October 2026), “Taxing Entrepreneurial Wealth: Evidence </w:t>
      </w:r>
      <w:proofErr w:type="gramStart"/>
      <w:r w:rsidRPr="002A57DF">
        <w:t>From</w:t>
      </w:r>
      <w:proofErr w:type="gramEnd"/>
      <w:r w:rsidRPr="002A57DF">
        <w:t xml:space="preserve"> Norway, 2021–2025,” Cowles Foundation Discussion Paper 2563: https://cowles.yale.edu/research/cfdp-2563-taxing-entrepreneurial-wealth-evidence-norway-2021-2025</w:t>
      </w:r>
    </w:p>
    <w:p w14:paraId="2CDADEBC" w14:textId="77777777" w:rsidR="00766BBC" w:rsidRPr="002A57DF" w:rsidRDefault="00766BBC" w:rsidP="00766BBC">
      <w:pPr>
        <w:rPr>
          <w:lang w:val="it-IT"/>
        </w:rPr>
      </w:pPr>
      <w:r w:rsidRPr="002A57DF">
        <w:rPr>
          <w:lang w:val="it-IT"/>
        </w:rPr>
        <w:t>RSI, “Un miliardario a Lugano” (2022): https://www.rsi.ch/info/ticino-grigioni-e-insubria/Un-miliardario-a-Lugano--1799651.html</w:t>
      </w:r>
    </w:p>
    <w:p w14:paraId="639FA038" w14:textId="77777777" w:rsidR="00766BBC" w:rsidRPr="002A57DF" w:rsidRDefault="00766BBC" w:rsidP="00766BBC">
      <w:pPr>
        <w:rPr>
          <w:lang w:val="it-IT"/>
        </w:rPr>
      </w:pPr>
      <w:r w:rsidRPr="002A57DF">
        <w:rPr>
          <w:lang w:val="it-IT"/>
        </w:rPr>
        <w:t>Corriere del Ticino, “La Norvegia al Ticino: ‘Ridateci i nostri ricchi’” (2023): https://www.cdt.ch/news/la-norvegia-al-ticino-ridateci-i-nostri-ricchi-337319</w:t>
      </w:r>
    </w:p>
    <w:p w14:paraId="7DD280F2" w14:textId="77777777" w:rsidR="00766BBC" w:rsidRPr="002A57DF" w:rsidRDefault="00766BBC" w:rsidP="00766BBC">
      <w:proofErr w:type="spellStart"/>
      <w:r w:rsidRPr="002A57DF">
        <w:t>Finansavisen</w:t>
      </w:r>
      <w:proofErr w:type="spellEnd"/>
      <w:r w:rsidRPr="002A57DF">
        <w:t>, “Tollefsen-</w:t>
      </w:r>
      <w:proofErr w:type="spellStart"/>
      <w:r w:rsidRPr="002A57DF">
        <w:t>datter</w:t>
      </w:r>
      <w:proofErr w:type="spellEnd"/>
      <w:r w:rsidRPr="002A57DF">
        <w:t xml:space="preserve"> </w:t>
      </w:r>
      <w:proofErr w:type="spellStart"/>
      <w:r w:rsidRPr="002A57DF">
        <w:t>har</w:t>
      </w:r>
      <w:proofErr w:type="spellEnd"/>
      <w:r w:rsidRPr="002A57DF">
        <w:t xml:space="preserve"> </w:t>
      </w:r>
      <w:proofErr w:type="spellStart"/>
      <w:r w:rsidRPr="002A57DF">
        <w:t>flyttet</w:t>
      </w:r>
      <w:proofErr w:type="spellEnd"/>
      <w:r w:rsidRPr="002A57DF">
        <w:t xml:space="preserve"> </w:t>
      </w:r>
      <w:proofErr w:type="spellStart"/>
      <w:r w:rsidRPr="002A57DF">
        <w:t>til</w:t>
      </w:r>
      <w:proofErr w:type="spellEnd"/>
      <w:r w:rsidRPr="002A57DF">
        <w:t xml:space="preserve"> </w:t>
      </w:r>
      <w:proofErr w:type="spellStart"/>
      <w:r w:rsidRPr="002A57DF">
        <w:t>Sveits</w:t>
      </w:r>
      <w:proofErr w:type="spellEnd"/>
      <w:r w:rsidRPr="002A57DF">
        <w:t>” (27 February 2023): https://www.finansavisen.no/finans/2023/02/27/7989302/tollefsen-datter-har-flyttet-til-sveits</w:t>
      </w:r>
    </w:p>
    <w:p w14:paraId="0FA9C6BE" w14:textId="77777777" w:rsidR="00766BBC" w:rsidRPr="002A57DF" w:rsidRDefault="00766BBC" w:rsidP="00766BBC">
      <w:proofErr w:type="spellStart"/>
      <w:r w:rsidRPr="002A57DF">
        <w:t>Bergens</w:t>
      </w:r>
      <w:proofErr w:type="spellEnd"/>
      <w:r w:rsidRPr="002A57DF">
        <w:t xml:space="preserve"> </w:t>
      </w:r>
      <w:proofErr w:type="spellStart"/>
      <w:r w:rsidRPr="002A57DF">
        <w:t>Tidende</w:t>
      </w:r>
      <w:proofErr w:type="spellEnd"/>
      <w:r w:rsidRPr="002A57DF">
        <w:t xml:space="preserve"> / E24, “Sector Alarm-</w:t>
      </w:r>
      <w:proofErr w:type="spellStart"/>
      <w:r w:rsidRPr="002A57DF">
        <w:t>gründer</w:t>
      </w:r>
      <w:proofErr w:type="spellEnd"/>
      <w:r w:rsidRPr="002A57DF">
        <w:t xml:space="preserve"> Jørgen Dahl melder </w:t>
      </w:r>
      <w:proofErr w:type="spellStart"/>
      <w:r w:rsidRPr="002A57DF">
        <w:t>flytting</w:t>
      </w:r>
      <w:proofErr w:type="spellEnd"/>
      <w:r w:rsidRPr="002A57DF">
        <w:t xml:space="preserve"> </w:t>
      </w:r>
      <w:proofErr w:type="spellStart"/>
      <w:r w:rsidRPr="002A57DF">
        <w:t>til</w:t>
      </w:r>
      <w:proofErr w:type="spellEnd"/>
      <w:r w:rsidRPr="002A57DF">
        <w:t xml:space="preserve"> </w:t>
      </w:r>
      <w:proofErr w:type="spellStart"/>
      <w:r w:rsidRPr="002A57DF">
        <w:t>Sveits</w:t>
      </w:r>
      <w:proofErr w:type="spellEnd"/>
      <w:r w:rsidRPr="002A57DF">
        <w:t>” (25 November 2022): https://www.bt.no/nyheter/okonomi/i/kEvMPa/sector-alarm-grunder-joergen-dahl-melder-flytting-til-sveits</w:t>
      </w:r>
    </w:p>
    <w:p w14:paraId="7F3A2031" w14:textId="77777777" w:rsidR="00766BBC" w:rsidRPr="002A57DF" w:rsidRDefault="00766BBC" w:rsidP="00766BBC">
      <w:r w:rsidRPr="002A57DF">
        <w:t>Methodological note: The government dataset covers a selected group of 3,565 people meeting a high-wealth criterion in at least one year from 2021–2025. It is not a census of all HNWIs, does not identify Ticino as the destination for every emigrant and does not by itself establish causation. Media reports identify illustrative cases; where no first-person explanation is available, no motive is attributed to the individual.</w:t>
      </w:r>
    </w:p>
    <w:p w14:paraId="73F1E857" w14:textId="77777777" w:rsidR="00766BBC" w:rsidRPr="002A57DF" w:rsidRDefault="00766BBC" w:rsidP="00766BBC">
      <w:r w:rsidRPr="002A57DF">
        <w:t xml:space="preserve">UBS Field Project | Norway–Ticino HNWI Relocation Analysis | </w:t>
      </w:r>
    </w:p>
    <w:p w14:paraId="226B4B37" w14:textId="77777777" w:rsidR="00766BBC" w:rsidRDefault="00766BBC" w:rsidP="00766BBC"/>
    <w:p w14:paraId="624135B5" w14:textId="77777777" w:rsidR="00766BBC" w:rsidRDefault="00766BBC"/>
    <w:sectPr w:rsidR="00766BBC" w:rsidSect="00766BBC">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BC"/>
    <w:rsid w:val="005073BD"/>
    <w:rsid w:val="00766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B9B9"/>
  <w15:chartTrackingRefBased/>
  <w15:docId w15:val="{372031B6-46B7-4218-84EF-E9EBF6C8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BBC"/>
  </w:style>
  <w:style w:type="paragraph" w:styleId="Heading1">
    <w:name w:val="heading 1"/>
    <w:basedOn w:val="Normal"/>
    <w:next w:val="Normal"/>
    <w:link w:val="Heading1Char"/>
    <w:uiPriority w:val="9"/>
    <w:qFormat/>
    <w:rsid w:val="00766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BBC"/>
    <w:rPr>
      <w:rFonts w:eastAsiaTheme="majorEastAsia" w:cstheme="majorBidi"/>
      <w:color w:val="272727" w:themeColor="text1" w:themeTint="D8"/>
    </w:rPr>
  </w:style>
  <w:style w:type="paragraph" w:styleId="Title">
    <w:name w:val="Title"/>
    <w:basedOn w:val="Normal"/>
    <w:next w:val="Normal"/>
    <w:link w:val="TitleChar"/>
    <w:uiPriority w:val="10"/>
    <w:qFormat/>
    <w:rsid w:val="00766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BBC"/>
    <w:pPr>
      <w:spacing w:before="160"/>
      <w:jc w:val="center"/>
    </w:pPr>
    <w:rPr>
      <w:i/>
      <w:iCs/>
      <w:color w:val="404040" w:themeColor="text1" w:themeTint="BF"/>
    </w:rPr>
  </w:style>
  <w:style w:type="character" w:customStyle="1" w:styleId="QuoteChar">
    <w:name w:val="Quote Char"/>
    <w:basedOn w:val="DefaultParagraphFont"/>
    <w:link w:val="Quote"/>
    <w:uiPriority w:val="29"/>
    <w:rsid w:val="00766BBC"/>
    <w:rPr>
      <w:i/>
      <w:iCs/>
      <w:color w:val="404040" w:themeColor="text1" w:themeTint="BF"/>
    </w:rPr>
  </w:style>
  <w:style w:type="paragraph" w:styleId="ListParagraph">
    <w:name w:val="List Paragraph"/>
    <w:basedOn w:val="Normal"/>
    <w:uiPriority w:val="34"/>
    <w:qFormat/>
    <w:rsid w:val="00766BBC"/>
    <w:pPr>
      <w:ind w:left="720"/>
      <w:contextualSpacing/>
    </w:pPr>
  </w:style>
  <w:style w:type="character" w:styleId="IntenseEmphasis">
    <w:name w:val="Intense Emphasis"/>
    <w:basedOn w:val="DefaultParagraphFont"/>
    <w:uiPriority w:val="21"/>
    <w:qFormat/>
    <w:rsid w:val="00766BBC"/>
    <w:rPr>
      <w:i/>
      <w:iCs/>
      <w:color w:val="0F4761" w:themeColor="accent1" w:themeShade="BF"/>
    </w:rPr>
  </w:style>
  <w:style w:type="paragraph" w:styleId="IntenseQuote">
    <w:name w:val="Intense Quote"/>
    <w:basedOn w:val="Normal"/>
    <w:next w:val="Normal"/>
    <w:link w:val="IntenseQuoteChar"/>
    <w:uiPriority w:val="30"/>
    <w:qFormat/>
    <w:rsid w:val="00766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BBC"/>
    <w:rPr>
      <w:i/>
      <w:iCs/>
      <w:color w:val="0F4761" w:themeColor="accent1" w:themeShade="BF"/>
    </w:rPr>
  </w:style>
  <w:style w:type="character" w:styleId="IntenseReference">
    <w:name w:val="Intense Reference"/>
    <w:basedOn w:val="DefaultParagraphFont"/>
    <w:uiPriority w:val="32"/>
    <w:qFormat/>
    <w:rsid w:val="00766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1539</Words>
  <Characters>8775</Characters>
  <Application>Microsoft Office Word</Application>
  <DocSecurity>0</DocSecurity>
  <Lines>73</Lines>
  <Paragraphs>20</Paragraphs>
  <ScaleCrop>false</ScaleCrop>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Porta Petra</dc:creator>
  <cp:keywords/>
  <dc:description/>
  <cp:lastModifiedBy>Porta Petra</cp:lastModifiedBy>
  <cp:revision>1</cp:revision>
  <dcterms:created xsi:type="dcterms:W3CDTF">2026-10-28T13:24:00Z</dcterms:created>
  <dcterms:modified xsi:type="dcterms:W3CDTF">2026-10-28T13:43:00Z</dcterms:modified>
</cp:coreProperties>
</file>