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4CB4E7" w14:textId="77777777" w:rsidR="0074628E" w:rsidRDefault="00000000">
      <w:pPr>
        <w:spacing w:after="80"/>
      </w:pPr>
      <w:r>
        <w:rPr>
          <w:b/>
          <w:bCs/>
          <w:color w:val="1F3864"/>
          <w:sz w:val="40"/>
          <w:szCs w:val="40"/>
        </w:rPr>
        <w:t>Benchmark UBS – Attrattività del Ticino per HNWI/UHNWI</w:t>
      </w:r>
    </w:p>
    <w:p w14:paraId="3EC4FC34" w14:textId="77777777" w:rsidR="0074628E" w:rsidRDefault="00000000">
      <w:pPr>
        <w:pBdr>
          <w:bottom w:val="single" w:sz="8" w:space="6" w:color="1F3864"/>
        </w:pBdr>
        <w:spacing w:after="240"/>
      </w:pPr>
      <w:r>
        <w:rPr>
          <w:color w:val="404040"/>
          <w:sz w:val="24"/>
          <w:szCs w:val="24"/>
        </w:rPr>
        <w:t>Confronto a livello di città: Milano, Ginevra e Londra — documento unificato (rapporto di base e benchmark)</w:t>
      </w:r>
    </w:p>
    <w:p w14:paraId="260C1B27" w14:textId="77777777" w:rsidR="0074628E" w:rsidRDefault="00000000">
      <w:pPr>
        <w:pStyle w:val="Titolo1"/>
      </w:pPr>
      <w:r>
        <w:t>Nota metodologica</w:t>
      </w:r>
    </w:p>
    <w:p w14:paraId="397A6CDA" w14:textId="77777777" w:rsidR="0074628E" w:rsidRDefault="00000000">
      <w:pPr>
        <w:spacing w:after="120" w:line="276" w:lineRule="auto"/>
      </w:pPr>
      <w:r>
        <w:t>Questo documento unisce in un unico testo il rapporto di base per città (profili, descrizioni, indicatori da raccogliere e fonti) e il benchmark con le tabelle di dati. Per ciascuna delle 11 categorie sono riportati: la lettura dei risultati, la tabella di confronto, le fonti dei dati e, per ogni città, l'approfondimento descrittivo con gli indicatori da raccogliere e i link alle fonti.</w:t>
      </w:r>
    </w:p>
    <w:p w14:paraId="28AEBE30" w14:textId="77777777" w:rsidR="0074628E" w:rsidRDefault="00000000">
      <w:pPr>
        <w:spacing w:after="120" w:line="276" w:lineRule="auto"/>
      </w:pPr>
      <w:r>
        <w:t>Il documento confronta le tre città metrica per metrica, con una breve lettura dei risultati e una tabella di dati. I dati sono cercati a livello cittadino o del territorio amministrativo più vicino alla città, non a livello nazionale. Le unità geografiche non sono sempre identiche: Milano è misurata a seconda della fonte come Comune o come Città Metropolitana, Ginevra come Cantone (che coincide in larga parte con l'area urbana) e Londra come Greater London. Dove la definizione della fonte cambia lo indico nella cella o sotto la tabella.</w:t>
      </w:r>
    </w:p>
    <w:p w14:paraId="52C30CDB" w14:textId="77777777" w:rsidR="0074628E" w:rsidRDefault="00000000">
      <w:pPr>
        <w:spacing w:after="120" w:line="276" w:lineRule="auto"/>
      </w:pPr>
      <w:r>
        <w:t>"</w:t>
      </w:r>
      <w:proofErr w:type="spellStart"/>
      <w:r>
        <w:t>n.d.</w:t>
      </w:r>
      <w:proofErr w:type="spellEnd"/>
      <w:r>
        <w:t>" significa che non ho trovato un dato pubblico affidabile e confrontabile a livello cittadino. Non ho sostituito questi valori con dati nazionali. Le celle contrassegnate "calcolo mio" derivano da operazioni sui dati delle fonti e vanno trattate come stime indicative.</w:t>
      </w:r>
    </w:p>
    <w:p w14:paraId="1FD10A19" w14:textId="77777777" w:rsidR="0074628E" w:rsidRDefault="00000000">
      <w:pPr>
        <w:spacing w:after="120" w:line="276" w:lineRule="auto"/>
      </w:pPr>
      <w:r>
        <w:t xml:space="preserve">Dove il benchmark aggiorna o integra un dato del rapporto di base, la differenza è segnalata nel testo con la dicitura </w:t>
      </w:r>
      <w:r>
        <w:rPr>
          <w:i/>
          <w:iCs/>
        </w:rPr>
        <w:t>Aggiornamento dal benchmark</w:t>
      </w:r>
      <w:r>
        <w:t>.</w:t>
      </w:r>
    </w:p>
    <w:p w14:paraId="317D2112" w14:textId="77777777" w:rsidR="0074628E" w:rsidRDefault="00000000">
      <w:pPr>
        <w:pStyle w:val="Titolo1"/>
      </w:pPr>
      <w:r>
        <w:t>Profilo generale delle tre città</w:t>
      </w:r>
    </w:p>
    <w:p w14:paraId="286A8E07" w14:textId="77777777" w:rsidR="0074628E" w:rsidRDefault="00000000">
      <w:pPr>
        <w:pStyle w:val="Titolo2"/>
      </w:pPr>
      <w:r>
        <w:t>Milano (Italia)</w:t>
      </w:r>
    </w:p>
    <w:p w14:paraId="1AD757E5" w14:textId="77777777" w:rsidR="0074628E" w:rsidRDefault="00000000">
      <w:pPr>
        <w:spacing w:after="120" w:line="276" w:lineRule="auto"/>
      </w:pPr>
      <w:r>
        <w:t>Milano è il principale centro finanziario e imprenditoriale italiano e una porta d'accesso importante al mercato italiano per gli istituti finanziari internazionali. La sua offerta di wealth management combina una solida base di imprenditori e titolari d'impresa, un settore sofisticato dei servizi professionali, un mercato residenziale di lusso in crescita e un regime fiscale speciale pensato per attrarre persone facoltose internazionalmente mobili.</w:t>
      </w:r>
    </w:p>
    <w:p w14:paraId="5253AC41" w14:textId="77777777" w:rsidR="0074628E" w:rsidRDefault="00000000">
      <w:pPr>
        <w:spacing w:after="120" w:line="276" w:lineRule="auto"/>
      </w:pPr>
      <w:r>
        <w:t>Rispetto a Ginevra e Londra, la principale difficoltà di ricerca per Milano è la disponibilità di dati comparabili a livello cittadino su ricchezza privata, masse gestite e migrazione di patrimoni internazionali.</w:t>
      </w:r>
    </w:p>
    <w:p w14:paraId="6F041F10" w14:textId="77777777" w:rsidR="0074628E" w:rsidRDefault="00000000">
      <w:pPr>
        <w:pStyle w:val="Titolo2"/>
      </w:pPr>
      <w:r>
        <w:t>Ginevra (Svizzera)</w:t>
      </w:r>
    </w:p>
    <w:p w14:paraId="0C28A6C5" w14:textId="77777777" w:rsidR="0074628E" w:rsidRDefault="00000000">
      <w:pPr>
        <w:spacing w:after="120" w:line="276" w:lineRule="auto"/>
      </w:pPr>
      <w:r>
        <w:t>Ginevra è un centro internazionale specializzato nel wealth management. Tra i suoi punti di forza figurano l'elevata concentrazione di banche e intermediari finanziari, le relazioni con una clientela internazionale, una forza lavoro qualificata e il consolidato quadro finanziario e istituzionale svizzero.</w:t>
      </w:r>
    </w:p>
    <w:p w14:paraId="0E929415" w14:textId="77777777" w:rsidR="0074628E" w:rsidRDefault="00000000">
      <w:pPr>
        <w:spacing w:after="120" w:line="276" w:lineRule="auto"/>
      </w:pPr>
      <w:r>
        <w:t>A differenza di Milano, la piazza finanziaria di Ginevra è orientata in modo particolare alla gestione patrimoniale privata e istituzionale e ai patrimoni internazionali. La popolazione ridotta rende inoltre importante distinguere il mercato dei residenti locali dalla base di clienti internazionali, molto più ampia, servita dagli istituti con sede a Ginevra.</w:t>
      </w:r>
    </w:p>
    <w:p w14:paraId="2847AC2B" w14:textId="77777777" w:rsidR="0074628E" w:rsidRDefault="00000000">
      <w:pPr>
        <w:pStyle w:val="Titolo2"/>
      </w:pPr>
      <w:r>
        <w:lastRenderedPageBreak/>
        <w:t>Londra (Regno Unito)</w:t>
      </w:r>
    </w:p>
    <w:p w14:paraId="60A4AC7C" w14:textId="77777777" w:rsidR="0074628E" w:rsidRDefault="00000000">
      <w:pPr>
        <w:spacing w:after="120" w:line="276" w:lineRule="auto"/>
      </w:pPr>
      <w:r>
        <w:t>Londra è un importante centro finanziario e imprenditoriale internazionale, con un'economia di grandi dimensioni, un'estesa infrastruttura di servizi professionali, una popolazione molto internazionale e un settore sostanziale di gestione patrimoniale privata.</w:t>
      </w:r>
    </w:p>
    <w:p w14:paraId="2879FA19" w14:textId="77777777" w:rsidR="0074628E" w:rsidRDefault="00000000">
      <w:pPr>
        <w:spacing w:after="120" w:line="276" w:lineRule="auto"/>
      </w:pPr>
      <w:r>
        <w:t>I suoi vantaggi competitivi comprendono la profondità dei mercati finanziari, l'accesso a talenti internazionali, un vasto ecosistema imprenditoriale e un'ampia infrastruttura educativa e sanitaria. Tra le criticità figurano gli alti costi abitativi e le modifiche al trattamento fiscale dei residenti facoltosi internazionalmente mobili.</w:t>
      </w:r>
    </w:p>
    <w:p w14:paraId="6A7C5DE2" w14:textId="77777777" w:rsidR="0074628E" w:rsidRDefault="00000000">
      <w:pPr>
        <w:spacing w:after="120" w:line="276" w:lineRule="auto"/>
      </w:pPr>
      <w:r>
        <w:t xml:space="preserve">Londra dispone inoltre di una base statistica più ampia delle altre due città, in particolare grazie alla </w:t>
      </w:r>
      <w:proofErr w:type="gramStart"/>
      <w:r>
        <w:t>dashboard</w:t>
      </w:r>
      <w:proofErr w:type="gramEnd"/>
      <w:r>
        <w:t xml:space="preserve"> </w:t>
      </w:r>
      <w:r>
        <w:rPr>
          <w:i/>
          <w:iCs/>
        </w:rPr>
        <w:t>State of London</w:t>
      </w:r>
      <w:r>
        <w:t xml:space="preserve"> della Greater London Authority e all'Office for National </w:t>
      </w:r>
      <w:proofErr w:type="spellStart"/>
      <w:r>
        <w:t>Statistics</w:t>
      </w:r>
      <w:proofErr w:type="spellEnd"/>
      <w:r>
        <w:t xml:space="preserve"> britannico.</w:t>
      </w:r>
    </w:p>
    <w:p w14:paraId="402A87E9" w14:textId="77777777" w:rsidR="0074628E" w:rsidRDefault="00000000">
      <w:pPr>
        <w:pStyle w:val="Titolo1"/>
      </w:pPr>
      <w:r>
        <w:t>1. Ricchezza e concentrazione di HNWI</w:t>
      </w:r>
    </w:p>
    <w:p w14:paraId="3AACC332" w14:textId="77777777" w:rsidR="0074628E" w:rsidRDefault="00000000">
      <w:pPr>
        <w:spacing w:after="120" w:line="276" w:lineRule="auto"/>
      </w:pPr>
      <w:r>
        <w:t xml:space="preserve">Londra ha la popolazione di milionari più grande (215.700), ma è l'unica delle tre in calo nel decennio 2014–2024 (−12%), mentre Ginevra (+26%) e Milano (+24%) crescono a ritmi simili. Ginevra, con meno di metà della popolazione di Milano e una frazione di quella di Londra, ospita più </w:t>
      </w:r>
      <w:proofErr w:type="spellStart"/>
      <w:r>
        <w:t>centi</w:t>
      </w:r>
      <w:proofErr w:type="spellEnd"/>
      <w:r>
        <w:t xml:space="preserve">-milionari di Milano (215 contro 182) e ha la concentrazione di milionari per abitante più alta: circa 132 ogni 1.000 residenti, contro circa 82 a Milano e 24 a Londra (calcolo mio, dividendo i dati Henley per la popolazione ufficiale; i confini Henley possono differire). Londra resta prima per numero assoluto di </w:t>
      </w:r>
      <w:proofErr w:type="spellStart"/>
      <w:r>
        <w:t>centi</w:t>
      </w:r>
      <w:proofErr w:type="spellEnd"/>
      <w:r>
        <w:t>-milionari (352) e miliardari (33).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387C3E25"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0C92EEE"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11A2B2B"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3F6C7C5"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D5A9E6B" w14:textId="77777777" w:rsidR="0074628E" w:rsidRDefault="00000000">
            <w:pPr>
              <w:spacing w:after="40"/>
            </w:pPr>
            <w:r>
              <w:rPr>
                <w:b/>
                <w:bCs/>
                <w:sz w:val="18"/>
                <w:szCs w:val="18"/>
              </w:rPr>
              <w:t>Londra</w:t>
            </w:r>
          </w:p>
        </w:tc>
      </w:tr>
      <w:tr w:rsidR="0074628E" w14:paraId="2F322AB1"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68F207" w14:textId="77777777" w:rsidR="0074628E" w:rsidRDefault="00000000">
            <w:pPr>
              <w:spacing w:after="40"/>
            </w:pPr>
            <w:r>
              <w:rPr>
                <w:b/>
                <w:bCs/>
                <w:sz w:val="18"/>
                <w:szCs w:val="18"/>
              </w:rPr>
              <w:t>Milionari (USD 1 mln+ di ricchezza liquida investibile)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9AF31" w14:textId="77777777" w:rsidR="0074628E" w:rsidRDefault="00000000">
            <w:pPr>
              <w:spacing w:after="40"/>
            </w:pPr>
            <w:r>
              <w:rPr>
                <w:sz w:val="18"/>
                <w:szCs w:val="18"/>
              </w:rPr>
              <w:t>115.000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62AA91" w14:textId="77777777" w:rsidR="0074628E" w:rsidRDefault="00000000">
            <w:pPr>
              <w:spacing w:after="40"/>
            </w:pPr>
            <w:r>
              <w:rPr>
                <w:sz w:val="18"/>
                <w:szCs w:val="18"/>
              </w:rPr>
              <w:t>70.200 (cantone)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364643" w14:textId="77777777" w:rsidR="0074628E" w:rsidRDefault="00000000">
            <w:pPr>
              <w:spacing w:after="40"/>
            </w:pPr>
            <w:r>
              <w:rPr>
                <w:sz w:val="18"/>
                <w:szCs w:val="18"/>
              </w:rPr>
              <w:t>215.700</w:t>
            </w:r>
          </w:p>
        </w:tc>
      </w:tr>
      <w:tr w:rsidR="0074628E" w14:paraId="020C15E7"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29CA48A" w14:textId="77777777" w:rsidR="0074628E" w:rsidRDefault="00000000">
            <w:pPr>
              <w:spacing w:after="40"/>
            </w:pPr>
            <w:r>
              <w:rPr>
                <w:b/>
                <w:bCs/>
                <w:sz w:val="18"/>
                <w:szCs w:val="18"/>
              </w:rPr>
              <w:t>Crescita milionari 2014–2024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610C9D" w14:textId="77777777" w:rsidR="0074628E" w:rsidRDefault="00000000">
            <w:pPr>
              <w:spacing w:after="40"/>
            </w:pPr>
            <w:r>
              <w:rPr>
                <w:sz w:val="18"/>
                <w:szCs w:val="18"/>
              </w:rPr>
              <w:t>+24%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2DABA4" w14:textId="77777777" w:rsidR="0074628E" w:rsidRDefault="00000000">
            <w:pPr>
              <w:spacing w:after="40"/>
            </w:pPr>
            <w:r>
              <w:rPr>
                <w:sz w:val="18"/>
                <w:szCs w:val="18"/>
              </w:rPr>
              <w:t>+26%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1E8CCA" w14:textId="77777777" w:rsidR="0074628E" w:rsidRDefault="00000000">
            <w:pPr>
              <w:spacing w:after="40"/>
            </w:pPr>
            <w:r>
              <w:rPr>
                <w:sz w:val="18"/>
                <w:szCs w:val="18"/>
              </w:rPr>
              <w:t>−12%</w:t>
            </w:r>
          </w:p>
        </w:tc>
      </w:tr>
      <w:tr w:rsidR="0074628E" w14:paraId="3BF64358"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B0DD6A" w14:textId="77777777" w:rsidR="0074628E" w:rsidRDefault="00000000">
            <w:pPr>
              <w:spacing w:after="40"/>
            </w:pPr>
            <w:r>
              <w:rPr>
                <w:b/>
                <w:bCs/>
                <w:sz w:val="18"/>
                <w:szCs w:val="18"/>
              </w:rPr>
              <w:t>Centi-milionari (USD 100 mln+)</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2B0294" w14:textId="77777777" w:rsidR="0074628E" w:rsidRDefault="00000000">
            <w:pPr>
              <w:spacing w:after="40"/>
            </w:pPr>
            <w:r>
              <w:rPr>
                <w:sz w:val="18"/>
                <w:szCs w:val="18"/>
              </w:rPr>
              <w:t>182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0EB4CA" w14:textId="77777777" w:rsidR="0074628E" w:rsidRDefault="00000000">
            <w:pPr>
              <w:spacing w:after="40"/>
            </w:pPr>
            <w:r>
              <w:rPr>
                <w:sz w:val="18"/>
                <w:szCs w:val="18"/>
              </w:rPr>
              <w:t>215</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A9F19" w14:textId="77777777" w:rsidR="0074628E" w:rsidRDefault="00000000">
            <w:pPr>
              <w:spacing w:after="40"/>
            </w:pPr>
            <w:r>
              <w:rPr>
                <w:sz w:val="18"/>
                <w:szCs w:val="18"/>
              </w:rPr>
              <w:t>352</w:t>
            </w:r>
          </w:p>
        </w:tc>
      </w:tr>
      <w:tr w:rsidR="0074628E" w14:paraId="5D990F11"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8268D3" w14:textId="77777777" w:rsidR="0074628E" w:rsidRDefault="00000000">
            <w:pPr>
              <w:spacing w:after="40"/>
            </w:pPr>
            <w:r>
              <w:rPr>
                <w:b/>
                <w:bCs/>
                <w:sz w:val="18"/>
                <w:szCs w:val="18"/>
              </w:rPr>
              <w:t>Miliardari (USD 1 mld+)</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C4909" w14:textId="77777777" w:rsidR="0074628E" w:rsidRDefault="00000000">
            <w:pPr>
              <w:spacing w:after="40"/>
            </w:pPr>
            <w:r>
              <w:rPr>
                <w:sz w:val="18"/>
                <w:szCs w:val="18"/>
              </w:rPr>
              <w:t>17</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8AA4C8" w14:textId="77777777" w:rsidR="0074628E" w:rsidRDefault="00000000">
            <w:pPr>
              <w:spacing w:after="40"/>
            </w:pPr>
            <w:r>
              <w:rPr>
                <w:sz w:val="18"/>
                <w:szCs w:val="18"/>
              </w:rPr>
              <w:t>14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E03D36" w14:textId="77777777" w:rsidR="0074628E" w:rsidRDefault="00000000">
            <w:pPr>
              <w:spacing w:after="40"/>
            </w:pPr>
            <w:r>
              <w:rPr>
                <w:sz w:val="18"/>
                <w:szCs w:val="18"/>
              </w:rPr>
              <w:t>33</w:t>
            </w:r>
          </w:p>
        </w:tc>
      </w:tr>
      <w:tr w:rsidR="0074628E" w14:paraId="2755A58B"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E3DFD5" w14:textId="77777777" w:rsidR="0074628E" w:rsidRDefault="00000000">
            <w:pPr>
              <w:spacing w:after="40"/>
            </w:pPr>
            <w:r>
              <w:rPr>
                <w:b/>
                <w:bCs/>
                <w:sz w:val="18"/>
                <w:szCs w:val="18"/>
              </w:rPr>
              <w:t>Milionari ogni 1.000 abitanti (calcolo mio)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0ED45B" w14:textId="77777777" w:rsidR="0074628E" w:rsidRDefault="00000000">
            <w:pPr>
              <w:spacing w:after="40"/>
            </w:pPr>
            <w:r>
              <w:rPr>
                <w:sz w:val="18"/>
                <w:szCs w:val="18"/>
              </w:rPr>
              <w:t>≈ 82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F58911" w14:textId="77777777" w:rsidR="0074628E" w:rsidRDefault="00000000">
            <w:pPr>
              <w:spacing w:after="40"/>
            </w:pPr>
            <w:r>
              <w:rPr>
                <w:sz w:val="18"/>
                <w:szCs w:val="18"/>
              </w:rPr>
              <w:t>≈ 132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981B22" w14:textId="77777777" w:rsidR="0074628E" w:rsidRDefault="00000000">
            <w:pPr>
              <w:spacing w:after="40"/>
            </w:pPr>
            <w:r>
              <w:rPr>
                <w:sz w:val="18"/>
                <w:szCs w:val="18"/>
              </w:rPr>
              <w:t>≈ 24</w:t>
            </w:r>
          </w:p>
        </w:tc>
      </w:tr>
    </w:tbl>
    <w:p w14:paraId="1BBC9632" w14:textId="77777777" w:rsidR="0074628E" w:rsidRDefault="00000000">
      <w:pPr>
        <w:spacing w:before="60" w:after="160"/>
      </w:pPr>
      <w:r>
        <w:rPr>
          <w:i/>
          <w:iCs/>
          <w:color w:val="595959"/>
          <w:sz w:val="18"/>
          <w:szCs w:val="18"/>
        </w:rPr>
        <w:t xml:space="preserve">Fonti: Henley &amp; Partners / New World Wealth, </w:t>
      </w:r>
      <w:proofErr w:type="spellStart"/>
      <w:r>
        <w:rPr>
          <w:i/>
          <w:iCs/>
          <w:color w:val="595959"/>
          <w:sz w:val="18"/>
          <w:szCs w:val="18"/>
        </w:rPr>
        <w:t>World's</w:t>
      </w:r>
      <w:proofErr w:type="spellEnd"/>
      <w:r>
        <w:rPr>
          <w:i/>
          <w:iCs/>
          <w:color w:val="595959"/>
          <w:sz w:val="18"/>
          <w:szCs w:val="18"/>
        </w:rPr>
        <w:t xml:space="preserve"> </w:t>
      </w:r>
      <w:proofErr w:type="spellStart"/>
      <w:r>
        <w:rPr>
          <w:i/>
          <w:iCs/>
          <w:color w:val="595959"/>
          <w:sz w:val="18"/>
          <w:szCs w:val="18"/>
        </w:rPr>
        <w:t>Wealthiest</w:t>
      </w:r>
      <w:proofErr w:type="spellEnd"/>
      <w:r>
        <w:rPr>
          <w:i/>
          <w:iCs/>
          <w:color w:val="595959"/>
          <w:sz w:val="18"/>
          <w:szCs w:val="18"/>
        </w:rPr>
        <w:t xml:space="preserve"> Cities Report 2025 (dati a dicembre 2024); popolazione da tabella 10. Patrimonio totale e AUM: non esistono stime pubbliche comparabili per singola città (Henley misura solo la ricchezza liquida investibile).</w:t>
      </w:r>
    </w:p>
    <w:p w14:paraId="2CDAC7B1" w14:textId="77777777" w:rsidR="0074628E" w:rsidRDefault="00000000">
      <w:pPr>
        <w:pStyle w:val="Titolo2"/>
      </w:pPr>
      <w:r>
        <w:t>Approfondimento per città</w:t>
      </w:r>
    </w:p>
    <w:p w14:paraId="602BAEBC" w14:textId="77777777" w:rsidR="0074628E" w:rsidRDefault="00000000">
      <w:pPr>
        <w:pStyle w:val="Titolo3"/>
      </w:pPr>
      <w:r>
        <w:t>Milano (Italia)</w:t>
      </w:r>
    </w:p>
    <w:p w14:paraId="06DB4F8C" w14:textId="77777777" w:rsidR="0074628E" w:rsidRDefault="00000000">
      <w:pPr>
        <w:spacing w:after="120" w:line="276" w:lineRule="auto"/>
      </w:pPr>
      <w:r>
        <w:t xml:space="preserve">Nella classifica </w:t>
      </w:r>
      <w:proofErr w:type="spellStart"/>
      <w:r>
        <w:rPr>
          <w:i/>
          <w:iCs/>
        </w:rPr>
        <w:t>World's</w:t>
      </w:r>
      <w:proofErr w:type="spellEnd"/>
      <w:r>
        <w:rPr>
          <w:i/>
          <w:iCs/>
        </w:rPr>
        <w:t xml:space="preserve"> </w:t>
      </w:r>
      <w:proofErr w:type="spellStart"/>
      <w:r>
        <w:rPr>
          <w:i/>
          <w:iCs/>
        </w:rPr>
        <w:t>Wealthiest</w:t>
      </w:r>
      <w:proofErr w:type="spellEnd"/>
      <w:r>
        <w:rPr>
          <w:i/>
          <w:iCs/>
        </w:rPr>
        <w:t xml:space="preserve"> Cities</w:t>
      </w:r>
      <w:r>
        <w:t xml:space="preserve"> 2025, che utilizza stime di ricchezza liquida investibile, Milano contava circa </w:t>
      </w:r>
      <w:r>
        <w:rPr>
          <w:b/>
          <w:bCs/>
        </w:rPr>
        <w:t>115.000 milionari residenti</w:t>
      </w:r>
      <w:r>
        <w:t>, posizionandosi all'</w:t>
      </w:r>
      <w:proofErr w:type="gramStart"/>
      <w:r>
        <w:t>11°</w:t>
      </w:r>
      <w:proofErr w:type="gramEnd"/>
      <w:r>
        <w:t xml:space="preserve"> posto a livello mondiale.</w:t>
      </w:r>
    </w:p>
    <w:p w14:paraId="26875AE5" w14:textId="77777777" w:rsidR="0074628E" w:rsidRDefault="00000000">
      <w:pPr>
        <w:spacing w:after="120" w:line="276" w:lineRule="auto"/>
      </w:pPr>
      <w:r>
        <w:t>Questo dato indica una base potenziale di clienti molto ampia per private banking, consulenza sugli investimenti, pianificazione patrimoniale e servizi di family office.</w:t>
      </w:r>
    </w:p>
    <w:p w14:paraId="31B6BD0A" w14:textId="77777777" w:rsidR="0074628E" w:rsidRDefault="00000000">
      <w:pPr>
        <w:spacing w:after="120" w:line="276" w:lineRule="auto"/>
      </w:pPr>
      <w:r>
        <w:t>Ulteriori indicatori da raccogliere:</w:t>
      </w:r>
    </w:p>
    <w:p w14:paraId="4A7EE4CD" w14:textId="77777777" w:rsidR="0074628E" w:rsidRDefault="00000000">
      <w:pPr>
        <w:pStyle w:val="Paragrafoelenco"/>
        <w:numPr>
          <w:ilvl w:val="0"/>
          <w:numId w:val="2"/>
        </w:numPr>
        <w:spacing w:after="60" w:line="264" w:lineRule="auto"/>
      </w:pPr>
      <w:r>
        <w:t>Numero di residenti con ricchezza investibile superiore a USD 1 milione, 10 milioni e 30 milioni.</w:t>
      </w:r>
    </w:p>
    <w:p w14:paraId="011C60D9" w14:textId="77777777" w:rsidR="0074628E" w:rsidRDefault="00000000">
      <w:pPr>
        <w:pStyle w:val="Paragrafoelenco"/>
        <w:numPr>
          <w:ilvl w:val="0"/>
          <w:numId w:val="2"/>
        </w:numPr>
        <w:spacing w:after="60" w:line="264" w:lineRule="auto"/>
      </w:pPr>
      <w:r>
        <w:t xml:space="preserve">Numero di </w:t>
      </w:r>
      <w:proofErr w:type="spellStart"/>
      <w:r>
        <w:t>centi</w:t>
      </w:r>
      <w:proofErr w:type="spellEnd"/>
      <w:r>
        <w:t>-milionari e miliardari.</w:t>
      </w:r>
    </w:p>
    <w:p w14:paraId="38BC062D" w14:textId="77777777" w:rsidR="0074628E" w:rsidRDefault="00000000">
      <w:pPr>
        <w:pStyle w:val="Paragrafoelenco"/>
        <w:numPr>
          <w:ilvl w:val="0"/>
          <w:numId w:val="2"/>
        </w:numPr>
        <w:spacing w:after="60" w:line="264" w:lineRule="auto"/>
      </w:pPr>
      <w:r>
        <w:t>Crescita della popolazione di milionari su cinque e dieci anni.</w:t>
      </w:r>
    </w:p>
    <w:p w14:paraId="2045BFAC" w14:textId="77777777" w:rsidR="0074628E" w:rsidRDefault="00000000">
      <w:pPr>
        <w:pStyle w:val="Paragrafoelenco"/>
        <w:numPr>
          <w:ilvl w:val="0"/>
          <w:numId w:val="2"/>
        </w:numPr>
        <w:spacing w:after="60" w:line="264" w:lineRule="auto"/>
      </w:pPr>
      <w:r>
        <w:t>Ricchezza privata totale e ricchezza finanziaria per nucleo familiare.</w:t>
      </w:r>
    </w:p>
    <w:p w14:paraId="2ED6E7D3" w14:textId="77777777" w:rsidR="0074628E" w:rsidRDefault="00000000">
      <w:pPr>
        <w:pStyle w:val="Paragrafoelenco"/>
        <w:numPr>
          <w:ilvl w:val="0"/>
          <w:numId w:val="2"/>
        </w:numPr>
        <w:spacing w:after="60" w:line="264" w:lineRule="auto"/>
      </w:pPr>
      <w:r>
        <w:t>Masse gestite (AUM) di private bank e asset manager con sede a Milano.</w:t>
      </w:r>
    </w:p>
    <w:p w14:paraId="0588684A" w14:textId="77777777" w:rsidR="0074628E" w:rsidRDefault="00000000">
      <w:pPr>
        <w:pStyle w:val="Paragrafoelenco"/>
        <w:numPr>
          <w:ilvl w:val="0"/>
          <w:numId w:val="2"/>
        </w:numPr>
        <w:spacing w:after="60" w:line="264" w:lineRule="auto"/>
      </w:pPr>
      <w:r>
        <w:lastRenderedPageBreak/>
        <w:t>Migrazione netta di persone facoltose verso la Lombardia.</w:t>
      </w:r>
    </w:p>
    <w:p w14:paraId="5D15A22B" w14:textId="77777777" w:rsidR="0074628E" w:rsidRDefault="00000000">
      <w:pPr>
        <w:spacing w:after="120" w:line="276" w:lineRule="auto"/>
      </w:pPr>
      <w:r>
        <w:rPr>
          <w:i/>
          <w:iCs/>
        </w:rPr>
        <w:t>Limite:</w:t>
      </w:r>
      <w:r>
        <w:t xml:space="preserve"> la cifra dei milionari è una stima della ricchezza liquida investibile, non un conteggio ufficiale di tutte le persone con patrimonio netto totale superiore a USD 1 milione.</w:t>
      </w:r>
    </w:p>
    <w:p w14:paraId="21FB29CF" w14:textId="77777777" w:rsidR="0074628E" w:rsidRDefault="00000000">
      <w:pPr>
        <w:keepNext/>
        <w:spacing w:before="80" w:after="60"/>
      </w:pPr>
      <w:r>
        <w:rPr>
          <w:b/>
          <w:bCs/>
          <w:sz w:val="20"/>
          <w:szCs w:val="20"/>
        </w:rPr>
        <w:t>Fonti e link</w:t>
      </w:r>
    </w:p>
    <w:p w14:paraId="3B7FAA0A" w14:textId="77777777" w:rsidR="0074628E" w:rsidRDefault="00000000">
      <w:pPr>
        <w:pStyle w:val="Paragrafoelenco"/>
        <w:numPr>
          <w:ilvl w:val="0"/>
          <w:numId w:val="2"/>
        </w:numPr>
        <w:spacing w:after="40"/>
      </w:pPr>
      <w:hyperlink r:id="rId7" w:history="1">
        <w:r>
          <w:rPr>
            <w:rStyle w:val="Collegamentoipertestuale"/>
            <w:sz w:val="20"/>
            <w:szCs w:val="20"/>
          </w:rPr>
          <w:t xml:space="preserve">Henley &amp; Partners — </w:t>
        </w:r>
        <w:proofErr w:type="spellStart"/>
        <w:r>
          <w:rPr>
            <w:rStyle w:val="Collegamentoipertestuale"/>
            <w:sz w:val="20"/>
            <w:szCs w:val="20"/>
          </w:rPr>
          <w:t>World's</w:t>
        </w:r>
        <w:proofErr w:type="spellEnd"/>
        <w:r>
          <w:rPr>
            <w:rStyle w:val="Collegamentoipertestuale"/>
            <w:sz w:val="20"/>
            <w:szCs w:val="20"/>
          </w:rPr>
          <w:t xml:space="preserve"> </w:t>
        </w:r>
        <w:proofErr w:type="spellStart"/>
        <w:r>
          <w:rPr>
            <w:rStyle w:val="Collegamentoipertestuale"/>
            <w:sz w:val="20"/>
            <w:szCs w:val="20"/>
          </w:rPr>
          <w:t>Wealthiest</w:t>
        </w:r>
        <w:proofErr w:type="spellEnd"/>
        <w:r>
          <w:rPr>
            <w:rStyle w:val="Collegamentoipertestuale"/>
            <w:sz w:val="20"/>
            <w:szCs w:val="20"/>
          </w:rPr>
          <w:t xml:space="preserve"> Cities 2025</w:t>
        </w:r>
      </w:hyperlink>
    </w:p>
    <w:p w14:paraId="2BAB122F" w14:textId="77777777" w:rsidR="0074628E" w:rsidRDefault="00000000">
      <w:pPr>
        <w:pStyle w:val="Paragrafoelenco"/>
        <w:numPr>
          <w:ilvl w:val="0"/>
          <w:numId w:val="2"/>
        </w:numPr>
        <w:spacing w:after="40"/>
      </w:pPr>
      <w:hyperlink r:id="rId8" w:history="1">
        <w:r>
          <w:rPr>
            <w:rStyle w:val="Collegamentoipertestuale"/>
            <w:sz w:val="20"/>
            <w:szCs w:val="20"/>
          </w:rPr>
          <w:t xml:space="preserve">Top 50 Cities for </w:t>
        </w:r>
        <w:proofErr w:type="spellStart"/>
        <w:r>
          <w:rPr>
            <w:rStyle w:val="Collegamentoipertestuale"/>
            <w:sz w:val="20"/>
            <w:szCs w:val="20"/>
          </w:rPr>
          <w:t>Millionaires</w:t>
        </w:r>
        <w:proofErr w:type="spellEnd"/>
      </w:hyperlink>
    </w:p>
    <w:p w14:paraId="5CE552AA" w14:textId="77777777" w:rsidR="0074628E" w:rsidRDefault="00000000">
      <w:pPr>
        <w:pStyle w:val="Titolo3"/>
      </w:pPr>
      <w:r>
        <w:t>Ginevra (Svizzera)</w:t>
      </w:r>
    </w:p>
    <w:p w14:paraId="64A1296F" w14:textId="77777777" w:rsidR="0074628E" w:rsidRDefault="00000000">
      <w:pPr>
        <w:spacing w:after="120" w:line="276" w:lineRule="auto"/>
      </w:pPr>
      <w:r>
        <w:t xml:space="preserve">Ginevra è una delle maggiori concentrazioni mondiali di persone facoltose. Il </w:t>
      </w:r>
      <w:proofErr w:type="spellStart"/>
      <w:r>
        <w:rPr>
          <w:i/>
          <w:iCs/>
        </w:rPr>
        <w:t>World's</w:t>
      </w:r>
      <w:proofErr w:type="spellEnd"/>
      <w:r>
        <w:rPr>
          <w:i/>
          <w:iCs/>
        </w:rPr>
        <w:t xml:space="preserve"> </w:t>
      </w:r>
      <w:proofErr w:type="spellStart"/>
      <w:r>
        <w:rPr>
          <w:i/>
          <w:iCs/>
        </w:rPr>
        <w:t>Wealthiest</w:t>
      </w:r>
      <w:proofErr w:type="spellEnd"/>
      <w:r>
        <w:rPr>
          <w:i/>
          <w:iCs/>
        </w:rPr>
        <w:t xml:space="preserve"> Cities Report 2025</w:t>
      </w:r>
      <w:r>
        <w:t xml:space="preserve"> identifica a Ginevra </w:t>
      </w:r>
      <w:r>
        <w:rPr>
          <w:b/>
          <w:bCs/>
        </w:rPr>
        <w:t xml:space="preserve">215 </w:t>
      </w:r>
      <w:proofErr w:type="spellStart"/>
      <w:r>
        <w:rPr>
          <w:b/>
          <w:bCs/>
        </w:rPr>
        <w:t>centi</w:t>
      </w:r>
      <w:proofErr w:type="spellEnd"/>
      <w:r>
        <w:rPr>
          <w:b/>
          <w:bCs/>
        </w:rPr>
        <w:t>-milionari</w:t>
      </w:r>
      <w:r>
        <w:t>, ossia persone con almeno USD 100 milioni di ricchezza liquida investibile.</w:t>
      </w:r>
    </w:p>
    <w:p w14:paraId="15BF73D3" w14:textId="77777777" w:rsidR="0074628E" w:rsidRDefault="00000000">
      <w:pPr>
        <w:spacing w:after="120" w:line="276" w:lineRule="auto"/>
      </w:pPr>
      <w:r>
        <w:t>È un indicatore importante della domanda potenziale di wealth management complesso, servizi di family office, strutturazione degli investimenti e pianificazione patrimoniale intergenerazionale.</w:t>
      </w:r>
    </w:p>
    <w:p w14:paraId="6CCB19BA" w14:textId="77777777" w:rsidR="0074628E" w:rsidRDefault="00000000">
      <w:pPr>
        <w:spacing w:after="120" w:line="276" w:lineRule="auto"/>
      </w:pPr>
      <w:r>
        <w:t xml:space="preserve">Lo stesso rapporto identifica Ginevra come una rilevante destinazione di ultra-ricchezza; nei dati raccolti nel rapporto di base non era però stato stabilito un conteggio dei milionari direttamente comparabile. </w:t>
      </w:r>
      <w:r>
        <w:rPr>
          <w:i/>
          <w:iCs/>
        </w:rPr>
        <w:t>Aggiornamento dal benchmark: il conteggio è ora di 70.200 milionari nel cantone.</w:t>
      </w:r>
    </w:p>
    <w:p w14:paraId="46A6D7A0" w14:textId="77777777" w:rsidR="0074628E" w:rsidRDefault="00000000">
      <w:pPr>
        <w:spacing w:after="120" w:line="276" w:lineRule="auto"/>
      </w:pPr>
      <w:r>
        <w:t>Ulteriori indicatori da raccogliere:</w:t>
      </w:r>
    </w:p>
    <w:p w14:paraId="09AAF3EA" w14:textId="77777777" w:rsidR="0074628E" w:rsidRDefault="00000000">
      <w:pPr>
        <w:pStyle w:val="Paragrafoelenco"/>
        <w:numPr>
          <w:ilvl w:val="0"/>
          <w:numId w:val="2"/>
        </w:numPr>
        <w:spacing w:after="60" w:line="264" w:lineRule="auto"/>
      </w:pPr>
      <w:r>
        <w:t>Numero di milionari e UHNWI.</w:t>
      </w:r>
    </w:p>
    <w:p w14:paraId="7E5C02DD" w14:textId="77777777" w:rsidR="0074628E" w:rsidRDefault="00000000">
      <w:pPr>
        <w:pStyle w:val="Paragrafoelenco"/>
        <w:numPr>
          <w:ilvl w:val="0"/>
          <w:numId w:val="2"/>
        </w:numPr>
        <w:spacing w:after="60" w:line="264" w:lineRule="auto"/>
      </w:pPr>
      <w:r>
        <w:t>Ricchezza privata totale detenuta dai residenti.</w:t>
      </w:r>
    </w:p>
    <w:p w14:paraId="2AE6D498" w14:textId="77777777" w:rsidR="0074628E" w:rsidRDefault="00000000">
      <w:pPr>
        <w:pStyle w:val="Paragrafoelenco"/>
        <w:numPr>
          <w:ilvl w:val="0"/>
          <w:numId w:val="2"/>
        </w:numPr>
        <w:spacing w:after="60" w:line="264" w:lineRule="auto"/>
      </w:pPr>
      <w:r>
        <w:t>Masse gestite dalle private bank con sede a Ginevra.</w:t>
      </w:r>
    </w:p>
    <w:p w14:paraId="74768BE1" w14:textId="77777777" w:rsidR="0074628E" w:rsidRDefault="00000000">
      <w:pPr>
        <w:pStyle w:val="Paragrafoelenco"/>
        <w:numPr>
          <w:ilvl w:val="0"/>
          <w:numId w:val="2"/>
        </w:numPr>
        <w:spacing w:after="60" w:line="264" w:lineRule="auto"/>
      </w:pPr>
      <w:r>
        <w:t>Patrimoni detenuti per conto di clienti esteri.</w:t>
      </w:r>
    </w:p>
    <w:p w14:paraId="02E12D94" w14:textId="77777777" w:rsidR="0074628E" w:rsidRDefault="00000000">
      <w:pPr>
        <w:pStyle w:val="Paragrafoelenco"/>
        <w:numPr>
          <w:ilvl w:val="0"/>
          <w:numId w:val="2"/>
        </w:numPr>
        <w:spacing w:after="60" w:line="264" w:lineRule="auto"/>
      </w:pPr>
      <w:r>
        <w:t>Crescita della ricchezza gestita dagli istituti locali.</w:t>
      </w:r>
    </w:p>
    <w:p w14:paraId="139E3D64" w14:textId="77777777" w:rsidR="0074628E" w:rsidRDefault="00000000">
      <w:pPr>
        <w:pStyle w:val="Paragrafoelenco"/>
        <w:numPr>
          <w:ilvl w:val="0"/>
          <w:numId w:val="2"/>
        </w:numPr>
        <w:spacing w:after="60" w:line="264" w:lineRule="auto"/>
      </w:pPr>
      <w:r>
        <w:t>Migrazione netta di residenti facoltosi.</w:t>
      </w:r>
    </w:p>
    <w:p w14:paraId="38A5E8C4" w14:textId="77777777" w:rsidR="0074628E" w:rsidRDefault="00000000">
      <w:pPr>
        <w:pStyle w:val="Paragrafoelenco"/>
        <w:numPr>
          <w:ilvl w:val="0"/>
          <w:numId w:val="2"/>
        </w:numPr>
        <w:spacing w:after="60" w:line="264" w:lineRule="auto"/>
      </w:pPr>
      <w:r>
        <w:t>Numero di family office e professionisti della pianificazione patrimoniale.</w:t>
      </w:r>
    </w:p>
    <w:p w14:paraId="4FDF83F7" w14:textId="77777777" w:rsidR="0074628E" w:rsidRDefault="00000000">
      <w:pPr>
        <w:spacing w:after="120" w:line="276" w:lineRule="auto"/>
      </w:pPr>
      <w:r>
        <w:t>Una distinzione particolarmente importante è quella tra la ricchezza posseduta dai residenti di Ginevra e quella gestita da istituti finanziari ginevrini per conto di clienti residenti altrove.</w:t>
      </w:r>
    </w:p>
    <w:p w14:paraId="4CD66FA0" w14:textId="77777777" w:rsidR="0074628E" w:rsidRDefault="00000000">
      <w:pPr>
        <w:keepNext/>
        <w:spacing w:before="80" w:after="60"/>
      </w:pPr>
      <w:r>
        <w:rPr>
          <w:b/>
          <w:bCs/>
          <w:sz w:val="20"/>
          <w:szCs w:val="20"/>
        </w:rPr>
        <w:t>Fonti e link</w:t>
      </w:r>
    </w:p>
    <w:p w14:paraId="59851F3F" w14:textId="77777777" w:rsidR="0074628E" w:rsidRDefault="00000000">
      <w:pPr>
        <w:pStyle w:val="Paragrafoelenco"/>
        <w:numPr>
          <w:ilvl w:val="0"/>
          <w:numId w:val="2"/>
        </w:numPr>
        <w:spacing w:after="40"/>
      </w:pPr>
      <w:hyperlink r:id="rId9" w:history="1">
        <w:r>
          <w:rPr>
            <w:rStyle w:val="Collegamentoipertestuale"/>
            <w:sz w:val="20"/>
            <w:szCs w:val="20"/>
          </w:rPr>
          <w:t xml:space="preserve">Henley &amp; Partners — </w:t>
        </w:r>
        <w:proofErr w:type="spellStart"/>
        <w:r>
          <w:rPr>
            <w:rStyle w:val="Collegamentoipertestuale"/>
            <w:sz w:val="20"/>
            <w:szCs w:val="20"/>
          </w:rPr>
          <w:t>Wealthiest</w:t>
        </w:r>
        <w:proofErr w:type="spellEnd"/>
        <w:r>
          <w:rPr>
            <w:rStyle w:val="Collegamentoipertestuale"/>
            <w:sz w:val="20"/>
            <w:szCs w:val="20"/>
          </w:rPr>
          <w:t xml:space="preserve"> Cities 2025</w:t>
        </w:r>
      </w:hyperlink>
    </w:p>
    <w:p w14:paraId="630C90B9" w14:textId="77777777" w:rsidR="0074628E" w:rsidRDefault="00000000">
      <w:pPr>
        <w:pStyle w:val="Paragrafoelenco"/>
        <w:numPr>
          <w:ilvl w:val="0"/>
          <w:numId w:val="2"/>
        </w:numPr>
        <w:spacing w:after="40"/>
      </w:pPr>
      <w:hyperlink r:id="rId10" w:history="1">
        <w:r>
          <w:rPr>
            <w:rStyle w:val="Collegamentoipertestuale"/>
            <w:sz w:val="20"/>
            <w:szCs w:val="20"/>
          </w:rPr>
          <w:t>Centi-</w:t>
        </w:r>
        <w:proofErr w:type="spellStart"/>
        <w:r>
          <w:rPr>
            <w:rStyle w:val="Collegamentoipertestuale"/>
            <w:sz w:val="20"/>
            <w:szCs w:val="20"/>
          </w:rPr>
          <w:t>Millionaire</w:t>
        </w:r>
        <w:proofErr w:type="spellEnd"/>
        <w:r>
          <w:rPr>
            <w:rStyle w:val="Collegamentoipertestuale"/>
            <w:sz w:val="20"/>
            <w:szCs w:val="20"/>
          </w:rPr>
          <w:t xml:space="preserve"> Hotspots</w:t>
        </w:r>
      </w:hyperlink>
    </w:p>
    <w:p w14:paraId="7418E511" w14:textId="77777777" w:rsidR="0074628E" w:rsidRDefault="00000000">
      <w:pPr>
        <w:pStyle w:val="Titolo3"/>
      </w:pPr>
      <w:r>
        <w:t>Londra (Regno Unito)</w:t>
      </w:r>
    </w:p>
    <w:p w14:paraId="7A18B189" w14:textId="77777777" w:rsidR="0074628E" w:rsidRDefault="00000000">
      <w:pPr>
        <w:spacing w:after="120" w:line="276" w:lineRule="auto"/>
      </w:pPr>
      <w:r>
        <w:t xml:space="preserve">Nel </w:t>
      </w:r>
      <w:proofErr w:type="spellStart"/>
      <w:r>
        <w:rPr>
          <w:i/>
          <w:iCs/>
        </w:rPr>
        <w:t>World's</w:t>
      </w:r>
      <w:proofErr w:type="spellEnd"/>
      <w:r>
        <w:rPr>
          <w:i/>
          <w:iCs/>
        </w:rPr>
        <w:t xml:space="preserve"> </w:t>
      </w:r>
      <w:proofErr w:type="spellStart"/>
      <w:r>
        <w:rPr>
          <w:i/>
          <w:iCs/>
        </w:rPr>
        <w:t>Wealthiest</w:t>
      </w:r>
      <w:proofErr w:type="spellEnd"/>
      <w:r>
        <w:rPr>
          <w:i/>
          <w:iCs/>
        </w:rPr>
        <w:t xml:space="preserve"> Cities Report 2025</w:t>
      </w:r>
      <w:r>
        <w:t xml:space="preserve"> Londra contava circa </w:t>
      </w:r>
      <w:r>
        <w:rPr>
          <w:b/>
          <w:bCs/>
        </w:rPr>
        <w:t>215.700 milionari residenti</w:t>
      </w:r>
      <w:r>
        <w:t xml:space="preserve">. Lo stesso rapporto registrava 352 </w:t>
      </w:r>
      <w:proofErr w:type="spellStart"/>
      <w:r>
        <w:t>centi</w:t>
      </w:r>
      <w:proofErr w:type="spellEnd"/>
      <w:r>
        <w:t>-milionari e 33 miliardari.</w:t>
      </w:r>
    </w:p>
    <w:p w14:paraId="205FD86C" w14:textId="77777777" w:rsidR="0074628E" w:rsidRDefault="00000000">
      <w:pPr>
        <w:spacing w:after="120" w:line="276" w:lineRule="auto"/>
      </w:pPr>
      <w:r>
        <w:t>Il rapporto stimava inoltre un calo del 12% della popolazione di milionari di Londra tra il 2014 e il 2024, un'indicazione utile di come stia cambiando la capacità della città di attrarre e trattenere persone facoltose.</w:t>
      </w:r>
    </w:p>
    <w:p w14:paraId="17FE6042" w14:textId="77777777" w:rsidR="0074628E" w:rsidRDefault="00000000">
      <w:pPr>
        <w:spacing w:after="120" w:line="276" w:lineRule="auto"/>
      </w:pPr>
      <w:r>
        <w:t>Queste cifre suggeriscono un mercato indirizzabile consistente per private banking, gestione degli investimenti, servizi di family office e consulenza patrimoniale specialistica, ma non misurano direttamente il valore degli asset gestiti dalle società con sede a Londra.</w:t>
      </w:r>
    </w:p>
    <w:p w14:paraId="14BF8039" w14:textId="77777777" w:rsidR="0074628E" w:rsidRDefault="00000000">
      <w:pPr>
        <w:spacing w:after="120" w:line="276" w:lineRule="auto"/>
      </w:pPr>
      <w:r>
        <w:t>Ulteriori indicatori da raccogliere:</w:t>
      </w:r>
    </w:p>
    <w:p w14:paraId="11A6BFAF" w14:textId="77777777" w:rsidR="0074628E" w:rsidRDefault="00000000">
      <w:pPr>
        <w:pStyle w:val="Paragrafoelenco"/>
        <w:numPr>
          <w:ilvl w:val="0"/>
          <w:numId w:val="2"/>
        </w:numPr>
        <w:spacing w:after="60" w:line="264" w:lineRule="auto"/>
      </w:pPr>
      <w:r>
        <w:t>Numero di HNWI e UHNWI.</w:t>
      </w:r>
    </w:p>
    <w:p w14:paraId="45146029" w14:textId="77777777" w:rsidR="0074628E" w:rsidRDefault="00000000">
      <w:pPr>
        <w:pStyle w:val="Paragrafoelenco"/>
        <w:numPr>
          <w:ilvl w:val="0"/>
          <w:numId w:val="2"/>
        </w:numPr>
        <w:spacing w:after="60" w:line="264" w:lineRule="auto"/>
      </w:pPr>
      <w:r>
        <w:t>Ricchezza totale detenuta dai residenti di Londra.</w:t>
      </w:r>
    </w:p>
    <w:p w14:paraId="39B9D897" w14:textId="77777777" w:rsidR="0074628E" w:rsidRDefault="00000000">
      <w:pPr>
        <w:pStyle w:val="Paragrafoelenco"/>
        <w:numPr>
          <w:ilvl w:val="0"/>
          <w:numId w:val="2"/>
        </w:numPr>
        <w:spacing w:after="60" w:line="264" w:lineRule="auto"/>
      </w:pPr>
      <w:r>
        <w:t>AUM gestiti da società con sede a Londra.</w:t>
      </w:r>
    </w:p>
    <w:p w14:paraId="29B6EE93" w14:textId="77777777" w:rsidR="0074628E" w:rsidRDefault="00000000">
      <w:pPr>
        <w:pStyle w:val="Paragrafoelenco"/>
        <w:numPr>
          <w:ilvl w:val="0"/>
          <w:numId w:val="2"/>
        </w:numPr>
        <w:spacing w:after="60" w:line="264" w:lineRule="auto"/>
      </w:pPr>
      <w:r>
        <w:t>Quota di clienti internazionali nel private banking.</w:t>
      </w:r>
    </w:p>
    <w:p w14:paraId="69EB4F72" w14:textId="77777777" w:rsidR="0074628E" w:rsidRDefault="00000000">
      <w:pPr>
        <w:pStyle w:val="Paragrafoelenco"/>
        <w:numPr>
          <w:ilvl w:val="0"/>
          <w:numId w:val="2"/>
        </w:numPr>
        <w:spacing w:after="60" w:line="264" w:lineRule="auto"/>
      </w:pPr>
      <w:r>
        <w:t>Numero di family office.</w:t>
      </w:r>
    </w:p>
    <w:p w14:paraId="0353C4A6" w14:textId="77777777" w:rsidR="0074628E" w:rsidRDefault="00000000">
      <w:pPr>
        <w:pStyle w:val="Paragrafoelenco"/>
        <w:numPr>
          <w:ilvl w:val="0"/>
          <w:numId w:val="2"/>
        </w:numPr>
        <w:spacing w:after="60" w:line="264" w:lineRule="auto"/>
      </w:pPr>
      <w:r>
        <w:t>Migrazione di ricchezza e variazioni della popolazione di milionari.</w:t>
      </w:r>
    </w:p>
    <w:p w14:paraId="3FABCDED" w14:textId="77777777" w:rsidR="0074628E" w:rsidRDefault="00000000">
      <w:pPr>
        <w:spacing w:after="120" w:line="276" w:lineRule="auto"/>
      </w:pPr>
      <w:r>
        <w:lastRenderedPageBreak/>
        <w:t>Le cifre sui milionari sono stime di ricchezza liquida investibile e vanno trattate come indicatore distinto dalla ricchezza totale delle famiglie e dagli AUM.</w:t>
      </w:r>
    </w:p>
    <w:p w14:paraId="3D07CABA" w14:textId="77777777" w:rsidR="0074628E" w:rsidRDefault="00000000">
      <w:pPr>
        <w:keepNext/>
        <w:spacing w:before="80" w:after="60"/>
      </w:pPr>
      <w:r>
        <w:rPr>
          <w:b/>
          <w:bCs/>
          <w:sz w:val="20"/>
          <w:szCs w:val="20"/>
        </w:rPr>
        <w:t>Fonti e link</w:t>
      </w:r>
    </w:p>
    <w:p w14:paraId="6EF912F1" w14:textId="77777777" w:rsidR="0074628E" w:rsidRDefault="00000000">
      <w:pPr>
        <w:pStyle w:val="Paragrafoelenco"/>
        <w:numPr>
          <w:ilvl w:val="0"/>
          <w:numId w:val="2"/>
        </w:numPr>
        <w:spacing w:after="40"/>
      </w:pPr>
      <w:hyperlink r:id="rId11" w:history="1">
        <w:r>
          <w:rPr>
            <w:rStyle w:val="Collegamentoipertestuale"/>
            <w:sz w:val="20"/>
            <w:szCs w:val="20"/>
          </w:rPr>
          <w:t xml:space="preserve">Henley &amp; Partners — </w:t>
        </w:r>
        <w:proofErr w:type="spellStart"/>
        <w:r>
          <w:rPr>
            <w:rStyle w:val="Collegamentoipertestuale"/>
            <w:sz w:val="20"/>
            <w:szCs w:val="20"/>
          </w:rPr>
          <w:t>World's</w:t>
        </w:r>
        <w:proofErr w:type="spellEnd"/>
        <w:r>
          <w:rPr>
            <w:rStyle w:val="Collegamentoipertestuale"/>
            <w:sz w:val="20"/>
            <w:szCs w:val="20"/>
          </w:rPr>
          <w:t xml:space="preserve"> </w:t>
        </w:r>
        <w:proofErr w:type="spellStart"/>
        <w:r>
          <w:rPr>
            <w:rStyle w:val="Collegamentoipertestuale"/>
            <w:sz w:val="20"/>
            <w:szCs w:val="20"/>
          </w:rPr>
          <w:t>Wealthiest</w:t>
        </w:r>
        <w:proofErr w:type="spellEnd"/>
        <w:r>
          <w:rPr>
            <w:rStyle w:val="Collegamentoipertestuale"/>
            <w:sz w:val="20"/>
            <w:szCs w:val="20"/>
          </w:rPr>
          <w:t xml:space="preserve"> Cities 2025</w:t>
        </w:r>
      </w:hyperlink>
    </w:p>
    <w:p w14:paraId="64588B6E" w14:textId="77777777" w:rsidR="0074628E" w:rsidRDefault="00000000">
      <w:pPr>
        <w:pStyle w:val="Paragrafoelenco"/>
        <w:numPr>
          <w:ilvl w:val="0"/>
          <w:numId w:val="2"/>
        </w:numPr>
        <w:spacing w:after="40"/>
      </w:pPr>
      <w:hyperlink r:id="rId12" w:history="1">
        <w:r>
          <w:rPr>
            <w:rStyle w:val="Collegamentoipertestuale"/>
            <w:sz w:val="20"/>
            <w:szCs w:val="20"/>
          </w:rPr>
          <w:t xml:space="preserve">Top 50 Cities for </w:t>
        </w:r>
        <w:proofErr w:type="spellStart"/>
        <w:r>
          <w:rPr>
            <w:rStyle w:val="Collegamentoipertestuale"/>
            <w:sz w:val="20"/>
            <w:szCs w:val="20"/>
          </w:rPr>
          <w:t>Millionaires</w:t>
        </w:r>
        <w:proofErr w:type="spellEnd"/>
      </w:hyperlink>
    </w:p>
    <w:p w14:paraId="33E9D9BF" w14:textId="77777777" w:rsidR="0074628E" w:rsidRDefault="00000000">
      <w:pPr>
        <w:pStyle w:val="Paragrafoelenco"/>
        <w:numPr>
          <w:ilvl w:val="0"/>
          <w:numId w:val="2"/>
        </w:numPr>
        <w:spacing w:after="40"/>
      </w:pPr>
      <w:hyperlink r:id="rId13" w:history="1">
        <w:r>
          <w:rPr>
            <w:rStyle w:val="Collegamentoipertestuale"/>
            <w:sz w:val="20"/>
            <w:szCs w:val="20"/>
          </w:rPr>
          <w:t>Centi-</w:t>
        </w:r>
        <w:proofErr w:type="spellStart"/>
        <w:r>
          <w:rPr>
            <w:rStyle w:val="Collegamentoipertestuale"/>
            <w:sz w:val="20"/>
            <w:szCs w:val="20"/>
          </w:rPr>
          <w:t>Millionaire</w:t>
        </w:r>
        <w:proofErr w:type="spellEnd"/>
        <w:r>
          <w:rPr>
            <w:rStyle w:val="Collegamentoipertestuale"/>
            <w:sz w:val="20"/>
            <w:szCs w:val="20"/>
          </w:rPr>
          <w:t xml:space="preserve"> Hotspots</w:t>
        </w:r>
      </w:hyperlink>
    </w:p>
    <w:p w14:paraId="2D53459C" w14:textId="77777777" w:rsidR="0074628E" w:rsidRDefault="00000000">
      <w:pPr>
        <w:pStyle w:val="Titolo1"/>
      </w:pPr>
      <w:r>
        <w:t>2. Presenza bancaria ed ecosistema finanziario</w:t>
      </w:r>
    </w:p>
    <w:p w14:paraId="6EA2479D" w14:textId="77777777" w:rsidR="0074628E" w:rsidRDefault="00000000">
      <w:pPr>
        <w:spacing w:after="120" w:line="276" w:lineRule="auto"/>
      </w:pPr>
      <w:r>
        <w:t>Ginevra è l'unica città per cui esistono statistiche ufficiali di piazza finanziaria: 80 banche (di cui 46 a controllo estero), oltre 4.600 intermediari e gestori e circa 38.000 posti di lavoro, per il 12,9% del PIL cantonale. Il sito della Città di Ginevra riporta una cifra più alta (quasi 140 istituti), probabilmente con una definizione più ampia; conviene citare una sola fonte. Londra ha una scala completamente diversa: circa 170 banche o filiali estere e una forza lavoro finanziaria nell'ordine delle centinaia di migliaia di persone. Per Milano esiste un dato di valore aggiunto del settore (circa 18,4 miliardi di euro), ma non un conteggio comparabile di banche o addetti.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5A547A39"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2A238FC"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4710B6B"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FCFC29C"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069EA75" w14:textId="77777777" w:rsidR="0074628E" w:rsidRDefault="00000000">
            <w:pPr>
              <w:spacing w:after="40"/>
            </w:pPr>
            <w:r>
              <w:rPr>
                <w:b/>
                <w:bCs/>
                <w:sz w:val="18"/>
                <w:szCs w:val="18"/>
              </w:rPr>
              <w:t>Londra</w:t>
            </w:r>
          </w:p>
        </w:tc>
      </w:tr>
      <w:tr w:rsidR="0074628E" w14:paraId="05EB14EB"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E1AFE0" w14:textId="77777777" w:rsidR="0074628E" w:rsidRDefault="00000000">
            <w:pPr>
              <w:spacing w:after="40"/>
            </w:pPr>
            <w:r>
              <w:rPr>
                <w:b/>
                <w:bCs/>
                <w:sz w:val="18"/>
                <w:szCs w:val="18"/>
              </w:rPr>
              <w:t>Numero di banche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25160A" w14:textId="77777777" w:rsidR="0074628E" w:rsidRDefault="00000000">
            <w:pPr>
              <w:spacing w:after="40"/>
            </w:pPr>
            <w:r>
              <w:rPr>
                <w:sz w:val="18"/>
                <w:szCs w:val="18"/>
              </w:rPr>
              <w:t>50/60 gruppi bancari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CB6C9B" w14:textId="77777777" w:rsidR="0074628E" w:rsidRDefault="00000000">
            <w:pPr>
              <w:spacing w:after="40"/>
            </w:pPr>
            <w:r>
              <w:rPr>
                <w:sz w:val="18"/>
                <w:szCs w:val="18"/>
              </w:rPr>
              <w:t xml:space="preserve">80 (Fondazione Genève Place </w:t>
            </w:r>
            <w:proofErr w:type="spellStart"/>
            <w:r>
              <w:rPr>
                <w:sz w:val="18"/>
                <w:szCs w:val="18"/>
              </w:rPr>
              <w:t>Financière</w:t>
            </w:r>
            <w:proofErr w:type="spellEnd"/>
            <w:r>
              <w:rPr>
                <w:sz w:val="18"/>
                <w:szCs w:val="18"/>
              </w:rPr>
              <w:t>); ≈ 140 secondo il sito della Città</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122A3C" w14:textId="77777777" w:rsidR="0074628E" w:rsidRDefault="00000000">
            <w:pPr>
              <w:spacing w:after="40"/>
            </w:pPr>
            <w:r>
              <w:rPr>
                <w:sz w:val="18"/>
                <w:szCs w:val="18"/>
              </w:rPr>
              <w:t>250/300 banche autorizzate</w:t>
            </w:r>
          </w:p>
        </w:tc>
      </w:tr>
      <w:tr w:rsidR="0074628E" w14:paraId="7D75EDC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8E3C09" w14:textId="77777777" w:rsidR="0074628E" w:rsidRDefault="00000000">
            <w:pPr>
              <w:spacing w:after="40"/>
            </w:pPr>
            <w:r>
              <w:rPr>
                <w:b/>
                <w:bCs/>
                <w:sz w:val="18"/>
                <w:szCs w:val="18"/>
              </w:rPr>
              <w:t>Banche estere / succursali estere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A1F5BE" w14:textId="77777777" w:rsidR="0074628E" w:rsidRDefault="00000000">
            <w:pPr>
              <w:spacing w:after="40"/>
            </w:pPr>
            <w:r>
              <w:rPr>
                <w:sz w:val="18"/>
                <w:szCs w:val="18"/>
              </w:rPr>
              <w:t>81 (Banca d'Italia)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5D5703" w14:textId="77777777" w:rsidR="0074628E" w:rsidRDefault="00000000">
            <w:pPr>
              <w:spacing w:after="40"/>
            </w:pPr>
            <w:r>
              <w:rPr>
                <w:sz w:val="18"/>
                <w:szCs w:val="18"/>
              </w:rPr>
              <w:t>46 banche a controllo estero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DFD187" w14:textId="77777777" w:rsidR="0074628E" w:rsidRDefault="00000000">
            <w:pPr>
              <w:spacing w:after="40"/>
            </w:pPr>
            <w:r>
              <w:rPr>
                <w:sz w:val="18"/>
                <w:szCs w:val="18"/>
              </w:rPr>
              <w:t>≈ 170 banche o succursali estere</w:t>
            </w:r>
          </w:p>
        </w:tc>
      </w:tr>
      <w:tr w:rsidR="0074628E" w14:paraId="0B8BA04F"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30AF6F" w14:textId="77777777" w:rsidR="0074628E" w:rsidRDefault="00000000">
            <w:pPr>
              <w:spacing w:after="40"/>
            </w:pPr>
            <w:r>
              <w:rPr>
                <w:b/>
                <w:bCs/>
                <w:sz w:val="18"/>
                <w:szCs w:val="18"/>
              </w:rPr>
              <w:t>Intermediari finanziari / gestori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7069F" w14:textId="77777777" w:rsidR="0074628E" w:rsidRDefault="00000000">
            <w:pPr>
              <w:spacing w:after="40"/>
            </w:pPr>
            <w:r>
              <w:rPr>
                <w:sz w:val="18"/>
                <w:szCs w:val="18"/>
              </w:rPr>
              <w:t>600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55DEAD" w14:textId="77777777" w:rsidR="0074628E" w:rsidRDefault="00000000">
            <w:pPr>
              <w:spacing w:after="40"/>
            </w:pPr>
            <w:r>
              <w:rPr>
                <w:sz w:val="18"/>
                <w:szCs w:val="18"/>
              </w:rPr>
              <w:t>oltre 4.600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4C4F50" w14:textId="77777777" w:rsidR="0074628E" w:rsidRDefault="00000000">
            <w:pPr>
              <w:spacing w:after="40"/>
            </w:pPr>
            <w:r>
              <w:rPr>
                <w:sz w:val="18"/>
                <w:szCs w:val="18"/>
              </w:rPr>
              <w:t>Oltre 3000</w:t>
            </w:r>
          </w:p>
        </w:tc>
      </w:tr>
      <w:tr w:rsidR="0074628E" w14:paraId="784268E2"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691ADED" w14:textId="77777777" w:rsidR="0074628E" w:rsidRDefault="00000000">
            <w:pPr>
              <w:spacing w:after="40"/>
            </w:pPr>
            <w:r>
              <w:rPr>
                <w:b/>
                <w:bCs/>
                <w:sz w:val="18"/>
                <w:szCs w:val="18"/>
              </w:rPr>
              <w:t>Occupazione nel settore finanziario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CA0B8E" w14:textId="77777777" w:rsidR="0074628E" w:rsidRDefault="00000000">
            <w:pPr>
              <w:spacing w:after="40"/>
            </w:pPr>
            <w:r>
              <w:rPr>
                <w:sz w:val="18"/>
                <w:szCs w:val="18"/>
              </w:rPr>
              <w:t>100,000-110,000 (città metropolitana)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A11BD" w14:textId="77777777" w:rsidR="0074628E" w:rsidRDefault="00000000">
            <w:pPr>
              <w:spacing w:after="40"/>
            </w:pPr>
            <w:r>
              <w:rPr>
                <w:sz w:val="18"/>
                <w:szCs w:val="18"/>
              </w:rPr>
              <w:t>≈ 38.000 (</w:t>
            </w:r>
            <w:proofErr w:type="spellStart"/>
            <w:r>
              <w:rPr>
                <w:sz w:val="18"/>
                <w:szCs w:val="18"/>
              </w:rPr>
              <w:t>incl</w:t>
            </w:r>
            <w:proofErr w:type="spellEnd"/>
            <w:r>
              <w:rPr>
                <w:sz w:val="18"/>
                <w:szCs w:val="18"/>
              </w:rPr>
              <w:t>. servizi professionali collegati)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F7609E" w14:textId="77777777" w:rsidR="0074628E" w:rsidRDefault="00000000">
            <w:pPr>
              <w:spacing w:after="40"/>
            </w:pPr>
            <w:r>
              <w:rPr>
                <w:sz w:val="18"/>
                <w:szCs w:val="18"/>
              </w:rPr>
              <w:t xml:space="preserve">≈ 751.000 in servizi finanziari e professionali collegati, di cui 363.000 in servizi finanziari (stima </w:t>
            </w:r>
            <w:proofErr w:type="spellStart"/>
            <w:r>
              <w:rPr>
                <w:sz w:val="18"/>
                <w:szCs w:val="18"/>
              </w:rPr>
              <w:t>TheCityUK</w:t>
            </w:r>
            <w:proofErr w:type="spellEnd"/>
            <w:r>
              <w:rPr>
                <w:sz w:val="18"/>
                <w:szCs w:val="18"/>
              </w:rPr>
              <w:t>, edizione non recente)</w:t>
            </w:r>
          </w:p>
        </w:tc>
      </w:tr>
      <w:tr w:rsidR="0074628E" w14:paraId="57E6146B"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BE9DFD" w14:textId="77777777" w:rsidR="0074628E" w:rsidRDefault="00000000">
            <w:pPr>
              <w:spacing w:after="40"/>
            </w:pPr>
            <w:r>
              <w:rPr>
                <w:b/>
                <w:bCs/>
                <w:sz w:val="18"/>
                <w:szCs w:val="18"/>
              </w:rPr>
              <w:t>Valore aggiunto del settore finanziario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BFBE5C" w14:textId="77777777" w:rsidR="0074628E" w:rsidRDefault="00000000">
            <w:pPr>
              <w:spacing w:after="40"/>
            </w:pPr>
            <w:r>
              <w:rPr>
                <w:sz w:val="18"/>
                <w:szCs w:val="18"/>
              </w:rPr>
              <w:t>≈ € 18,4 mld (finanza e assicurazioni, Comune; anno da verificare)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F6CC41" w14:textId="77777777" w:rsidR="0074628E" w:rsidRDefault="00000000">
            <w:pPr>
              <w:spacing w:after="40"/>
            </w:pPr>
            <w:r>
              <w:rPr>
                <w:sz w:val="18"/>
                <w:szCs w:val="18"/>
              </w:rPr>
              <w:t>12,9% del PIL cantonale (≈ CHF 8 mld di valore aggiunto reale)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06A49E" w14:textId="77777777" w:rsidR="0074628E" w:rsidRDefault="00000000">
            <w:pPr>
              <w:spacing w:after="40"/>
            </w:pPr>
            <w:r>
              <w:rPr>
                <w:sz w:val="18"/>
                <w:szCs w:val="18"/>
              </w:rPr>
              <w:t>$50-60 mld</w:t>
            </w:r>
          </w:p>
        </w:tc>
      </w:tr>
    </w:tbl>
    <w:p w14:paraId="30AA309A" w14:textId="77777777" w:rsidR="0074628E" w:rsidRDefault="00000000">
      <w:pPr>
        <w:spacing w:before="60" w:after="160"/>
      </w:pPr>
      <w:r>
        <w:rPr>
          <w:i/>
          <w:iCs/>
          <w:color w:val="595959"/>
          <w:sz w:val="18"/>
          <w:szCs w:val="18"/>
        </w:rPr>
        <w:t xml:space="preserve">Fonti: Fondazione Genève Place </w:t>
      </w:r>
      <w:proofErr w:type="spellStart"/>
      <w:r>
        <w:rPr>
          <w:i/>
          <w:iCs/>
          <w:color w:val="595959"/>
          <w:sz w:val="18"/>
          <w:szCs w:val="18"/>
        </w:rPr>
        <w:t>Financière</w:t>
      </w:r>
      <w:proofErr w:type="spellEnd"/>
      <w:r>
        <w:rPr>
          <w:i/>
          <w:iCs/>
          <w:color w:val="595959"/>
          <w:sz w:val="18"/>
          <w:szCs w:val="18"/>
        </w:rPr>
        <w:t xml:space="preserve"> (geneve-finance.ch); Città di Ginevra; </w:t>
      </w:r>
      <w:proofErr w:type="spellStart"/>
      <w:r>
        <w:rPr>
          <w:i/>
          <w:iCs/>
          <w:color w:val="595959"/>
          <w:sz w:val="18"/>
          <w:szCs w:val="18"/>
        </w:rPr>
        <w:t>TheCityUK</w:t>
      </w:r>
      <w:proofErr w:type="spellEnd"/>
      <w:r>
        <w:rPr>
          <w:i/>
          <w:iCs/>
          <w:color w:val="595959"/>
          <w:sz w:val="18"/>
          <w:szCs w:val="18"/>
        </w:rPr>
        <w:t xml:space="preserve">, Key </w:t>
      </w:r>
      <w:proofErr w:type="spellStart"/>
      <w:r>
        <w:rPr>
          <w:i/>
          <w:iCs/>
          <w:color w:val="595959"/>
          <w:sz w:val="18"/>
          <w:szCs w:val="18"/>
        </w:rPr>
        <w:t>facts</w:t>
      </w:r>
      <w:proofErr w:type="spellEnd"/>
      <w:r>
        <w:rPr>
          <w:i/>
          <w:iCs/>
          <w:color w:val="595959"/>
          <w:sz w:val="18"/>
          <w:szCs w:val="18"/>
        </w:rPr>
        <w:t xml:space="preserve"> 2024 e stime riportate da On London; City of London Corporation, City </w:t>
      </w:r>
      <w:proofErr w:type="spellStart"/>
      <w:r>
        <w:rPr>
          <w:i/>
          <w:iCs/>
          <w:color w:val="595959"/>
          <w:sz w:val="18"/>
          <w:szCs w:val="18"/>
        </w:rPr>
        <w:t>Statistics</w:t>
      </w:r>
      <w:proofErr w:type="spellEnd"/>
      <w:r>
        <w:rPr>
          <w:i/>
          <w:iCs/>
          <w:color w:val="595959"/>
          <w:sz w:val="18"/>
          <w:szCs w:val="18"/>
        </w:rPr>
        <w:t xml:space="preserve"> Briefing (2025); Linkiesta su dati ISTAT (Milano). Il dato londinese di occupazione è datato: va aggiornato con l'ultima edizione </w:t>
      </w:r>
      <w:proofErr w:type="spellStart"/>
      <w:r>
        <w:rPr>
          <w:i/>
          <w:iCs/>
          <w:color w:val="595959"/>
          <w:sz w:val="18"/>
          <w:szCs w:val="18"/>
        </w:rPr>
        <w:t>TheCityUK</w:t>
      </w:r>
      <w:proofErr w:type="spellEnd"/>
      <w:r>
        <w:rPr>
          <w:i/>
          <w:iCs/>
          <w:color w:val="595959"/>
          <w:sz w:val="18"/>
          <w:szCs w:val="18"/>
        </w:rPr>
        <w:t>.</w:t>
      </w:r>
    </w:p>
    <w:p w14:paraId="0C1754B9" w14:textId="77777777" w:rsidR="0074628E" w:rsidRDefault="00000000">
      <w:pPr>
        <w:pStyle w:val="Titolo2"/>
      </w:pPr>
      <w:r>
        <w:t>Approfondimento per città</w:t>
      </w:r>
    </w:p>
    <w:p w14:paraId="7619E956" w14:textId="77777777" w:rsidR="0074628E" w:rsidRDefault="00000000">
      <w:pPr>
        <w:pStyle w:val="Titolo3"/>
      </w:pPr>
      <w:r>
        <w:t>Milano (Italia)</w:t>
      </w:r>
    </w:p>
    <w:p w14:paraId="5B1987EB" w14:textId="77777777" w:rsidR="0074628E" w:rsidRDefault="00000000">
      <w:pPr>
        <w:spacing w:after="120" w:line="276" w:lineRule="auto"/>
      </w:pPr>
      <w:r>
        <w:t>Milano è una sede importante per il banking italiano e internazionale, la gestione degli investimenti, la finanza d'impresa e la consulenza finanziaria. Beneficia della vicinanza alle grandi imprese italiane, alle aziende familiari e alla ricchezza imprenditoriale.</w:t>
      </w:r>
    </w:p>
    <w:p w14:paraId="7D802FFD" w14:textId="77777777" w:rsidR="0074628E" w:rsidRDefault="00000000">
      <w:pPr>
        <w:spacing w:after="120" w:line="276" w:lineRule="auto"/>
      </w:pPr>
      <w:r>
        <w:t>Non è stato tuttavia ancora raccolto un insieme coerente di dati cittadini su private bank, addetti del private banking e masse gestite.</w:t>
      </w:r>
    </w:p>
    <w:p w14:paraId="39BDF326" w14:textId="77777777" w:rsidR="0074628E" w:rsidRDefault="00000000">
      <w:pPr>
        <w:spacing w:after="120" w:line="276" w:lineRule="auto"/>
      </w:pPr>
      <w:r>
        <w:t>Indicatori da approfondire:</w:t>
      </w:r>
    </w:p>
    <w:p w14:paraId="4725C468" w14:textId="77777777" w:rsidR="0074628E" w:rsidRDefault="00000000">
      <w:pPr>
        <w:pStyle w:val="Paragrafoelenco"/>
        <w:numPr>
          <w:ilvl w:val="0"/>
          <w:numId w:val="2"/>
        </w:numPr>
        <w:spacing w:after="60" w:line="264" w:lineRule="auto"/>
      </w:pPr>
      <w:r>
        <w:t>Numero di banche e filiali nel Comune e nella Città Metropolitana di Milano.</w:t>
      </w:r>
    </w:p>
    <w:p w14:paraId="0EECAE30" w14:textId="77777777" w:rsidR="0074628E" w:rsidRDefault="00000000">
      <w:pPr>
        <w:pStyle w:val="Paragrafoelenco"/>
        <w:numPr>
          <w:ilvl w:val="0"/>
          <w:numId w:val="2"/>
        </w:numPr>
        <w:spacing w:after="60" w:line="264" w:lineRule="auto"/>
      </w:pPr>
      <w:r>
        <w:t>Numero di sedi di private banking e wealth management.</w:t>
      </w:r>
    </w:p>
    <w:p w14:paraId="28E32A33" w14:textId="77777777" w:rsidR="0074628E" w:rsidRDefault="00000000">
      <w:pPr>
        <w:pStyle w:val="Paragrafoelenco"/>
        <w:numPr>
          <w:ilvl w:val="0"/>
          <w:numId w:val="2"/>
        </w:numPr>
        <w:spacing w:after="60" w:line="264" w:lineRule="auto"/>
      </w:pPr>
      <w:r>
        <w:t>Numero di società di gestione del risparmio e di intermediari finanziari autorizzati.</w:t>
      </w:r>
    </w:p>
    <w:p w14:paraId="2DD6BA4C" w14:textId="77777777" w:rsidR="0074628E" w:rsidRDefault="00000000">
      <w:pPr>
        <w:pStyle w:val="Paragrafoelenco"/>
        <w:numPr>
          <w:ilvl w:val="0"/>
          <w:numId w:val="2"/>
        </w:numPr>
        <w:spacing w:after="60" w:line="264" w:lineRule="auto"/>
      </w:pPr>
      <w:r>
        <w:t>Totale degli asset gestiti da istituti con sede a Milano.</w:t>
      </w:r>
    </w:p>
    <w:p w14:paraId="21B5D24C" w14:textId="77777777" w:rsidR="0074628E" w:rsidRDefault="00000000">
      <w:pPr>
        <w:pStyle w:val="Paragrafoelenco"/>
        <w:numPr>
          <w:ilvl w:val="0"/>
          <w:numId w:val="2"/>
        </w:numPr>
        <w:spacing w:after="60" w:line="264" w:lineRule="auto"/>
      </w:pPr>
      <w:r>
        <w:lastRenderedPageBreak/>
        <w:t>Occupazione in banking, asset management e consulenza finanziaria.</w:t>
      </w:r>
    </w:p>
    <w:p w14:paraId="57517B89" w14:textId="77777777" w:rsidR="0074628E" w:rsidRDefault="00000000">
      <w:pPr>
        <w:pStyle w:val="Paragrafoelenco"/>
        <w:numPr>
          <w:ilvl w:val="0"/>
          <w:numId w:val="2"/>
        </w:numPr>
        <w:spacing w:after="60" w:line="264" w:lineRule="auto"/>
      </w:pPr>
      <w:r>
        <w:t>Numero di family office e gestori patrimoniali indipendenti.</w:t>
      </w:r>
    </w:p>
    <w:p w14:paraId="6BFD0D02" w14:textId="77777777" w:rsidR="0074628E" w:rsidRDefault="00000000">
      <w:pPr>
        <w:spacing w:after="120" w:line="276" w:lineRule="auto"/>
      </w:pPr>
      <w:r>
        <w:t>Occorre utilizzare le fonti ufficiali per distinguere gli istituti registrati dalle filiali e dagli uffici locali. La distinzione è particolarmente importante quando si confronta Milano con un centro finanziario internazionale come Ginevra.</w:t>
      </w:r>
    </w:p>
    <w:p w14:paraId="65E9088D" w14:textId="77777777" w:rsidR="0074628E" w:rsidRDefault="00000000">
      <w:pPr>
        <w:keepNext/>
        <w:spacing w:before="80" w:after="60"/>
      </w:pPr>
      <w:r>
        <w:rPr>
          <w:b/>
          <w:bCs/>
          <w:sz w:val="20"/>
          <w:szCs w:val="20"/>
        </w:rPr>
        <w:t>Fonti e link</w:t>
      </w:r>
    </w:p>
    <w:p w14:paraId="37F9E89B" w14:textId="77777777" w:rsidR="0074628E" w:rsidRDefault="00000000">
      <w:pPr>
        <w:pStyle w:val="Paragrafoelenco"/>
        <w:numPr>
          <w:ilvl w:val="0"/>
          <w:numId w:val="2"/>
        </w:numPr>
        <w:spacing w:after="40"/>
      </w:pPr>
      <w:hyperlink r:id="rId14" w:history="1">
        <w:r>
          <w:rPr>
            <w:rStyle w:val="Collegamentoipertestuale"/>
            <w:sz w:val="20"/>
            <w:szCs w:val="20"/>
          </w:rPr>
          <w:t xml:space="preserve">Bank of Italy — </w:t>
        </w:r>
        <w:proofErr w:type="spellStart"/>
        <w:r>
          <w:rPr>
            <w:rStyle w:val="Collegamentoipertestuale"/>
            <w:sz w:val="20"/>
            <w:szCs w:val="20"/>
          </w:rPr>
          <w:t>Statistics</w:t>
        </w:r>
        <w:proofErr w:type="spellEnd"/>
      </w:hyperlink>
    </w:p>
    <w:p w14:paraId="095D64EB" w14:textId="77777777" w:rsidR="0074628E" w:rsidRDefault="00000000">
      <w:pPr>
        <w:pStyle w:val="Paragrafoelenco"/>
        <w:numPr>
          <w:ilvl w:val="0"/>
          <w:numId w:val="2"/>
        </w:numPr>
        <w:spacing w:after="40"/>
      </w:pPr>
      <w:hyperlink r:id="rId15" w:history="1">
        <w:r>
          <w:rPr>
            <w:rStyle w:val="Collegamentoipertestuale"/>
            <w:sz w:val="20"/>
            <w:szCs w:val="20"/>
          </w:rPr>
          <w:t xml:space="preserve">Bank of Italy — Supervisory </w:t>
        </w:r>
        <w:proofErr w:type="spellStart"/>
        <w:r>
          <w:rPr>
            <w:rStyle w:val="Collegamentoipertestuale"/>
            <w:sz w:val="20"/>
            <w:szCs w:val="20"/>
          </w:rPr>
          <w:t>registers</w:t>
        </w:r>
        <w:proofErr w:type="spellEnd"/>
      </w:hyperlink>
    </w:p>
    <w:p w14:paraId="5EF54058" w14:textId="77777777" w:rsidR="0074628E" w:rsidRDefault="00000000">
      <w:pPr>
        <w:pStyle w:val="Paragrafoelenco"/>
        <w:numPr>
          <w:ilvl w:val="0"/>
          <w:numId w:val="2"/>
        </w:numPr>
        <w:spacing w:after="40"/>
      </w:pPr>
      <w:hyperlink r:id="rId16" w:history="1">
        <w:proofErr w:type="spellStart"/>
        <w:r>
          <w:rPr>
            <w:rStyle w:val="Collegamentoipertestuale"/>
            <w:sz w:val="20"/>
            <w:szCs w:val="20"/>
          </w:rPr>
          <w:t>Italian</w:t>
        </w:r>
        <w:proofErr w:type="spellEnd"/>
        <w:r>
          <w:rPr>
            <w:rStyle w:val="Collegamentoipertestuale"/>
            <w:sz w:val="20"/>
            <w:szCs w:val="20"/>
          </w:rPr>
          <w:t xml:space="preserve"> Banking Association (ABI)</w:t>
        </w:r>
      </w:hyperlink>
    </w:p>
    <w:p w14:paraId="01B259EC" w14:textId="77777777" w:rsidR="0074628E" w:rsidRDefault="00000000">
      <w:pPr>
        <w:pStyle w:val="Paragrafoelenco"/>
        <w:numPr>
          <w:ilvl w:val="0"/>
          <w:numId w:val="2"/>
        </w:numPr>
        <w:spacing w:after="40"/>
      </w:pPr>
      <w:hyperlink r:id="rId17" w:history="1">
        <w:r>
          <w:rPr>
            <w:rStyle w:val="Collegamentoipertestuale"/>
            <w:sz w:val="20"/>
            <w:szCs w:val="20"/>
          </w:rPr>
          <w:t xml:space="preserve">City of Milan — Economic and financial </w:t>
        </w:r>
        <w:proofErr w:type="spellStart"/>
        <w:r>
          <w:rPr>
            <w:rStyle w:val="Collegamentoipertestuale"/>
            <w:sz w:val="20"/>
            <w:szCs w:val="20"/>
          </w:rPr>
          <w:t>indicators</w:t>
        </w:r>
        <w:proofErr w:type="spellEnd"/>
      </w:hyperlink>
    </w:p>
    <w:p w14:paraId="32306011" w14:textId="77777777" w:rsidR="0074628E" w:rsidRDefault="00000000">
      <w:pPr>
        <w:pStyle w:val="Titolo3"/>
      </w:pPr>
      <w:r>
        <w:t>Ginevra (Svizzera)</w:t>
      </w:r>
    </w:p>
    <w:p w14:paraId="04E241E6" w14:textId="77777777" w:rsidR="0074628E" w:rsidRDefault="00000000">
      <w:pPr>
        <w:spacing w:after="120" w:line="276" w:lineRule="auto"/>
      </w:pPr>
      <w:r>
        <w:t>Ginevra ha un ecosistema finanziario molto concentrato.</w:t>
      </w:r>
    </w:p>
    <w:p w14:paraId="7706D73D" w14:textId="77777777" w:rsidR="0074628E" w:rsidRDefault="00000000">
      <w:pPr>
        <w:spacing w:after="120" w:line="276" w:lineRule="auto"/>
      </w:pPr>
      <w:r>
        <w:t xml:space="preserve">Secondo il Geneva Financial Center, il cantone conta </w:t>
      </w:r>
      <w:r>
        <w:rPr>
          <w:b/>
          <w:bCs/>
        </w:rPr>
        <w:t>80 banche</w:t>
      </w:r>
      <w:r>
        <w:t>, di cui 46 a controllo estero. L'ecosistema comprende inoltre oltre 4.600 gestori patrimoniali e altri intermediari finanziari, 563 compagnie di assicurazione, più di 1.300 studi contabili e oltre 1.700 avvocati e notai.</w:t>
      </w:r>
    </w:p>
    <w:p w14:paraId="5C7C3253" w14:textId="77777777" w:rsidR="0074628E" w:rsidRDefault="00000000">
      <w:pPr>
        <w:spacing w:after="120" w:line="276" w:lineRule="auto"/>
      </w:pPr>
      <w:r>
        <w:t xml:space="preserve">Il centro finanziario genera circa </w:t>
      </w:r>
      <w:r>
        <w:rPr>
          <w:b/>
          <w:bCs/>
        </w:rPr>
        <w:t>38.000 posti di lavoro</w:t>
      </w:r>
      <w:r>
        <w:t xml:space="preserve"> e contribuisce per il </w:t>
      </w:r>
      <w:r>
        <w:rPr>
          <w:b/>
          <w:bCs/>
        </w:rPr>
        <w:t>12,9% del PIL cantonale</w:t>
      </w:r>
      <w:r>
        <w:t>: cifre che dimostrano l'importanza del settore per l'economia locale.</w:t>
      </w:r>
    </w:p>
    <w:p w14:paraId="23A37B09" w14:textId="77777777" w:rsidR="0074628E" w:rsidRDefault="00000000">
      <w:pPr>
        <w:spacing w:after="120" w:line="276" w:lineRule="auto"/>
      </w:pPr>
      <w:r>
        <w:t>Le principali attività sono:</w:t>
      </w:r>
    </w:p>
    <w:p w14:paraId="51B3DCCA" w14:textId="77777777" w:rsidR="0074628E" w:rsidRDefault="00000000">
      <w:pPr>
        <w:pStyle w:val="Paragrafoelenco"/>
        <w:numPr>
          <w:ilvl w:val="0"/>
          <w:numId w:val="2"/>
        </w:numPr>
        <w:spacing w:after="60" w:line="264" w:lineRule="auto"/>
      </w:pPr>
      <w:r>
        <w:t>Gestione patrimoniale privata e istituzionale.</w:t>
      </w:r>
    </w:p>
    <w:p w14:paraId="7C2A0706" w14:textId="77777777" w:rsidR="0074628E" w:rsidRDefault="00000000">
      <w:pPr>
        <w:pStyle w:val="Paragrafoelenco"/>
        <w:numPr>
          <w:ilvl w:val="0"/>
          <w:numId w:val="2"/>
        </w:numPr>
        <w:spacing w:after="60" w:line="264" w:lineRule="auto"/>
      </w:pPr>
      <w:r>
        <w:t>Banca commerciale e retail.</w:t>
      </w:r>
    </w:p>
    <w:p w14:paraId="735C629E" w14:textId="77777777" w:rsidR="0074628E" w:rsidRDefault="00000000">
      <w:pPr>
        <w:pStyle w:val="Paragrafoelenco"/>
        <w:numPr>
          <w:ilvl w:val="0"/>
          <w:numId w:val="2"/>
        </w:numPr>
        <w:spacing w:after="60" w:line="264" w:lineRule="auto"/>
      </w:pPr>
      <w:r>
        <w:t>Finanziamento del commercio di materie prime.</w:t>
      </w:r>
    </w:p>
    <w:p w14:paraId="3A4047C0" w14:textId="77777777" w:rsidR="0074628E" w:rsidRDefault="00000000">
      <w:pPr>
        <w:pStyle w:val="Paragrafoelenco"/>
        <w:numPr>
          <w:ilvl w:val="0"/>
          <w:numId w:val="2"/>
        </w:numPr>
        <w:spacing w:after="60" w:line="264" w:lineRule="auto"/>
      </w:pPr>
      <w:r>
        <w:t>Asset management e consulenza sugli investimenti.</w:t>
      </w:r>
    </w:p>
    <w:p w14:paraId="4F0D706F" w14:textId="77777777" w:rsidR="0074628E" w:rsidRDefault="00000000">
      <w:pPr>
        <w:pStyle w:val="Paragrafoelenco"/>
        <w:numPr>
          <w:ilvl w:val="0"/>
          <w:numId w:val="2"/>
        </w:numPr>
        <w:spacing w:after="60" w:line="264" w:lineRule="auto"/>
      </w:pPr>
      <w:r>
        <w:t>Servizi legali, fiscali e fiduciari.</w:t>
      </w:r>
    </w:p>
    <w:p w14:paraId="519F2A70" w14:textId="77777777" w:rsidR="0074628E" w:rsidRDefault="00000000">
      <w:pPr>
        <w:pStyle w:val="Paragrafoelenco"/>
        <w:numPr>
          <w:ilvl w:val="0"/>
          <w:numId w:val="2"/>
        </w:numPr>
        <w:spacing w:after="60" w:line="264" w:lineRule="auto"/>
      </w:pPr>
      <w:r>
        <w:t>Assicurazioni e servizi professionali correlati.</w:t>
      </w:r>
    </w:p>
    <w:p w14:paraId="622BFBE7" w14:textId="77777777" w:rsidR="0074628E" w:rsidRDefault="00000000">
      <w:pPr>
        <w:spacing w:after="120" w:line="276" w:lineRule="auto"/>
      </w:pPr>
      <w:r>
        <w:t>La concentrazione di intermediari specializzati è un importante vantaggio competitivo. Tuttavia, le cifre si riferiscono all'ecosistema finanziario più ampio e, senza ulteriori verifiche geografiche, non vanno trattate come numero di banche o di posti di lavoro nel solo territorio comunale.</w:t>
      </w:r>
    </w:p>
    <w:p w14:paraId="4C6BB85D" w14:textId="77777777" w:rsidR="0074628E" w:rsidRDefault="00000000">
      <w:pPr>
        <w:keepNext/>
        <w:spacing w:before="80" w:after="60"/>
      </w:pPr>
      <w:r>
        <w:rPr>
          <w:b/>
          <w:bCs/>
          <w:sz w:val="20"/>
          <w:szCs w:val="20"/>
        </w:rPr>
        <w:t>Fonti e link</w:t>
      </w:r>
    </w:p>
    <w:p w14:paraId="5B8CB3C1" w14:textId="77777777" w:rsidR="0074628E" w:rsidRDefault="00000000">
      <w:pPr>
        <w:pStyle w:val="Paragrafoelenco"/>
        <w:numPr>
          <w:ilvl w:val="0"/>
          <w:numId w:val="2"/>
        </w:numPr>
        <w:spacing w:after="40"/>
      </w:pPr>
      <w:hyperlink r:id="rId18" w:history="1">
        <w:r>
          <w:rPr>
            <w:rStyle w:val="Collegamentoipertestuale"/>
            <w:sz w:val="20"/>
            <w:szCs w:val="20"/>
          </w:rPr>
          <w:t>Geneva Financial Center — Institutions</w:t>
        </w:r>
      </w:hyperlink>
    </w:p>
    <w:p w14:paraId="3FD8E980" w14:textId="77777777" w:rsidR="0074628E" w:rsidRDefault="00000000">
      <w:pPr>
        <w:pStyle w:val="Paragrafoelenco"/>
        <w:numPr>
          <w:ilvl w:val="0"/>
          <w:numId w:val="2"/>
        </w:numPr>
        <w:spacing w:after="40"/>
      </w:pPr>
      <w:hyperlink r:id="rId19" w:history="1">
        <w:r>
          <w:rPr>
            <w:rStyle w:val="Collegamentoipertestuale"/>
            <w:sz w:val="20"/>
            <w:szCs w:val="20"/>
          </w:rPr>
          <w:t xml:space="preserve">Geneva Financial Center — </w:t>
        </w:r>
        <w:proofErr w:type="spellStart"/>
        <w:r>
          <w:rPr>
            <w:rStyle w:val="Collegamentoipertestuale"/>
            <w:sz w:val="20"/>
            <w:szCs w:val="20"/>
          </w:rPr>
          <w:t>Overview</w:t>
        </w:r>
        <w:proofErr w:type="spellEnd"/>
      </w:hyperlink>
    </w:p>
    <w:p w14:paraId="7F82AD09" w14:textId="77777777" w:rsidR="0074628E" w:rsidRDefault="00000000">
      <w:pPr>
        <w:pStyle w:val="Paragrafoelenco"/>
        <w:numPr>
          <w:ilvl w:val="0"/>
          <w:numId w:val="2"/>
        </w:numPr>
        <w:spacing w:after="40"/>
      </w:pPr>
      <w:hyperlink r:id="rId20" w:history="1">
        <w:proofErr w:type="spellStart"/>
        <w:r>
          <w:rPr>
            <w:rStyle w:val="Collegamentoipertestuale"/>
            <w:sz w:val="20"/>
            <w:szCs w:val="20"/>
          </w:rPr>
          <w:t>Annual</w:t>
        </w:r>
        <w:proofErr w:type="spellEnd"/>
        <w:r>
          <w:rPr>
            <w:rStyle w:val="Collegamentoipertestuale"/>
            <w:sz w:val="20"/>
            <w:szCs w:val="20"/>
          </w:rPr>
          <w:t xml:space="preserve"> Report 2024</w:t>
        </w:r>
      </w:hyperlink>
    </w:p>
    <w:p w14:paraId="533534CB" w14:textId="77777777" w:rsidR="0074628E" w:rsidRDefault="00000000">
      <w:pPr>
        <w:pStyle w:val="Titolo3"/>
      </w:pPr>
      <w:r>
        <w:t>Londra (Regno Unito)</w:t>
      </w:r>
    </w:p>
    <w:p w14:paraId="3B37399F" w14:textId="77777777" w:rsidR="0074628E" w:rsidRDefault="00000000">
      <w:pPr>
        <w:spacing w:after="120" w:line="276" w:lineRule="auto"/>
      </w:pPr>
      <w:r>
        <w:t>Londra ha un ecosistema finanziario profondo, che comprende banche internazionali, banche d'investimento, asset manager, private bank, compagnie assicurative, imprese fintech e studi legali e contabili.</w:t>
      </w:r>
    </w:p>
    <w:p w14:paraId="50AA557D" w14:textId="77777777" w:rsidR="0074628E" w:rsidRDefault="00000000">
      <w:pPr>
        <w:spacing w:after="120" w:line="276" w:lineRule="auto"/>
      </w:pPr>
      <w:r>
        <w:t xml:space="preserve">L'indagine 2026 della Financial </w:t>
      </w:r>
      <w:proofErr w:type="spellStart"/>
      <w:r>
        <w:t>Conduct</w:t>
      </w:r>
      <w:proofErr w:type="spellEnd"/>
      <w:r>
        <w:t xml:space="preserve"> Authority (FCA) britannica sul wealth management riporta che le società del suo portafoglio di wealth management servono oltre </w:t>
      </w:r>
      <w:r>
        <w:rPr>
          <w:b/>
          <w:bCs/>
        </w:rPr>
        <w:t>5,5 milioni di clienti retail e gestiscono quasi 1.000 miliardi di sterline di asset</w:t>
      </w:r>
      <w:r>
        <w:t>. Circa 500 società gestiscono investimenti nel portafoglio di riferimento.</w:t>
      </w:r>
    </w:p>
    <w:p w14:paraId="319E7640" w14:textId="77777777" w:rsidR="0074628E" w:rsidRDefault="00000000">
      <w:pPr>
        <w:spacing w:after="120" w:line="276" w:lineRule="auto"/>
      </w:pPr>
      <w:r>
        <w:t>Queste cifre si riferiscono al portafoglio di wealth management vigilato dalla FCA a livello di Regno Unito, non esclusivamente a Londra. Dimostrano comunque la scala del settore britannico del wealth management in cui Londra svolge un ruolo centrale.</w:t>
      </w:r>
    </w:p>
    <w:p w14:paraId="272B46EC" w14:textId="77777777" w:rsidR="0074628E" w:rsidRDefault="00000000">
      <w:pPr>
        <w:spacing w:after="120" w:line="276" w:lineRule="auto"/>
      </w:pPr>
      <w:r>
        <w:t>Indicatori rilevanti a livello cittadino:</w:t>
      </w:r>
    </w:p>
    <w:p w14:paraId="424CA520" w14:textId="77777777" w:rsidR="0074628E" w:rsidRDefault="00000000">
      <w:pPr>
        <w:pStyle w:val="Paragrafoelenco"/>
        <w:numPr>
          <w:ilvl w:val="0"/>
          <w:numId w:val="2"/>
        </w:numPr>
        <w:spacing w:after="60" w:line="264" w:lineRule="auto"/>
      </w:pPr>
      <w:r>
        <w:t>Numero di private bank e società di wealth management.</w:t>
      </w:r>
    </w:p>
    <w:p w14:paraId="11678ADA" w14:textId="77777777" w:rsidR="0074628E" w:rsidRDefault="00000000">
      <w:pPr>
        <w:pStyle w:val="Paragrafoelenco"/>
        <w:numPr>
          <w:ilvl w:val="0"/>
          <w:numId w:val="2"/>
        </w:numPr>
        <w:spacing w:after="60" w:line="264" w:lineRule="auto"/>
      </w:pPr>
      <w:r>
        <w:lastRenderedPageBreak/>
        <w:t>Occupazione nel settore finanziario a Londra.</w:t>
      </w:r>
    </w:p>
    <w:p w14:paraId="4C4698F3" w14:textId="77777777" w:rsidR="0074628E" w:rsidRDefault="00000000">
      <w:pPr>
        <w:pStyle w:val="Paragrafoelenco"/>
        <w:numPr>
          <w:ilvl w:val="0"/>
          <w:numId w:val="2"/>
        </w:numPr>
        <w:spacing w:after="60" w:line="264" w:lineRule="auto"/>
      </w:pPr>
      <w:r>
        <w:t>AUM gestiti da società con sede a Londra.</w:t>
      </w:r>
    </w:p>
    <w:p w14:paraId="4B666E41" w14:textId="77777777" w:rsidR="0074628E" w:rsidRDefault="00000000">
      <w:pPr>
        <w:pStyle w:val="Paragrafoelenco"/>
        <w:numPr>
          <w:ilvl w:val="0"/>
          <w:numId w:val="2"/>
        </w:numPr>
        <w:spacing w:after="60" w:line="264" w:lineRule="auto"/>
      </w:pPr>
      <w:r>
        <w:t>Numero di sedi bancarie internazionali.</w:t>
      </w:r>
    </w:p>
    <w:p w14:paraId="33A0947F" w14:textId="77777777" w:rsidR="0074628E" w:rsidRDefault="00000000">
      <w:pPr>
        <w:pStyle w:val="Paragrafoelenco"/>
        <w:numPr>
          <w:ilvl w:val="0"/>
          <w:numId w:val="2"/>
        </w:numPr>
        <w:spacing w:after="60" w:line="264" w:lineRule="auto"/>
      </w:pPr>
      <w:r>
        <w:t>Numero di asset manager e consulenti d'investimento.</w:t>
      </w:r>
    </w:p>
    <w:p w14:paraId="326DA0A8" w14:textId="77777777" w:rsidR="0074628E" w:rsidRDefault="00000000">
      <w:pPr>
        <w:pStyle w:val="Paragrafoelenco"/>
        <w:numPr>
          <w:ilvl w:val="0"/>
          <w:numId w:val="2"/>
        </w:numPr>
        <w:spacing w:after="60" w:line="264" w:lineRule="auto"/>
      </w:pPr>
      <w:r>
        <w:t>Numero di family office e società di servizi professionali.</w:t>
      </w:r>
    </w:p>
    <w:p w14:paraId="32B922AD" w14:textId="77777777" w:rsidR="0074628E" w:rsidRDefault="00000000">
      <w:pPr>
        <w:spacing w:after="120" w:line="276" w:lineRule="auto"/>
      </w:pPr>
      <w:r>
        <w:t>Le cifre della FCA non vanno presentate come AUM di Londra. È necessaria un'estrazione separata di dati londinesi su occupazione, società e asset management.</w:t>
      </w:r>
    </w:p>
    <w:p w14:paraId="037411EE" w14:textId="77777777" w:rsidR="0074628E" w:rsidRDefault="00000000">
      <w:pPr>
        <w:keepNext/>
        <w:spacing w:before="80" w:after="60"/>
      </w:pPr>
      <w:r>
        <w:rPr>
          <w:b/>
          <w:bCs/>
          <w:sz w:val="20"/>
          <w:szCs w:val="20"/>
        </w:rPr>
        <w:t>Fonti e link</w:t>
      </w:r>
    </w:p>
    <w:p w14:paraId="16E08B17" w14:textId="77777777" w:rsidR="0074628E" w:rsidRPr="00034606" w:rsidRDefault="00000000">
      <w:pPr>
        <w:pStyle w:val="Paragrafoelenco"/>
        <w:numPr>
          <w:ilvl w:val="0"/>
          <w:numId w:val="2"/>
        </w:numPr>
        <w:spacing w:after="40"/>
        <w:rPr>
          <w:lang w:val="fr-FR"/>
        </w:rPr>
      </w:pPr>
      <w:hyperlink r:id="rId21" w:history="1">
        <w:r w:rsidRPr="00034606">
          <w:rPr>
            <w:rStyle w:val="Collegamentoipertestuale"/>
            <w:sz w:val="20"/>
            <w:szCs w:val="20"/>
            <w:lang w:val="fr-FR"/>
          </w:rPr>
          <w:t>FCA — Wealth Management Survey Report 2026</w:t>
        </w:r>
      </w:hyperlink>
    </w:p>
    <w:p w14:paraId="3F44AA9A" w14:textId="77777777" w:rsidR="0074628E" w:rsidRDefault="00000000">
      <w:pPr>
        <w:pStyle w:val="Paragrafoelenco"/>
        <w:numPr>
          <w:ilvl w:val="0"/>
          <w:numId w:val="2"/>
        </w:numPr>
        <w:spacing w:after="40"/>
      </w:pPr>
      <w:hyperlink r:id="rId22" w:history="1">
        <w:r>
          <w:rPr>
            <w:rStyle w:val="Collegamentoipertestuale"/>
            <w:sz w:val="20"/>
            <w:szCs w:val="20"/>
          </w:rPr>
          <w:t xml:space="preserve">City of London — Economic research and </w:t>
        </w:r>
        <w:proofErr w:type="spellStart"/>
        <w:r>
          <w:rPr>
            <w:rStyle w:val="Collegamentoipertestuale"/>
            <w:sz w:val="20"/>
            <w:szCs w:val="20"/>
          </w:rPr>
          <w:t>statistics</w:t>
        </w:r>
        <w:proofErr w:type="spellEnd"/>
      </w:hyperlink>
    </w:p>
    <w:p w14:paraId="4851A718" w14:textId="77777777" w:rsidR="0074628E" w:rsidRDefault="00000000">
      <w:pPr>
        <w:pStyle w:val="Paragrafoelenco"/>
        <w:numPr>
          <w:ilvl w:val="0"/>
          <w:numId w:val="2"/>
        </w:numPr>
        <w:spacing w:after="40"/>
      </w:pPr>
      <w:hyperlink r:id="rId23" w:history="1">
        <w:r>
          <w:rPr>
            <w:rStyle w:val="Collegamentoipertestuale"/>
            <w:sz w:val="20"/>
            <w:szCs w:val="20"/>
          </w:rPr>
          <w:t>Bank of England</w:t>
        </w:r>
      </w:hyperlink>
    </w:p>
    <w:p w14:paraId="7F8412B1" w14:textId="77777777" w:rsidR="0074628E" w:rsidRDefault="00000000">
      <w:pPr>
        <w:pStyle w:val="Titolo1"/>
      </w:pPr>
      <w:r>
        <w:t>3. Imprese e attività economica</w:t>
      </w:r>
    </w:p>
    <w:p w14:paraId="08CDFB61" w14:textId="77777777" w:rsidR="0074628E" w:rsidRDefault="00000000">
      <w:pPr>
        <w:spacing w:after="120" w:line="276" w:lineRule="auto"/>
      </w:pPr>
      <w:r>
        <w:t>Per dimensione economica Londra è in un'altra categoria (538.000 imprese, PIL di 618 miliardi di sterline, 22,7% del PIL del Regno Unito). Milano pesa molto nel proprio Paese: la sua Città Metropolitana genera la quota più alta di valore aggiunto nazionale tra le province italiane (13,2%) e il valore aggiunto per abitante supera i 65.000 euro, quasi il doppio della media italiana. Ginevra ha un PIL pro capite molto elevato (oltre CHF 108.000 nel 2018, l'ultimo dato cantonale trovato) e un'economia fortemente internazionale, con circa 124.000 posti di lavoro nelle multinazionali. Milano mostra anche una forte dinamica imprenditoriale: oltre 26.000 nuove imprese iscritte nel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16E91C30"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1315B14"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D7FF9DD"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1A166D4"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7F2C129" w14:textId="77777777" w:rsidR="0074628E" w:rsidRDefault="00000000">
            <w:pPr>
              <w:spacing w:after="40"/>
            </w:pPr>
            <w:r>
              <w:rPr>
                <w:b/>
                <w:bCs/>
                <w:sz w:val="18"/>
                <w:szCs w:val="18"/>
              </w:rPr>
              <w:t>Londra</w:t>
            </w:r>
          </w:p>
        </w:tc>
      </w:tr>
      <w:tr w:rsidR="0074628E" w14:paraId="0BB6437E"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EB0C32" w14:textId="77777777" w:rsidR="0074628E" w:rsidRDefault="00000000">
            <w:pPr>
              <w:spacing w:after="40"/>
            </w:pPr>
            <w:r>
              <w:rPr>
                <w:b/>
                <w:bCs/>
                <w:sz w:val="18"/>
                <w:szCs w:val="18"/>
              </w:rPr>
              <w:t>Imprese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3F9AD3" w14:textId="77777777" w:rsidR="0074628E" w:rsidRDefault="00000000">
            <w:pPr>
              <w:spacing w:after="40"/>
            </w:pPr>
            <w:r>
              <w:rPr>
                <w:sz w:val="18"/>
                <w:szCs w:val="18"/>
              </w:rPr>
              <w:t>≈ 389.500 registrate (Città Metropolitana, 2025; verificare sul PDF)</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23877E" w14:textId="77777777" w:rsidR="0074628E" w:rsidRDefault="00000000">
            <w:pPr>
              <w:spacing w:after="40"/>
            </w:pPr>
            <w:r>
              <w:rPr>
                <w:sz w:val="18"/>
                <w:szCs w:val="18"/>
              </w:rPr>
              <w:t>45.503 stabilimenti (STATENT 2023)</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11A366" w14:textId="77777777" w:rsidR="0074628E" w:rsidRDefault="00000000">
            <w:pPr>
              <w:spacing w:after="40"/>
            </w:pPr>
            <w:r>
              <w:rPr>
                <w:sz w:val="18"/>
                <w:szCs w:val="18"/>
              </w:rPr>
              <w:t>≈ 538.000 imprese VAT/PAYE</w:t>
            </w:r>
          </w:p>
        </w:tc>
      </w:tr>
      <w:tr w:rsidR="0074628E" w14:paraId="4E6734F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A47FE88" w14:textId="77777777" w:rsidR="0074628E" w:rsidRDefault="00000000">
            <w:pPr>
              <w:spacing w:after="40"/>
            </w:pPr>
            <w:r>
              <w:rPr>
                <w:b/>
                <w:bCs/>
                <w:sz w:val="18"/>
                <w:szCs w:val="18"/>
              </w:rPr>
              <w:t>Produzione economica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FC855D" w14:textId="77777777" w:rsidR="0074628E" w:rsidRDefault="00000000">
            <w:pPr>
              <w:spacing w:after="40"/>
            </w:pPr>
            <w:r>
              <w:rPr>
                <w:sz w:val="18"/>
                <w:szCs w:val="18"/>
              </w:rPr>
              <w:t>Valore aggiunto del Comune: € 89,3 mld (2023)</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953873" w14:textId="77777777" w:rsidR="0074628E" w:rsidRDefault="00000000">
            <w:pPr>
              <w:spacing w:after="40"/>
            </w:pPr>
            <w:proofErr w:type="spellStart"/>
            <w:r>
              <w:rPr>
                <w:sz w:val="18"/>
                <w:szCs w:val="18"/>
              </w:rPr>
              <w:t>Chf</w:t>
            </w:r>
            <w:proofErr w:type="spellEnd"/>
            <w:r>
              <w:rPr>
                <w:sz w:val="18"/>
                <w:szCs w:val="18"/>
              </w:rPr>
              <w:t xml:space="preserve"> 60.7 mld</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A34A52" w14:textId="77777777" w:rsidR="0074628E" w:rsidRDefault="00000000">
            <w:pPr>
              <w:spacing w:after="40"/>
            </w:pPr>
            <w:r>
              <w:rPr>
                <w:sz w:val="18"/>
                <w:szCs w:val="18"/>
              </w:rPr>
              <w:t>£ 618 mld di PIL (2023)</w:t>
            </w:r>
          </w:p>
        </w:tc>
      </w:tr>
      <w:tr w:rsidR="0074628E" w14:paraId="01E24B63"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687CE3" w14:textId="77777777" w:rsidR="0074628E" w:rsidRDefault="00000000">
            <w:pPr>
              <w:spacing w:after="40"/>
            </w:pPr>
            <w:r>
              <w:rPr>
                <w:b/>
                <w:bCs/>
                <w:sz w:val="18"/>
                <w:szCs w:val="18"/>
              </w:rPr>
              <w:t>Produzione per abitante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8C0C66" w14:textId="77777777" w:rsidR="0074628E" w:rsidRDefault="00000000">
            <w:pPr>
              <w:spacing w:after="40"/>
            </w:pPr>
            <w:r>
              <w:rPr>
                <w:sz w:val="18"/>
                <w:szCs w:val="18"/>
              </w:rPr>
              <w:t>Valore aggiunto per abitante € 65.721 (provincia,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C4692B" w14:textId="77777777" w:rsidR="0074628E" w:rsidRDefault="00000000">
            <w:pPr>
              <w:spacing w:after="40"/>
            </w:pPr>
            <w:r>
              <w:rPr>
                <w:sz w:val="18"/>
                <w:szCs w:val="18"/>
              </w:rPr>
              <w:t>PIL per abitante CHF 108.371 (2018)</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034E5F" w14:textId="77777777" w:rsidR="0074628E" w:rsidRDefault="00000000">
            <w:pPr>
              <w:spacing w:after="40"/>
            </w:pPr>
            <w:r>
              <w:rPr>
                <w:sz w:val="18"/>
                <w:szCs w:val="18"/>
              </w:rPr>
              <w:t>PIL per abitante £ 69.100 (2023)</w:t>
            </w:r>
          </w:p>
        </w:tc>
      </w:tr>
      <w:tr w:rsidR="0074628E" w14:paraId="316659ED"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72C345" w14:textId="77777777" w:rsidR="0074628E" w:rsidRDefault="00000000">
            <w:pPr>
              <w:spacing w:after="40"/>
            </w:pPr>
            <w:r>
              <w:rPr>
                <w:b/>
                <w:bCs/>
                <w:sz w:val="18"/>
                <w:szCs w:val="18"/>
              </w:rPr>
              <w:t>Quota del PIL / valore aggiunto nazionale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BA11A7" w14:textId="77777777" w:rsidR="0074628E" w:rsidRDefault="00000000">
            <w:pPr>
              <w:spacing w:after="40"/>
            </w:pPr>
            <w:r>
              <w:rPr>
                <w:sz w:val="18"/>
                <w:szCs w:val="18"/>
              </w:rPr>
              <w:t>13,2% (Città Metropolitana,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3E725" w14:textId="77777777" w:rsidR="0074628E" w:rsidRDefault="00000000">
            <w:pPr>
              <w:spacing w:after="40"/>
            </w:pPr>
            <w:proofErr w:type="spellStart"/>
            <w:r>
              <w:rPr>
                <w:sz w:val="18"/>
                <w:szCs w:val="18"/>
              </w:rPr>
              <w:t>n.d.</w:t>
            </w:r>
            <w:proofErr w:type="spellEnd"/>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7481E" w14:textId="77777777" w:rsidR="0074628E" w:rsidRDefault="00000000">
            <w:pPr>
              <w:spacing w:after="40"/>
            </w:pPr>
            <w:r>
              <w:rPr>
                <w:sz w:val="18"/>
                <w:szCs w:val="18"/>
              </w:rPr>
              <w:t>22,7% del PIL UK (2023)</w:t>
            </w:r>
          </w:p>
        </w:tc>
      </w:tr>
      <w:tr w:rsidR="0074628E" w14:paraId="5E568E71"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94A753" w14:textId="77777777" w:rsidR="0074628E" w:rsidRDefault="00000000">
            <w:pPr>
              <w:spacing w:after="40"/>
            </w:pPr>
            <w:r>
              <w:rPr>
                <w:b/>
                <w:bCs/>
                <w:sz w:val="18"/>
                <w:szCs w:val="18"/>
              </w:rPr>
              <w:t>Presenza di multinazionali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E3E6E7" w14:textId="77777777" w:rsidR="0074628E" w:rsidRDefault="00000000">
            <w:pPr>
              <w:spacing w:after="40"/>
            </w:pPr>
            <w:r>
              <w:rPr>
                <w:sz w:val="18"/>
                <w:szCs w:val="18"/>
              </w:rPr>
              <w:t>6.043 imprese a partecipazione estera nella provincia (32,7% del totale nazionale)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E1E43" w14:textId="77777777" w:rsidR="0074628E" w:rsidRDefault="00000000">
            <w:pPr>
              <w:spacing w:after="40"/>
            </w:pPr>
            <w:r>
              <w:rPr>
                <w:sz w:val="18"/>
                <w:szCs w:val="18"/>
              </w:rPr>
              <w:t>≈ 123.900 posti di lavoro in multinazionali (2023)</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7BAADB" w14:textId="77777777" w:rsidR="0074628E" w:rsidRDefault="00000000">
            <w:pPr>
              <w:spacing w:after="40"/>
            </w:pPr>
            <w:proofErr w:type="spellStart"/>
            <w:r>
              <w:rPr>
                <w:sz w:val="18"/>
                <w:szCs w:val="18"/>
              </w:rPr>
              <w:t>n.d.</w:t>
            </w:r>
            <w:proofErr w:type="spellEnd"/>
          </w:p>
        </w:tc>
      </w:tr>
      <w:tr w:rsidR="0074628E" w14:paraId="2533662D"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9A35AB2" w14:textId="77777777" w:rsidR="0074628E" w:rsidRDefault="00000000">
            <w:pPr>
              <w:spacing w:after="40"/>
            </w:pPr>
            <w:r>
              <w:rPr>
                <w:b/>
                <w:bCs/>
                <w:sz w:val="18"/>
                <w:szCs w:val="18"/>
              </w:rPr>
              <w:t>Nuove imprese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DB29BE" w14:textId="77777777" w:rsidR="0074628E" w:rsidRDefault="00000000">
            <w:pPr>
              <w:spacing w:after="40"/>
            </w:pPr>
            <w:r>
              <w:rPr>
                <w:sz w:val="18"/>
                <w:szCs w:val="18"/>
              </w:rPr>
              <w:t>26.262 iscrizioni nel 2025 (saldo netto +9.179, +2,37%)</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DD3803" w14:textId="77777777" w:rsidR="0074628E" w:rsidRDefault="00000000">
            <w:pPr>
              <w:spacing w:after="40"/>
            </w:pPr>
            <w:r>
              <w:rPr>
                <w:sz w:val="18"/>
                <w:szCs w:val="18"/>
              </w:rPr>
              <w:t>3,200-3,500 nuove iscrizioni (OCSTAT)</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BAAAB3" w14:textId="77777777" w:rsidR="0074628E" w:rsidRDefault="00000000">
            <w:pPr>
              <w:spacing w:after="40"/>
            </w:pPr>
            <w:r>
              <w:rPr>
                <w:sz w:val="18"/>
                <w:szCs w:val="18"/>
              </w:rPr>
              <w:t>90,000</w:t>
            </w:r>
          </w:p>
        </w:tc>
      </w:tr>
      <w:tr w:rsidR="0074628E" w14:paraId="7DF24F61"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E39B53" w14:textId="77777777" w:rsidR="0074628E" w:rsidRDefault="00000000">
            <w:pPr>
              <w:spacing w:after="40"/>
            </w:pPr>
            <w:r>
              <w:rPr>
                <w:b/>
                <w:bCs/>
                <w:sz w:val="18"/>
                <w:szCs w:val="18"/>
              </w:rPr>
              <w:t>Family office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CA83DD" w14:textId="77777777" w:rsidR="0074628E" w:rsidRDefault="00000000">
            <w:pPr>
              <w:spacing w:after="40"/>
            </w:pPr>
            <w:r>
              <w:rPr>
                <w:sz w:val="18"/>
                <w:szCs w:val="18"/>
              </w:rPr>
              <w:t>80-100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17E6B" w14:textId="77777777" w:rsidR="0074628E" w:rsidRDefault="00000000">
            <w:pPr>
              <w:spacing w:after="40"/>
            </w:pPr>
            <w:r>
              <w:rPr>
                <w:sz w:val="18"/>
                <w:szCs w:val="18"/>
              </w:rPr>
              <w:t>150-200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B8D23" w14:textId="77777777" w:rsidR="0074628E" w:rsidRDefault="00000000">
            <w:pPr>
              <w:spacing w:after="40"/>
            </w:pPr>
            <w:r>
              <w:rPr>
                <w:sz w:val="18"/>
                <w:szCs w:val="18"/>
              </w:rPr>
              <w:t>300 (poli globali maggiori)</w:t>
            </w:r>
          </w:p>
        </w:tc>
      </w:tr>
    </w:tbl>
    <w:p w14:paraId="53DC2A02" w14:textId="77777777" w:rsidR="0074628E" w:rsidRDefault="00000000">
      <w:pPr>
        <w:spacing w:before="60" w:after="160"/>
      </w:pPr>
      <w:r>
        <w:rPr>
          <w:i/>
          <w:iCs/>
          <w:color w:val="595959"/>
          <w:sz w:val="18"/>
          <w:szCs w:val="18"/>
        </w:rPr>
        <w:t xml:space="preserve">Fonti: Camera di commercio Milano Monza Brianza Lodi, Rapporto Milano Produttiva 2026; ISTAT (valore aggiunto 2023 e frame territoriale 2024); Unioncamere–Tagliacarne (2025); SECO/STATENT 2023; OCSTAT, Info </w:t>
      </w:r>
      <w:proofErr w:type="spellStart"/>
      <w:r>
        <w:rPr>
          <w:i/>
          <w:iCs/>
          <w:color w:val="595959"/>
          <w:sz w:val="18"/>
          <w:szCs w:val="18"/>
        </w:rPr>
        <w:t>Emploi</w:t>
      </w:r>
      <w:proofErr w:type="spellEnd"/>
      <w:r>
        <w:rPr>
          <w:i/>
          <w:iCs/>
          <w:color w:val="595959"/>
          <w:sz w:val="18"/>
          <w:szCs w:val="18"/>
        </w:rPr>
        <w:t xml:space="preserve"> 2023; BFS, Atlante statistico (PIL pro capite 2018); GLA, London in Figures.</w:t>
      </w:r>
    </w:p>
    <w:p w14:paraId="40446C9D" w14:textId="77777777" w:rsidR="0074628E" w:rsidRDefault="00000000">
      <w:pPr>
        <w:pStyle w:val="Titolo2"/>
      </w:pPr>
      <w:r>
        <w:t>Approfondimento per città</w:t>
      </w:r>
    </w:p>
    <w:p w14:paraId="1C078D5E" w14:textId="77777777" w:rsidR="0074628E" w:rsidRDefault="00000000">
      <w:pPr>
        <w:pStyle w:val="Titolo3"/>
      </w:pPr>
      <w:r>
        <w:t>Milano (Italia)</w:t>
      </w:r>
    </w:p>
    <w:p w14:paraId="68C709D1" w14:textId="77777777" w:rsidR="0074628E" w:rsidRDefault="00000000">
      <w:pPr>
        <w:spacing w:after="120" w:line="276" w:lineRule="auto"/>
      </w:pPr>
      <w:r>
        <w:t>Milano ha una base imprenditoriale diversificata, che comprende servizi finanziari, moda, beni di lusso, manifattura, tecnologia, consulenza e servizi professionali.</w:t>
      </w:r>
    </w:p>
    <w:p w14:paraId="36D07962" w14:textId="77777777" w:rsidR="0074628E" w:rsidRDefault="00000000">
      <w:pPr>
        <w:spacing w:after="120" w:line="276" w:lineRule="auto"/>
      </w:pPr>
      <w:r>
        <w:lastRenderedPageBreak/>
        <w:t>La Camera di Commercio di Milano, insieme a Unioncamere, fornisce informazioni sulle iscrizioni e sulle imprese attive. L'area metropolitana più ampia è particolarmente rilevante, perché molte imprese operano fuori dai confini comunali pur restando economicamente connesse a Milano.</w:t>
      </w:r>
    </w:p>
    <w:p w14:paraId="76CD7200" w14:textId="77777777" w:rsidR="0074628E" w:rsidRDefault="00000000">
      <w:pPr>
        <w:spacing w:after="120" w:line="276" w:lineRule="auto"/>
      </w:pPr>
      <w:r>
        <w:t>Indicatori rilevanti:</w:t>
      </w:r>
    </w:p>
    <w:p w14:paraId="429B5C31" w14:textId="77777777" w:rsidR="0074628E" w:rsidRDefault="00000000">
      <w:pPr>
        <w:pStyle w:val="Paragrafoelenco"/>
        <w:numPr>
          <w:ilvl w:val="0"/>
          <w:numId w:val="2"/>
        </w:numPr>
        <w:spacing w:after="60" w:line="264" w:lineRule="auto"/>
      </w:pPr>
      <w:r>
        <w:t>Numero di imprese attive.</w:t>
      </w:r>
    </w:p>
    <w:p w14:paraId="5D2C96BF" w14:textId="77777777" w:rsidR="0074628E" w:rsidRDefault="00000000">
      <w:pPr>
        <w:pStyle w:val="Paragrafoelenco"/>
        <w:numPr>
          <w:ilvl w:val="0"/>
          <w:numId w:val="2"/>
        </w:numPr>
        <w:spacing w:after="60" w:line="264" w:lineRule="auto"/>
      </w:pPr>
      <w:r>
        <w:t>Numero di nuove iscrizioni e di cessazioni.</w:t>
      </w:r>
    </w:p>
    <w:p w14:paraId="129FFA27" w14:textId="77777777" w:rsidR="0074628E" w:rsidRDefault="00000000">
      <w:pPr>
        <w:pStyle w:val="Paragrafoelenco"/>
        <w:numPr>
          <w:ilvl w:val="0"/>
          <w:numId w:val="2"/>
        </w:numPr>
        <w:spacing w:after="60" w:line="264" w:lineRule="auto"/>
      </w:pPr>
      <w:r>
        <w:t>Numero di grandi imprese private e di sedi di multinazionali.</w:t>
      </w:r>
    </w:p>
    <w:p w14:paraId="1E4C58B3" w14:textId="77777777" w:rsidR="0074628E" w:rsidRDefault="00000000">
      <w:pPr>
        <w:pStyle w:val="Paragrafoelenco"/>
        <w:numPr>
          <w:ilvl w:val="0"/>
          <w:numId w:val="2"/>
        </w:numPr>
        <w:spacing w:after="60" w:line="264" w:lineRule="auto"/>
      </w:pPr>
      <w:r>
        <w:t>Numero di imprese nei servizi finanziari e professionali.</w:t>
      </w:r>
    </w:p>
    <w:p w14:paraId="71F39D25" w14:textId="77777777" w:rsidR="0074628E" w:rsidRDefault="00000000">
      <w:pPr>
        <w:pStyle w:val="Paragrafoelenco"/>
        <w:numPr>
          <w:ilvl w:val="0"/>
          <w:numId w:val="2"/>
        </w:numPr>
        <w:spacing w:after="60" w:line="264" w:lineRule="auto"/>
      </w:pPr>
      <w:r>
        <w:t>Numero di imprese ad alta crescita e tecnologiche.</w:t>
      </w:r>
    </w:p>
    <w:p w14:paraId="29E097A4" w14:textId="77777777" w:rsidR="0074628E" w:rsidRDefault="00000000">
      <w:pPr>
        <w:pStyle w:val="Paragrafoelenco"/>
        <w:numPr>
          <w:ilvl w:val="0"/>
          <w:numId w:val="2"/>
        </w:numPr>
        <w:spacing w:after="60" w:line="264" w:lineRule="auto"/>
      </w:pPr>
      <w:r>
        <w:t>Numero di imprese familiari e relative opportunità di consulenza sul passaggio generazionale.</w:t>
      </w:r>
    </w:p>
    <w:p w14:paraId="28264A84" w14:textId="77777777" w:rsidR="0074628E" w:rsidRDefault="00000000">
      <w:pPr>
        <w:spacing w:after="120" w:line="276" w:lineRule="auto"/>
      </w:pPr>
      <w:r>
        <w:t>Un passo successivo utile sarebbe estrarre i dati sulle imprese attive sia per il Comune sia per la Città Metropolitana di Milano, mantenendo coerente la definizione geografica in tutto il dataset.</w:t>
      </w:r>
    </w:p>
    <w:p w14:paraId="60057EEC" w14:textId="77777777" w:rsidR="0074628E" w:rsidRDefault="00000000">
      <w:pPr>
        <w:keepNext/>
        <w:spacing w:before="80" w:after="60"/>
      </w:pPr>
      <w:r>
        <w:rPr>
          <w:b/>
          <w:bCs/>
          <w:sz w:val="20"/>
          <w:szCs w:val="20"/>
        </w:rPr>
        <w:t>Fonti e link</w:t>
      </w:r>
    </w:p>
    <w:p w14:paraId="4DE2FCD3" w14:textId="77777777" w:rsidR="0074628E" w:rsidRDefault="00000000">
      <w:pPr>
        <w:pStyle w:val="Paragrafoelenco"/>
        <w:numPr>
          <w:ilvl w:val="0"/>
          <w:numId w:val="2"/>
        </w:numPr>
        <w:spacing w:after="40"/>
      </w:pPr>
      <w:hyperlink r:id="rId24" w:history="1">
        <w:r>
          <w:rPr>
            <w:rStyle w:val="Collegamentoipertestuale"/>
            <w:sz w:val="20"/>
            <w:szCs w:val="20"/>
          </w:rPr>
          <w:t xml:space="preserve">Unioncamere — Business </w:t>
        </w:r>
        <w:proofErr w:type="spellStart"/>
        <w:r>
          <w:rPr>
            <w:rStyle w:val="Collegamentoipertestuale"/>
            <w:sz w:val="20"/>
            <w:szCs w:val="20"/>
          </w:rPr>
          <w:t>demographics</w:t>
        </w:r>
        <w:proofErr w:type="spellEnd"/>
      </w:hyperlink>
    </w:p>
    <w:p w14:paraId="180A035F" w14:textId="77777777" w:rsidR="0074628E" w:rsidRDefault="00000000">
      <w:pPr>
        <w:pStyle w:val="Paragrafoelenco"/>
        <w:numPr>
          <w:ilvl w:val="0"/>
          <w:numId w:val="2"/>
        </w:numPr>
        <w:spacing w:after="40"/>
      </w:pPr>
      <w:hyperlink r:id="rId25" w:history="1">
        <w:r>
          <w:rPr>
            <w:rStyle w:val="Collegamentoipertestuale"/>
            <w:sz w:val="20"/>
            <w:szCs w:val="20"/>
          </w:rPr>
          <w:t>Milan Chamber of Commerce</w:t>
        </w:r>
      </w:hyperlink>
    </w:p>
    <w:p w14:paraId="53300962" w14:textId="77777777" w:rsidR="0074628E" w:rsidRDefault="00000000">
      <w:pPr>
        <w:pStyle w:val="Paragrafoelenco"/>
        <w:numPr>
          <w:ilvl w:val="0"/>
          <w:numId w:val="2"/>
        </w:numPr>
        <w:spacing w:after="40"/>
      </w:pPr>
      <w:hyperlink r:id="rId26" w:history="1">
        <w:r>
          <w:rPr>
            <w:rStyle w:val="Collegamentoipertestuale"/>
            <w:sz w:val="20"/>
            <w:szCs w:val="20"/>
          </w:rPr>
          <w:t>Milan Open Data Portal</w:t>
        </w:r>
      </w:hyperlink>
    </w:p>
    <w:p w14:paraId="74E4E571" w14:textId="77777777" w:rsidR="0074628E" w:rsidRDefault="00000000">
      <w:pPr>
        <w:pStyle w:val="Titolo3"/>
      </w:pPr>
      <w:r>
        <w:t>Ginevra (Svizzera)</w:t>
      </w:r>
    </w:p>
    <w:p w14:paraId="0C430F06" w14:textId="77777777" w:rsidR="0074628E" w:rsidRDefault="00000000">
      <w:pPr>
        <w:spacing w:after="120" w:line="276" w:lineRule="auto"/>
      </w:pPr>
      <w:r>
        <w:t>L'economia di Ginevra combina servizi finanziari, commercio di materie prime, organizzazioni internazionali, beni di lusso e servizi professionali.</w:t>
      </w:r>
    </w:p>
    <w:p w14:paraId="03A40D1C" w14:textId="77777777" w:rsidR="0074628E" w:rsidRDefault="00000000">
      <w:pPr>
        <w:spacing w:after="120" w:line="276" w:lineRule="auto"/>
      </w:pPr>
      <w:r>
        <w:t>Una caratteristica importante è il rapporto tra gli istituti finanziari e le altre attività specializzate. Trader di materie prime, imprese internazionali, studi legali, commercialisti e fiduciari possono generare domanda di corporate banking, gestione degli investimenti e servizi patrimoniali personali.</w:t>
      </w:r>
    </w:p>
    <w:p w14:paraId="479799ED" w14:textId="77777777" w:rsidR="0074628E" w:rsidRDefault="00000000">
      <w:pPr>
        <w:spacing w:after="120" w:line="276" w:lineRule="auto"/>
      </w:pPr>
      <w:r>
        <w:t>Indicatori rilevanti:</w:t>
      </w:r>
    </w:p>
    <w:p w14:paraId="1DF90020" w14:textId="77777777" w:rsidR="0074628E" w:rsidRDefault="00000000">
      <w:pPr>
        <w:pStyle w:val="Paragrafoelenco"/>
        <w:numPr>
          <w:ilvl w:val="0"/>
          <w:numId w:val="2"/>
        </w:numPr>
        <w:spacing w:after="60" w:line="264" w:lineRule="auto"/>
      </w:pPr>
      <w:r>
        <w:t>Numero di imprese attive.</w:t>
      </w:r>
    </w:p>
    <w:p w14:paraId="74869C18" w14:textId="77777777" w:rsidR="0074628E" w:rsidRDefault="00000000">
      <w:pPr>
        <w:pStyle w:val="Paragrafoelenco"/>
        <w:numPr>
          <w:ilvl w:val="0"/>
          <w:numId w:val="2"/>
        </w:numPr>
        <w:spacing w:after="60" w:line="264" w:lineRule="auto"/>
      </w:pPr>
      <w:r>
        <w:t>Numero di imprese internazionali e di sedi.</w:t>
      </w:r>
    </w:p>
    <w:p w14:paraId="6B1F4811" w14:textId="77777777" w:rsidR="0074628E" w:rsidRDefault="00000000">
      <w:pPr>
        <w:pStyle w:val="Paragrafoelenco"/>
        <w:numPr>
          <w:ilvl w:val="0"/>
          <w:numId w:val="2"/>
        </w:numPr>
        <w:spacing w:after="60" w:line="264" w:lineRule="auto"/>
      </w:pPr>
      <w:r>
        <w:t>Numero di società di trading di materie prime.</w:t>
      </w:r>
    </w:p>
    <w:p w14:paraId="2A1C9E0D" w14:textId="77777777" w:rsidR="0074628E" w:rsidRDefault="00000000">
      <w:pPr>
        <w:pStyle w:val="Paragrafoelenco"/>
        <w:numPr>
          <w:ilvl w:val="0"/>
          <w:numId w:val="2"/>
        </w:numPr>
        <w:spacing w:after="60" w:line="264" w:lineRule="auto"/>
      </w:pPr>
      <w:r>
        <w:t>Numero di imprese nella finanza e nei servizi professionali.</w:t>
      </w:r>
    </w:p>
    <w:p w14:paraId="26E82587" w14:textId="77777777" w:rsidR="0074628E" w:rsidRDefault="00000000">
      <w:pPr>
        <w:pStyle w:val="Paragrafoelenco"/>
        <w:numPr>
          <w:ilvl w:val="0"/>
          <w:numId w:val="2"/>
        </w:numPr>
        <w:spacing w:after="60" w:line="264" w:lineRule="auto"/>
      </w:pPr>
      <w:r>
        <w:t>Nuove iscrizioni e cessazioni di imprese.</w:t>
      </w:r>
    </w:p>
    <w:p w14:paraId="32F4667D" w14:textId="77777777" w:rsidR="0074628E" w:rsidRDefault="00000000">
      <w:pPr>
        <w:pStyle w:val="Paragrafoelenco"/>
        <w:numPr>
          <w:ilvl w:val="0"/>
          <w:numId w:val="2"/>
        </w:numPr>
        <w:spacing w:after="60" w:line="264" w:lineRule="auto"/>
      </w:pPr>
      <w:r>
        <w:t>Numero di family office e società d'investimento private.</w:t>
      </w:r>
    </w:p>
    <w:p w14:paraId="650C96F6" w14:textId="77777777" w:rsidR="0074628E" w:rsidRDefault="00000000">
      <w:pPr>
        <w:pStyle w:val="Paragrafoelenco"/>
        <w:numPr>
          <w:ilvl w:val="0"/>
          <w:numId w:val="2"/>
        </w:numPr>
        <w:spacing w:after="60" w:line="264" w:lineRule="auto"/>
      </w:pPr>
      <w:r>
        <w:t>Occupazione e valore aggiunto per settore.</w:t>
      </w:r>
    </w:p>
    <w:p w14:paraId="2F083522" w14:textId="77777777" w:rsidR="0074628E" w:rsidRDefault="00000000">
      <w:pPr>
        <w:spacing w:after="120" w:line="276" w:lineRule="auto"/>
      </w:pPr>
      <w:r>
        <w:t>Non è ancora stato raccolto un conteggio comparabile di imprese attive e family office. L'ufficio statistico cantonale è il punto di partenza appropriato per una serie coerente di demografia d'impresa.</w:t>
      </w:r>
    </w:p>
    <w:p w14:paraId="68EB240E" w14:textId="77777777" w:rsidR="0074628E" w:rsidRDefault="00000000">
      <w:pPr>
        <w:keepNext/>
        <w:spacing w:before="80" w:after="60"/>
      </w:pPr>
      <w:r>
        <w:rPr>
          <w:b/>
          <w:bCs/>
          <w:sz w:val="20"/>
          <w:szCs w:val="20"/>
        </w:rPr>
        <w:t>Fonti e link</w:t>
      </w:r>
    </w:p>
    <w:p w14:paraId="1FD30A99" w14:textId="77777777" w:rsidR="0074628E" w:rsidRDefault="00000000">
      <w:pPr>
        <w:pStyle w:val="Paragrafoelenco"/>
        <w:numPr>
          <w:ilvl w:val="0"/>
          <w:numId w:val="2"/>
        </w:numPr>
        <w:spacing w:after="40"/>
      </w:pPr>
      <w:hyperlink r:id="rId27" w:history="1">
        <w:r>
          <w:rPr>
            <w:rStyle w:val="Collegamentoipertestuale"/>
            <w:sz w:val="20"/>
            <w:szCs w:val="20"/>
          </w:rPr>
          <w:t xml:space="preserve">Geneva </w:t>
        </w:r>
        <w:proofErr w:type="spellStart"/>
        <w:r>
          <w:rPr>
            <w:rStyle w:val="Collegamentoipertestuale"/>
            <w:sz w:val="20"/>
            <w:szCs w:val="20"/>
          </w:rPr>
          <w:t>Cantonal</w:t>
        </w:r>
        <w:proofErr w:type="spellEnd"/>
        <w:r>
          <w:rPr>
            <w:rStyle w:val="Collegamentoipertestuale"/>
            <w:sz w:val="20"/>
            <w:szCs w:val="20"/>
          </w:rPr>
          <w:t xml:space="preserve"> Statistical Office</w:t>
        </w:r>
      </w:hyperlink>
    </w:p>
    <w:p w14:paraId="7E4A5D6E" w14:textId="77777777" w:rsidR="0074628E" w:rsidRDefault="00000000">
      <w:pPr>
        <w:pStyle w:val="Paragrafoelenco"/>
        <w:numPr>
          <w:ilvl w:val="0"/>
          <w:numId w:val="2"/>
        </w:numPr>
        <w:spacing w:after="40"/>
      </w:pPr>
      <w:hyperlink r:id="rId28" w:history="1">
        <w:r>
          <w:rPr>
            <w:rStyle w:val="Collegamentoipertestuale"/>
            <w:sz w:val="20"/>
            <w:szCs w:val="20"/>
          </w:rPr>
          <w:t>Geneva Economic Development Office</w:t>
        </w:r>
      </w:hyperlink>
    </w:p>
    <w:p w14:paraId="05EF3A9A" w14:textId="77777777" w:rsidR="0074628E" w:rsidRDefault="00000000">
      <w:pPr>
        <w:pStyle w:val="Titolo3"/>
      </w:pPr>
      <w:r>
        <w:t>Londra (Regno Unito)</w:t>
      </w:r>
    </w:p>
    <w:p w14:paraId="45A7E02A" w14:textId="77777777" w:rsidR="0074628E" w:rsidRDefault="00000000">
      <w:pPr>
        <w:spacing w:after="120" w:line="276" w:lineRule="auto"/>
      </w:pPr>
      <w:r>
        <w:t>Londra è la maggiore economia regionale del Regno Unito, con un mix ampio di servizi finanziari, servizi professionali, tecnologia, media, commercio al dettaglio e attività internazionali.</w:t>
      </w:r>
    </w:p>
    <w:p w14:paraId="544F8A44" w14:textId="77777777" w:rsidR="0074628E" w:rsidRDefault="00000000">
      <w:pPr>
        <w:spacing w:after="120" w:line="276" w:lineRule="auto"/>
      </w:pPr>
      <w:r>
        <w:t xml:space="preserve">La Greater London Authority riporta che l'economia di Londra valeva circa </w:t>
      </w:r>
      <w:r>
        <w:rPr>
          <w:b/>
          <w:bCs/>
        </w:rPr>
        <w:t>618 miliardi di sterline nel 2023</w:t>
      </w:r>
      <w:r>
        <w:t>, pari al 22,7% del PIL del Regno Unito a prezzi correnti di mercato.</w:t>
      </w:r>
    </w:p>
    <w:p w14:paraId="0A7838D5" w14:textId="77777777" w:rsidR="0074628E" w:rsidRDefault="00000000">
      <w:pPr>
        <w:spacing w:after="120" w:line="276" w:lineRule="auto"/>
      </w:pPr>
      <w:r>
        <w:t>La concentrazione di grandi imprese, imprenditori, investitori internazionali e società di servizi professionali sostiene la domanda di private banking e wealth management.</w:t>
      </w:r>
    </w:p>
    <w:p w14:paraId="41290CF5" w14:textId="77777777" w:rsidR="0074628E" w:rsidRDefault="00000000">
      <w:pPr>
        <w:spacing w:after="120" w:line="276" w:lineRule="auto"/>
      </w:pPr>
      <w:r>
        <w:t>Indicatori rilevanti:</w:t>
      </w:r>
    </w:p>
    <w:p w14:paraId="5EE2FB14" w14:textId="77777777" w:rsidR="0074628E" w:rsidRDefault="00000000">
      <w:pPr>
        <w:pStyle w:val="Paragrafoelenco"/>
        <w:numPr>
          <w:ilvl w:val="0"/>
          <w:numId w:val="2"/>
        </w:numPr>
        <w:spacing w:after="60" w:line="264" w:lineRule="auto"/>
      </w:pPr>
      <w:r>
        <w:lastRenderedPageBreak/>
        <w:t>Numero di imprese attive.</w:t>
      </w:r>
    </w:p>
    <w:p w14:paraId="44C71392" w14:textId="77777777" w:rsidR="0074628E" w:rsidRDefault="00000000">
      <w:pPr>
        <w:pStyle w:val="Paragrafoelenco"/>
        <w:numPr>
          <w:ilvl w:val="0"/>
          <w:numId w:val="2"/>
        </w:numPr>
        <w:spacing w:after="60" w:line="264" w:lineRule="auto"/>
      </w:pPr>
      <w:r>
        <w:t>Numero di sedi di multinazionali.</w:t>
      </w:r>
    </w:p>
    <w:p w14:paraId="244691B2" w14:textId="77777777" w:rsidR="0074628E" w:rsidRDefault="00000000">
      <w:pPr>
        <w:pStyle w:val="Paragrafoelenco"/>
        <w:numPr>
          <w:ilvl w:val="0"/>
          <w:numId w:val="2"/>
        </w:numPr>
        <w:spacing w:after="60" w:line="264" w:lineRule="auto"/>
      </w:pPr>
      <w:r>
        <w:t>Nuove iscrizioni di imprese.</w:t>
      </w:r>
    </w:p>
    <w:p w14:paraId="42502258" w14:textId="77777777" w:rsidR="0074628E" w:rsidRDefault="00000000">
      <w:pPr>
        <w:pStyle w:val="Paragrafoelenco"/>
        <w:numPr>
          <w:ilvl w:val="0"/>
          <w:numId w:val="2"/>
        </w:numPr>
        <w:spacing w:after="60" w:line="264" w:lineRule="auto"/>
      </w:pPr>
      <w:r>
        <w:t>Numero di società di servizi finanziari e professionali.</w:t>
      </w:r>
    </w:p>
    <w:p w14:paraId="17426B27" w14:textId="77777777" w:rsidR="0074628E" w:rsidRDefault="00000000">
      <w:pPr>
        <w:pStyle w:val="Paragrafoelenco"/>
        <w:numPr>
          <w:ilvl w:val="0"/>
          <w:numId w:val="2"/>
        </w:numPr>
        <w:spacing w:after="60" w:line="264" w:lineRule="auto"/>
      </w:pPr>
      <w:r>
        <w:t>Numero di grandi imprese private.</w:t>
      </w:r>
    </w:p>
    <w:p w14:paraId="6A158132" w14:textId="77777777" w:rsidR="0074628E" w:rsidRDefault="00000000">
      <w:pPr>
        <w:pStyle w:val="Paragrafoelenco"/>
        <w:numPr>
          <w:ilvl w:val="0"/>
          <w:numId w:val="2"/>
        </w:numPr>
        <w:spacing w:after="60" w:line="264" w:lineRule="auto"/>
      </w:pPr>
      <w:r>
        <w:t>Numero di family office e società di partecipazione d'investimento.</w:t>
      </w:r>
    </w:p>
    <w:p w14:paraId="560A46AF" w14:textId="77777777" w:rsidR="0074628E" w:rsidRDefault="00000000">
      <w:pPr>
        <w:pStyle w:val="Paragrafoelenco"/>
        <w:numPr>
          <w:ilvl w:val="0"/>
          <w:numId w:val="2"/>
        </w:numPr>
        <w:spacing w:after="60" w:line="264" w:lineRule="auto"/>
      </w:pPr>
      <w:r>
        <w:t>Nascite, cessazioni e tassi di sopravvivenza delle imprese.</w:t>
      </w:r>
    </w:p>
    <w:p w14:paraId="63469A83" w14:textId="77777777" w:rsidR="0074628E" w:rsidRDefault="00000000">
      <w:pPr>
        <w:spacing w:after="120" w:line="276" w:lineRule="auto"/>
      </w:pPr>
      <w:r>
        <w:t>Un conteggio completo delle imprese dovrebbe specificare se include la Greater London, la City di Londra o un'area metropolitana più vasta.</w:t>
      </w:r>
    </w:p>
    <w:p w14:paraId="26A285DB" w14:textId="77777777" w:rsidR="0074628E" w:rsidRDefault="00000000">
      <w:pPr>
        <w:keepNext/>
        <w:spacing w:before="80" w:after="60"/>
      </w:pPr>
      <w:r>
        <w:rPr>
          <w:b/>
          <w:bCs/>
          <w:sz w:val="20"/>
          <w:szCs w:val="20"/>
        </w:rPr>
        <w:t>Fonti e link</w:t>
      </w:r>
    </w:p>
    <w:p w14:paraId="43F5FC79" w14:textId="77777777" w:rsidR="0074628E" w:rsidRDefault="00000000">
      <w:pPr>
        <w:pStyle w:val="Paragrafoelenco"/>
        <w:numPr>
          <w:ilvl w:val="0"/>
          <w:numId w:val="2"/>
        </w:numPr>
        <w:spacing w:after="40"/>
      </w:pPr>
      <w:hyperlink r:id="rId29" w:history="1">
        <w:r>
          <w:rPr>
            <w:rStyle w:val="Collegamentoipertestuale"/>
            <w:sz w:val="20"/>
            <w:szCs w:val="20"/>
          </w:rPr>
          <w:t>Greater London Authority — London in Figures</w:t>
        </w:r>
      </w:hyperlink>
    </w:p>
    <w:p w14:paraId="4EE38699" w14:textId="77777777" w:rsidR="0074628E" w:rsidRDefault="00000000">
      <w:pPr>
        <w:pStyle w:val="Paragrafoelenco"/>
        <w:numPr>
          <w:ilvl w:val="0"/>
          <w:numId w:val="2"/>
        </w:numPr>
        <w:spacing w:after="40"/>
      </w:pPr>
      <w:hyperlink r:id="rId30" w:history="1">
        <w:r>
          <w:rPr>
            <w:rStyle w:val="Collegamentoipertestuale"/>
            <w:sz w:val="20"/>
            <w:szCs w:val="20"/>
          </w:rPr>
          <w:t xml:space="preserve">UK Office for National </w:t>
        </w:r>
        <w:proofErr w:type="spellStart"/>
        <w:r>
          <w:rPr>
            <w:rStyle w:val="Collegamentoipertestuale"/>
            <w:sz w:val="20"/>
            <w:szCs w:val="20"/>
          </w:rPr>
          <w:t>Statistics</w:t>
        </w:r>
        <w:proofErr w:type="spellEnd"/>
      </w:hyperlink>
    </w:p>
    <w:p w14:paraId="09AF70DB" w14:textId="77777777" w:rsidR="0074628E" w:rsidRDefault="00000000">
      <w:pPr>
        <w:pStyle w:val="Paragrafoelenco"/>
        <w:numPr>
          <w:ilvl w:val="0"/>
          <w:numId w:val="2"/>
        </w:numPr>
        <w:spacing w:after="40"/>
      </w:pPr>
      <w:hyperlink r:id="rId31" w:history="1">
        <w:r>
          <w:rPr>
            <w:rStyle w:val="Collegamentoipertestuale"/>
            <w:sz w:val="20"/>
            <w:szCs w:val="20"/>
          </w:rPr>
          <w:t xml:space="preserve">City of London — Research and </w:t>
        </w:r>
        <w:proofErr w:type="spellStart"/>
        <w:r>
          <w:rPr>
            <w:rStyle w:val="Collegamentoipertestuale"/>
            <w:sz w:val="20"/>
            <w:szCs w:val="20"/>
          </w:rPr>
          <w:t>statistics</w:t>
        </w:r>
        <w:proofErr w:type="spellEnd"/>
      </w:hyperlink>
    </w:p>
    <w:p w14:paraId="2A8929CC" w14:textId="77777777" w:rsidR="0074628E" w:rsidRDefault="00000000">
      <w:pPr>
        <w:pStyle w:val="Titolo1"/>
      </w:pPr>
      <w:r>
        <w:t>4. Occupazione, competenze e salari</w:t>
      </w:r>
    </w:p>
    <w:p w14:paraId="6B153F57" w14:textId="77777777" w:rsidR="0074628E" w:rsidRDefault="00000000">
      <w:pPr>
        <w:spacing w:after="120" w:line="276" w:lineRule="auto"/>
      </w:pPr>
      <w:r>
        <w:t>Le tre fonti misurano concetti diversi (residenti occupati contro posti di lavoro), quindi le dimensioni non sono direttamente confrontabili. In termini di dinamica, Londra ha aggiunto circa 749.000 posti di lavoro in dieci anni (circa +13%, calcolo mio), Milano è cresciuta del 3,3% in un anno e Ginevra del 7,6% in dieci anni. Sui salari i dati non sono omogenei: il confronto più prudente è in termini di ordini di grandezza e dopo aver convertito valuta e periodo. Il salario mediano lordo mensile di Ginevra (CHF 7.893, 2024) equivale a circa CHF 94.700 annui; quello londinese (£835 a settimana) a circa £43.400 annui; la retribuzione media dei dipendenti privati nell'area di Milano è di circa € 34.300, ma è una media e non una mediana, e include anche lavoratori part-time.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6D213F28"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92BCA58"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FFE4E70"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A13E892"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8CDE043" w14:textId="77777777" w:rsidR="0074628E" w:rsidRDefault="00000000">
            <w:pPr>
              <w:spacing w:after="40"/>
            </w:pPr>
            <w:r>
              <w:rPr>
                <w:b/>
                <w:bCs/>
                <w:sz w:val="18"/>
                <w:szCs w:val="18"/>
              </w:rPr>
              <w:t>Londra</w:t>
            </w:r>
          </w:p>
        </w:tc>
      </w:tr>
      <w:tr w:rsidR="0074628E" w14:paraId="6906A922"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F80D30D" w14:textId="77777777" w:rsidR="0074628E" w:rsidRDefault="00000000">
            <w:pPr>
              <w:spacing w:after="40"/>
            </w:pPr>
            <w:r>
              <w:rPr>
                <w:b/>
                <w:bCs/>
                <w:sz w:val="18"/>
                <w:szCs w:val="18"/>
              </w:rPr>
              <w:t>Indicatore di occupazione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2D5463" w14:textId="77777777" w:rsidR="0074628E" w:rsidRDefault="00000000">
            <w:pPr>
              <w:spacing w:after="40"/>
            </w:pPr>
            <w:r>
              <w:rPr>
                <w:sz w:val="18"/>
                <w:szCs w:val="18"/>
              </w:rPr>
              <w:t>652.998 residenti occupati 15–64 anni (fine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0B62C8" w14:textId="77777777" w:rsidR="0074628E" w:rsidRDefault="00000000">
            <w:pPr>
              <w:spacing w:after="40"/>
            </w:pPr>
            <w:r>
              <w:rPr>
                <w:sz w:val="18"/>
                <w:szCs w:val="18"/>
              </w:rPr>
              <w:t>245.200 residenti occupati 15+ (2024); 427.656 posti di lavoro nel cantone (2023)</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D9866C" w14:textId="77777777" w:rsidR="0074628E" w:rsidRDefault="00000000">
            <w:pPr>
              <w:spacing w:after="40"/>
            </w:pPr>
            <w:r>
              <w:rPr>
                <w:sz w:val="18"/>
                <w:szCs w:val="18"/>
              </w:rPr>
              <w:t>≈ 6,4 milioni di posti di lavoro (dic. 2025)</w:t>
            </w:r>
          </w:p>
        </w:tc>
      </w:tr>
      <w:tr w:rsidR="0074628E" w14:paraId="2EA2C8FF"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937DA1" w14:textId="77777777" w:rsidR="0074628E" w:rsidRDefault="00000000">
            <w:pPr>
              <w:spacing w:after="40"/>
            </w:pPr>
            <w:r>
              <w:rPr>
                <w:b/>
                <w:bCs/>
                <w:sz w:val="18"/>
                <w:szCs w:val="18"/>
              </w:rPr>
              <w:t>Crescita dell'occupazione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476222" w14:textId="77777777" w:rsidR="0074628E" w:rsidRDefault="00000000">
            <w:pPr>
              <w:spacing w:after="40"/>
            </w:pPr>
            <w:r>
              <w:rPr>
                <w:sz w:val="18"/>
                <w:szCs w:val="18"/>
              </w:rPr>
              <w:t>+3,3% (2023–2024)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8C6143" w14:textId="77777777" w:rsidR="0074628E" w:rsidRDefault="00000000">
            <w:pPr>
              <w:spacing w:after="40"/>
            </w:pPr>
            <w:r>
              <w:rPr>
                <w:sz w:val="18"/>
                <w:szCs w:val="18"/>
              </w:rPr>
              <w:t>+7,6% (2014–2024)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7BEF93" w14:textId="77777777" w:rsidR="0074628E" w:rsidRDefault="00000000">
            <w:pPr>
              <w:spacing w:after="40"/>
            </w:pPr>
            <w:r>
              <w:rPr>
                <w:sz w:val="18"/>
                <w:szCs w:val="18"/>
              </w:rPr>
              <w:t>+749.000 posti in 10 anni (≈ +13%, calcolo mio)</w:t>
            </w:r>
          </w:p>
        </w:tc>
      </w:tr>
      <w:tr w:rsidR="0074628E" w14:paraId="27DE3431"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605BC5F" w14:textId="77777777" w:rsidR="0074628E" w:rsidRDefault="00000000">
            <w:pPr>
              <w:spacing w:after="40"/>
            </w:pPr>
            <w:r>
              <w:rPr>
                <w:b/>
                <w:bCs/>
                <w:sz w:val="18"/>
                <w:szCs w:val="18"/>
              </w:rPr>
              <w:t>Salario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186B45" w14:textId="77777777" w:rsidR="0074628E" w:rsidRDefault="00000000">
            <w:pPr>
              <w:spacing w:after="40"/>
            </w:pPr>
            <w:r>
              <w:rPr>
                <w:sz w:val="18"/>
                <w:szCs w:val="18"/>
              </w:rPr>
              <w:t>€ 34.343 retribuzione media annua dei dipendenti privati (Città Metropolitana, INPS)</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D7F8FA" w14:textId="77777777" w:rsidR="0074628E" w:rsidRDefault="00000000">
            <w:pPr>
              <w:spacing w:after="40"/>
            </w:pPr>
            <w:r>
              <w:rPr>
                <w:sz w:val="18"/>
                <w:szCs w:val="18"/>
              </w:rPr>
              <w:t>CHF 7.893 mediano lordo mensile, tempo pieno (2024)</w:t>
            </w:r>
          </w:p>
          <w:p w14:paraId="4C777087" w14:textId="77777777" w:rsidR="0074628E" w:rsidRDefault="00000000">
            <w:pPr>
              <w:spacing w:after="40"/>
            </w:pPr>
            <w:r>
              <w:rPr>
                <w:sz w:val="18"/>
                <w:szCs w:val="18"/>
              </w:rPr>
              <w:t>= CHF 91.200 – 98.800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24BF7D" w14:textId="77777777" w:rsidR="0074628E" w:rsidRDefault="00000000">
            <w:pPr>
              <w:spacing w:after="40"/>
            </w:pPr>
            <w:r>
              <w:rPr>
                <w:sz w:val="18"/>
                <w:szCs w:val="18"/>
              </w:rPr>
              <w:t>£ 835 mediano lordo settimanale (ASHE 2025)</w:t>
            </w:r>
          </w:p>
          <w:p w14:paraId="25D2ED16" w14:textId="77777777" w:rsidR="0074628E" w:rsidRDefault="00000000">
            <w:pPr>
              <w:spacing w:after="40"/>
            </w:pPr>
            <w:r>
              <w:rPr>
                <w:sz w:val="18"/>
                <w:szCs w:val="18"/>
              </w:rPr>
              <w:t>= £49.692 e le £53.700</w:t>
            </w:r>
          </w:p>
        </w:tc>
      </w:tr>
      <w:tr w:rsidR="0074628E" w14:paraId="1D4D6F7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85156B" w14:textId="77777777" w:rsidR="0074628E" w:rsidRDefault="00000000">
            <w:pPr>
              <w:spacing w:after="40"/>
            </w:pPr>
            <w:r>
              <w:rPr>
                <w:b/>
                <w:bCs/>
                <w:sz w:val="18"/>
                <w:szCs w:val="18"/>
              </w:rPr>
              <w:t>Forza lavoro internazionale qualificata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9366A4" w14:textId="77777777" w:rsidR="0074628E" w:rsidRDefault="00000000">
            <w:pPr>
              <w:spacing w:after="40"/>
            </w:pPr>
            <w:r>
              <w:rPr>
                <w:sz w:val="18"/>
                <w:szCs w:val="18"/>
              </w:rPr>
              <w:t>80,000-100,000 profili executive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D560F8" w14:textId="77777777" w:rsidR="0074628E" w:rsidRDefault="00000000">
            <w:pPr>
              <w:spacing w:after="40"/>
            </w:pPr>
            <w:r>
              <w:rPr>
                <w:sz w:val="18"/>
                <w:szCs w:val="18"/>
              </w:rPr>
              <w:t>≈ 123.900 posti in multinazionali; ≈ 29.000 in organizzazioni internazionali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F5D732" w14:textId="77777777" w:rsidR="0074628E" w:rsidRDefault="00000000">
            <w:pPr>
              <w:spacing w:after="40"/>
            </w:pPr>
            <w:r>
              <w:rPr>
                <w:sz w:val="18"/>
                <w:szCs w:val="18"/>
              </w:rPr>
              <w:t>Oltre 1.2 milioni</w:t>
            </w:r>
          </w:p>
        </w:tc>
      </w:tr>
    </w:tbl>
    <w:p w14:paraId="3EBAA51D" w14:textId="77777777" w:rsidR="0074628E" w:rsidRDefault="00000000">
      <w:pPr>
        <w:spacing w:before="60" w:after="160"/>
      </w:pPr>
      <w:r>
        <w:rPr>
          <w:i/>
          <w:iCs/>
          <w:color w:val="595959"/>
          <w:sz w:val="18"/>
          <w:szCs w:val="18"/>
        </w:rPr>
        <w:t>Fonti: Comune di Milano (indicatori economici); OCSTAT (</w:t>
      </w:r>
      <w:proofErr w:type="spellStart"/>
      <w:r>
        <w:rPr>
          <w:i/>
          <w:iCs/>
          <w:color w:val="595959"/>
          <w:sz w:val="18"/>
          <w:szCs w:val="18"/>
        </w:rPr>
        <w:t>Bulletin</w:t>
      </w:r>
      <w:proofErr w:type="spellEnd"/>
      <w:r>
        <w:rPr>
          <w:i/>
          <w:iCs/>
          <w:color w:val="595959"/>
          <w:sz w:val="18"/>
          <w:szCs w:val="18"/>
        </w:rPr>
        <w:t xml:space="preserve"> </w:t>
      </w:r>
      <w:proofErr w:type="spellStart"/>
      <w:r>
        <w:rPr>
          <w:i/>
          <w:iCs/>
          <w:color w:val="595959"/>
          <w:sz w:val="18"/>
          <w:szCs w:val="18"/>
        </w:rPr>
        <w:t>statistique</w:t>
      </w:r>
      <w:proofErr w:type="spellEnd"/>
      <w:r>
        <w:rPr>
          <w:i/>
          <w:iCs/>
          <w:color w:val="595959"/>
          <w:sz w:val="18"/>
          <w:szCs w:val="18"/>
        </w:rPr>
        <w:t xml:space="preserve"> </w:t>
      </w:r>
      <w:proofErr w:type="spellStart"/>
      <w:r>
        <w:rPr>
          <w:i/>
          <w:iCs/>
          <w:color w:val="595959"/>
          <w:sz w:val="18"/>
          <w:szCs w:val="18"/>
        </w:rPr>
        <w:t>mensuel</w:t>
      </w:r>
      <w:proofErr w:type="spellEnd"/>
      <w:r>
        <w:rPr>
          <w:i/>
          <w:iCs/>
          <w:color w:val="595959"/>
          <w:sz w:val="18"/>
          <w:szCs w:val="18"/>
        </w:rPr>
        <w:t xml:space="preserve"> 12/2025 e Info </w:t>
      </w:r>
      <w:proofErr w:type="spellStart"/>
      <w:r>
        <w:rPr>
          <w:i/>
          <w:iCs/>
          <w:color w:val="595959"/>
          <w:sz w:val="18"/>
          <w:szCs w:val="18"/>
        </w:rPr>
        <w:t>Emploi</w:t>
      </w:r>
      <w:proofErr w:type="spellEnd"/>
      <w:r>
        <w:rPr>
          <w:i/>
          <w:iCs/>
          <w:color w:val="595959"/>
          <w:sz w:val="18"/>
          <w:szCs w:val="18"/>
        </w:rPr>
        <w:t xml:space="preserve"> 2023; il valore CHF 7.893 è riportato da una fonte secondaria che cita l'OCSTAT, da verificare sul bollettino); Città Metropolitana di Milano, rapporto BES 2025; ONS ASHE 2025 tramite GLA; ONS </w:t>
      </w:r>
      <w:proofErr w:type="spellStart"/>
      <w:r>
        <w:rPr>
          <w:i/>
          <w:iCs/>
          <w:color w:val="595959"/>
          <w:sz w:val="18"/>
          <w:szCs w:val="18"/>
        </w:rPr>
        <w:t>Workforce</w:t>
      </w:r>
      <w:proofErr w:type="spellEnd"/>
      <w:r>
        <w:rPr>
          <w:i/>
          <w:iCs/>
          <w:color w:val="595959"/>
          <w:sz w:val="18"/>
          <w:szCs w:val="18"/>
        </w:rPr>
        <w:t xml:space="preserve"> Jobs.</w:t>
      </w:r>
    </w:p>
    <w:p w14:paraId="195D24CD" w14:textId="77777777" w:rsidR="0074628E" w:rsidRDefault="00000000">
      <w:pPr>
        <w:pStyle w:val="Titolo2"/>
      </w:pPr>
      <w:r>
        <w:t>Approfondimento per città</w:t>
      </w:r>
    </w:p>
    <w:p w14:paraId="25598917" w14:textId="77777777" w:rsidR="0074628E" w:rsidRDefault="00000000">
      <w:pPr>
        <w:pStyle w:val="Titolo3"/>
      </w:pPr>
      <w:r>
        <w:t>Milano (Italia)</w:t>
      </w:r>
    </w:p>
    <w:p w14:paraId="76ED0F2B" w14:textId="77777777" w:rsidR="0074628E" w:rsidRDefault="00000000">
      <w:pPr>
        <w:spacing w:after="120" w:line="276" w:lineRule="auto"/>
      </w:pPr>
      <w:r>
        <w:t xml:space="preserve">Il portale statistico comunale di Milano riporta </w:t>
      </w:r>
      <w:r>
        <w:rPr>
          <w:b/>
          <w:bCs/>
        </w:rPr>
        <w:t>652.998 residenti occupati di età 15–64 anni a fine 2024</w:t>
      </w:r>
      <w:r>
        <w:t>, rispetto a 631.622 nel 2023, con un aumento di circa il 3,3%.</w:t>
      </w:r>
    </w:p>
    <w:p w14:paraId="7F6BE053" w14:textId="77777777" w:rsidR="0074628E" w:rsidRDefault="00000000">
      <w:pPr>
        <w:spacing w:after="120" w:line="276" w:lineRule="auto"/>
      </w:pPr>
      <w:r>
        <w:t>Lo stesso portale riporta per questo gruppo, nel 2024, un tasso di attività del 60,1% e un tasso di occupazione del 57,1%. Questi indicatori si riferiscono ai residenti e non vanno confusi con il numero totale di posti di lavoro fisicamente situati in città.</w:t>
      </w:r>
    </w:p>
    <w:p w14:paraId="6889CC28" w14:textId="77777777" w:rsidR="0074628E" w:rsidRDefault="00000000">
      <w:pPr>
        <w:spacing w:after="120" w:line="276" w:lineRule="auto"/>
      </w:pPr>
      <w:r>
        <w:lastRenderedPageBreak/>
        <w:t>Le dimensioni del mercato del lavoro milanese sostengono la capacità della città di attrarre professionisti di finanza, consulenza, diritto, contabilità e direzione aziendale.</w:t>
      </w:r>
    </w:p>
    <w:p w14:paraId="096A0C0D" w14:textId="77777777" w:rsidR="0074628E" w:rsidRDefault="00000000">
      <w:pPr>
        <w:spacing w:after="120" w:line="276" w:lineRule="auto"/>
      </w:pPr>
      <w:r>
        <w:t>Ulteriori indicatori da includere:</w:t>
      </w:r>
    </w:p>
    <w:p w14:paraId="445D0951" w14:textId="77777777" w:rsidR="0074628E" w:rsidRDefault="00000000">
      <w:pPr>
        <w:pStyle w:val="Paragrafoelenco"/>
        <w:numPr>
          <w:ilvl w:val="0"/>
          <w:numId w:val="2"/>
        </w:numPr>
        <w:spacing w:after="60" w:line="264" w:lineRule="auto"/>
      </w:pPr>
      <w:r>
        <w:t>Tasso di disoccupazione.</w:t>
      </w:r>
    </w:p>
    <w:p w14:paraId="403B43EA" w14:textId="77777777" w:rsidR="0074628E" w:rsidRDefault="00000000">
      <w:pPr>
        <w:pStyle w:val="Paragrafoelenco"/>
        <w:numPr>
          <w:ilvl w:val="0"/>
          <w:numId w:val="2"/>
        </w:numPr>
        <w:spacing w:after="60" w:line="264" w:lineRule="auto"/>
      </w:pPr>
      <w:r>
        <w:t>Reddito mediano e medio.</w:t>
      </w:r>
    </w:p>
    <w:p w14:paraId="3CA93988" w14:textId="77777777" w:rsidR="0074628E" w:rsidRDefault="00000000">
      <w:pPr>
        <w:pStyle w:val="Paragrafoelenco"/>
        <w:numPr>
          <w:ilvl w:val="0"/>
          <w:numId w:val="2"/>
        </w:numPr>
        <w:spacing w:after="60" w:line="264" w:lineRule="auto"/>
      </w:pPr>
      <w:r>
        <w:t>Occupazione nel settore finanziario.</w:t>
      </w:r>
    </w:p>
    <w:p w14:paraId="4310E1DC" w14:textId="77777777" w:rsidR="0074628E" w:rsidRDefault="00000000">
      <w:pPr>
        <w:pStyle w:val="Paragrafoelenco"/>
        <w:numPr>
          <w:ilvl w:val="0"/>
          <w:numId w:val="2"/>
        </w:numPr>
        <w:spacing w:after="60" w:line="264" w:lineRule="auto"/>
      </w:pPr>
      <w:r>
        <w:t>Quota di residenti con titolo universitario.</w:t>
      </w:r>
    </w:p>
    <w:p w14:paraId="79B58B63" w14:textId="77777777" w:rsidR="0074628E" w:rsidRDefault="00000000">
      <w:pPr>
        <w:pStyle w:val="Paragrafoelenco"/>
        <w:numPr>
          <w:ilvl w:val="0"/>
          <w:numId w:val="2"/>
        </w:numPr>
        <w:spacing w:after="60" w:line="264" w:lineRule="auto"/>
      </w:pPr>
      <w:r>
        <w:t>Salari medi in banking e gestione degli investimenti.</w:t>
      </w:r>
    </w:p>
    <w:p w14:paraId="44B14655" w14:textId="77777777" w:rsidR="0074628E" w:rsidRDefault="00000000">
      <w:pPr>
        <w:pStyle w:val="Paragrafoelenco"/>
        <w:numPr>
          <w:ilvl w:val="0"/>
          <w:numId w:val="2"/>
        </w:numPr>
        <w:spacing w:after="60" w:line="264" w:lineRule="auto"/>
      </w:pPr>
      <w:r>
        <w:t>Numero di laureati in finanza, economia, matematica e discipline affini.</w:t>
      </w:r>
    </w:p>
    <w:p w14:paraId="5FE3FDF9" w14:textId="77777777" w:rsidR="0074628E" w:rsidRDefault="00000000">
      <w:pPr>
        <w:keepNext/>
        <w:spacing w:before="80" w:after="60"/>
      </w:pPr>
      <w:r>
        <w:rPr>
          <w:b/>
          <w:bCs/>
          <w:sz w:val="20"/>
          <w:szCs w:val="20"/>
        </w:rPr>
        <w:t>Fonti e link</w:t>
      </w:r>
    </w:p>
    <w:p w14:paraId="48932428" w14:textId="77777777" w:rsidR="0074628E" w:rsidRDefault="00000000">
      <w:pPr>
        <w:pStyle w:val="Paragrafoelenco"/>
        <w:numPr>
          <w:ilvl w:val="0"/>
          <w:numId w:val="2"/>
        </w:numPr>
        <w:spacing w:after="40"/>
      </w:pPr>
      <w:hyperlink r:id="rId32" w:history="1">
        <w:r>
          <w:rPr>
            <w:rStyle w:val="Collegamentoipertestuale"/>
            <w:sz w:val="20"/>
            <w:szCs w:val="20"/>
          </w:rPr>
          <w:t xml:space="preserve">Milan — Economic and financial </w:t>
        </w:r>
        <w:proofErr w:type="spellStart"/>
        <w:r>
          <w:rPr>
            <w:rStyle w:val="Collegamentoipertestuale"/>
            <w:sz w:val="20"/>
            <w:szCs w:val="20"/>
          </w:rPr>
          <w:t>indicators</w:t>
        </w:r>
        <w:proofErr w:type="spellEnd"/>
      </w:hyperlink>
    </w:p>
    <w:p w14:paraId="4FDEDF2F" w14:textId="77777777" w:rsidR="0074628E" w:rsidRDefault="00000000">
      <w:pPr>
        <w:pStyle w:val="Paragrafoelenco"/>
        <w:numPr>
          <w:ilvl w:val="0"/>
          <w:numId w:val="2"/>
        </w:numPr>
        <w:spacing w:after="40"/>
      </w:pPr>
      <w:hyperlink r:id="rId33" w:history="1">
        <w:r>
          <w:rPr>
            <w:rStyle w:val="Collegamentoipertestuale"/>
            <w:sz w:val="20"/>
            <w:szCs w:val="20"/>
          </w:rPr>
          <w:t xml:space="preserve">ISTAT — Labour market </w:t>
        </w:r>
        <w:proofErr w:type="spellStart"/>
        <w:r>
          <w:rPr>
            <w:rStyle w:val="Collegamentoipertestuale"/>
            <w:sz w:val="20"/>
            <w:szCs w:val="20"/>
          </w:rPr>
          <w:t>statistics</w:t>
        </w:r>
        <w:proofErr w:type="spellEnd"/>
      </w:hyperlink>
    </w:p>
    <w:p w14:paraId="3424E0F2" w14:textId="77777777" w:rsidR="0074628E" w:rsidRDefault="00000000">
      <w:pPr>
        <w:pStyle w:val="Titolo3"/>
      </w:pPr>
      <w:r>
        <w:t>Ginevra (Svizzera)</w:t>
      </w:r>
    </w:p>
    <w:p w14:paraId="05D679B6" w14:textId="77777777" w:rsidR="0074628E" w:rsidRDefault="00000000">
      <w:pPr>
        <w:spacing w:after="120" w:line="276" w:lineRule="auto"/>
      </w:pPr>
      <w:r>
        <w:t xml:space="preserve">Il mercato del lavoro di Ginevra è internazionale e specializzato. Nel 2024 l'ufficio statistico cantonale ha riportato circa </w:t>
      </w:r>
      <w:r>
        <w:rPr>
          <w:b/>
          <w:bCs/>
        </w:rPr>
        <w:t>245.200 residenti occupati di 15 anni e più</w:t>
      </w:r>
      <w:r>
        <w:t>, esclusi i funzionari internazionali e i residenti in economie domestiche collettive, con un aumento del 7,6% rispetto al 2014.</w:t>
      </w:r>
    </w:p>
    <w:p w14:paraId="1007EDC6" w14:textId="77777777" w:rsidR="0074628E" w:rsidRDefault="00000000">
      <w:pPr>
        <w:spacing w:after="120" w:line="276" w:lineRule="auto"/>
      </w:pPr>
      <w:r>
        <w:t>Separatamente, il Geneva Financial Center riporta circa 38.000 posti di lavoro nella finanza e nei servizi professionali collegati.</w:t>
      </w:r>
    </w:p>
    <w:p w14:paraId="1B397051" w14:textId="77777777" w:rsidR="0074628E" w:rsidRDefault="00000000">
      <w:pPr>
        <w:spacing w:after="120" w:line="276" w:lineRule="auto"/>
      </w:pPr>
      <w:r>
        <w:t>La distinzione è importante: l'occupazione dei residenti misura la condizione lavorativa delle persone che vivono a Ginevra, mentre i posti di lavoro del settore finanziario misurano le posizioni associate al settore.</w:t>
      </w:r>
    </w:p>
    <w:p w14:paraId="05968D6D" w14:textId="77777777" w:rsidR="0074628E" w:rsidRDefault="00000000">
      <w:pPr>
        <w:spacing w:after="120" w:line="276" w:lineRule="auto"/>
      </w:pPr>
      <w:r>
        <w:t>Ulteriori indicatori da includere:</w:t>
      </w:r>
    </w:p>
    <w:p w14:paraId="7BBC3256" w14:textId="77777777" w:rsidR="0074628E" w:rsidRDefault="00000000">
      <w:pPr>
        <w:pStyle w:val="Paragrafoelenco"/>
        <w:numPr>
          <w:ilvl w:val="0"/>
          <w:numId w:val="2"/>
        </w:numPr>
        <w:spacing w:after="60" w:line="264" w:lineRule="auto"/>
      </w:pPr>
      <w:r>
        <w:t>Occupazione totale e tassi di disoccupazione.</w:t>
      </w:r>
    </w:p>
    <w:p w14:paraId="7DE3FFBB" w14:textId="77777777" w:rsidR="0074628E" w:rsidRDefault="00000000">
      <w:pPr>
        <w:pStyle w:val="Paragrafoelenco"/>
        <w:numPr>
          <w:ilvl w:val="0"/>
          <w:numId w:val="2"/>
        </w:numPr>
        <w:spacing w:after="60" w:line="264" w:lineRule="auto"/>
      </w:pPr>
      <w:r>
        <w:t>Occupazione nel settore finanziario.</w:t>
      </w:r>
    </w:p>
    <w:p w14:paraId="2ED697C1" w14:textId="77777777" w:rsidR="0074628E" w:rsidRDefault="00000000">
      <w:pPr>
        <w:pStyle w:val="Paragrafoelenco"/>
        <w:numPr>
          <w:ilvl w:val="0"/>
          <w:numId w:val="2"/>
        </w:numPr>
        <w:spacing w:after="60" w:line="264" w:lineRule="auto"/>
      </w:pPr>
      <w:r>
        <w:t>Salari in banking, asset management e servizi legali.</w:t>
      </w:r>
    </w:p>
    <w:p w14:paraId="79889376" w14:textId="77777777" w:rsidR="0074628E" w:rsidRDefault="00000000">
      <w:pPr>
        <w:pStyle w:val="Paragrafoelenco"/>
        <w:numPr>
          <w:ilvl w:val="0"/>
          <w:numId w:val="2"/>
        </w:numPr>
        <w:spacing w:after="60" w:line="264" w:lineRule="auto"/>
      </w:pPr>
      <w:r>
        <w:t>Quota di lavoratori stranieri.</w:t>
      </w:r>
    </w:p>
    <w:p w14:paraId="078E1998" w14:textId="77777777" w:rsidR="0074628E" w:rsidRDefault="00000000">
      <w:pPr>
        <w:pStyle w:val="Paragrafoelenco"/>
        <w:numPr>
          <w:ilvl w:val="0"/>
          <w:numId w:val="2"/>
        </w:numPr>
        <w:spacing w:after="60" w:line="264" w:lineRule="auto"/>
      </w:pPr>
      <w:r>
        <w:t>Livelli di istruzione e qualifiche professionali.</w:t>
      </w:r>
    </w:p>
    <w:p w14:paraId="71789C21" w14:textId="77777777" w:rsidR="0074628E" w:rsidRDefault="00000000">
      <w:pPr>
        <w:pStyle w:val="Paragrafoelenco"/>
        <w:numPr>
          <w:ilvl w:val="0"/>
          <w:numId w:val="2"/>
        </w:numPr>
        <w:spacing w:after="60" w:line="264" w:lineRule="auto"/>
      </w:pPr>
      <w:r>
        <w:t>Reclutamento e fidelizzazione di talenti finanziari internazionali.</w:t>
      </w:r>
    </w:p>
    <w:p w14:paraId="3B0A9BDE" w14:textId="77777777" w:rsidR="0074628E" w:rsidRDefault="00000000">
      <w:pPr>
        <w:spacing w:after="120" w:line="276" w:lineRule="auto"/>
      </w:pPr>
      <w:r>
        <w:t>Il bacino di lavoratori specializzati di Ginevra è un punto di forza per il wealth management, ma occorre considerare anche il costo complessivo di impiegare personale altamente qualificato.</w:t>
      </w:r>
    </w:p>
    <w:p w14:paraId="210A737C" w14:textId="77777777" w:rsidR="0074628E" w:rsidRDefault="00000000">
      <w:pPr>
        <w:keepNext/>
        <w:spacing w:before="80" w:after="60"/>
      </w:pPr>
      <w:r>
        <w:rPr>
          <w:b/>
          <w:bCs/>
          <w:sz w:val="20"/>
          <w:szCs w:val="20"/>
        </w:rPr>
        <w:t>Fonti e link</w:t>
      </w:r>
    </w:p>
    <w:p w14:paraId="28FD1BBD" w14:textId="77777777" w:rsidR="0074628E" w:rsidRDefault="00000000">
      <w:pPr>
        <w:pStyle w:val="Paragrafoelenco"/>
        <w:numPr>
          <w:ilvl w:val="0"/>
          <w:numId w:val="2"/>
        </w:numPr>
        <w:spacing w:after="40"/>
      </w:pPr>
      <w:hyperlink r:id="rId34" w:history="1">
        <w:r>
          <w:rPr>
            <w:rStyle w:val="Collegamentoipertestuale"/>
            <w:sz w:val="20"/>
            <w:szCs w:val="20"/>
          </w:rPr>
          <w:t>Geneva — Professional activity and working time</w:t>
        </w:r>
      </w:hyperlink>
    </w:p>
    <w:p w14:paraId="111DE446" w14:textId="77777777" w:rsidR="0074628E" w:rsidRDefault="00000000">
      <w:pPr>
        <w:pStyle w:val="Paragrafoelenco"/>
        <w:numPr>
          <w:ilvl w:val="0"/>
          <w:numId w:val="2"/>
        </w:numPr>
        <w:spacing w:after="40"/>
      </w:pPr>
      <w:hyperlink r:id="rId35" w:history="1">
        <w:r>
          <w:rPr>
            <w:rStyle w:val="Collegamentoipertestuale"/>
            <w:sz w:val="20"/>
            <w:szCs w:val="20"/>
          </w:rPr>
          <w:t>Geneva Financial Center</w:t>
        </w:r>
      </w:hyperlink>
    </w:p>
    <w:p w14:paraId="42CB1743" w14:textId="77777777" w:rsidR="0074628E" w:rsidRDefault="00000000">
      <w:pPr>
        <w:pStyle w:val="Titolo3"/>
      </w:pPr>
      <w:r>
        <w:t>Londra (Regno Unito)</w:t>
      </w:r>
    </w:p>
    <w:p w14:paraId="04484A46" w14:textId="77777777" w:rsidR="0074628E" w:rsidRDefault="00000000">
      <w:pPr>
        <w:spacing w:after="120" w:line="276" w:lineRule="auto"/>
      </w:pPr>
      <w:r>
        <w:t xml:space="preserve">Londra ha un mercato del lavoro ampio e relativamente giovane. Secondo la dashboard statistica della Greater London Authority, la Greater London contava circa </w:t>
      </w:r>
      <w:r>
        <w:rPr>
          <w:b/>
          <w:bCs/>
        </w:rPr>
        <w:t>6,4 milioni di posti di lavoro nel 2025</w:t>
      </w:r>
      <w:r>
        <w:t>.</w:t>
      </w:r>
    </w:p>
    <w:p w14:paraId="6456063E" w14:textId="77777777" w:rsidR="0074628E" w:rsidRDefault="00000000">
      <w:pPr>
        <w:spacing w:after="120" w:line="276" w:lineRule="auto"/>
      </w:pPr>
      <w:r>
        <w:t>La stessa dashboard riporta un'età mediana di 35,7 anni, contro 40,3 per Inghilterra e Galles, e una popolazione in cui il 67% dei residenti ha tra 18 e 64 anni.</w:t>
      </w:r>
    </w:p>
    <w:p w14:paraId="533A55CF" w14:textId="77777777" w:rsidR="0074628E" w:rsidRDefault="00000000">
      <w:pPr>
        <w:spacing w:after="120" w:line="276" w:lineRule="auto"/>
      </w:pPr>
      <w:r>
        <w:t>Queste caratteristiche demografiche sostengono un ampio bacino di professionisti, anche se non misurano direttamente l'offerta di persone qualificate per i ruoli di wealth management.</w:t>
      </w:r>
    </w:p>
    <w:p w14:paraId="7FFAC581" w14:textId="77777777" w:rsidR="0074628E" w:rsidRDefault="00000000">
      <w:pPr>
        <w:spacing w:after="120" w:line="276" w:lineRule="auto"/>
      </w:pPr>
      <w:r>
        <w:t>Ulteriori indicatori da includere:</w:t>
      </w:r>
    </w:p>
    <w:p w14:paraId="5277E7DD" w14:textId="77777777" w:rsidR="0074628E" w:rsidRDefault="00000000">
      <w:pPr>
        <w:pStyle w:val="Paragrafoelenco"/>
        <w:numPr>
          <w:ilvl w:val="0"/>
          <w:numId w:val="2"/>
        </w:numPr>
        <w:spacing w:after="60" w:line="264" w:lineRule="auto"/>
      </w:pPr>
      <w:r>
        <w:t>Occupazione nei servizi finanziari.</w:t>
      </w:r>
    </w:p>
    <w:p w14:paraId="5D06E8D1" w14:textId="77777777" w:rsidR="0074628E" w:rsidRDefault="00000000">
      <w:pPr>
        <w:pStyle w:val="Paragrafoelenco"/>
        <w:numPr>
          <w:ilvl w:val="0"/>
          <w:numId w:val="2"/>
        </w:numPr>
        <w:spacing w:after="60" w:line="264" w:lineRule="auto"/>
      </w:pPr>
      <w:r>
        <w:t>Tassi di disoccupazione e di occupazione.</w:t>
      </w:r>
    </w:p>
    <w:p w14:paraId="6D1E8A77" w14:textId="77777777" w:rsidR="0074628E" w:rsidRDefault="00000000">
      <w:pPr>
        <w:pStyle w:val="Paragrafoelenco"/>
        <w:numPr>
          <w:ilvl w:val="0"/>
          <w:numId w:val="2"/>
        </w:numPr>
        <w:spacing w:after="60" w:line="264" w:lineRule="auto"/>
      </w:pPr>
      <w:r>
        <w:lastRenderedPageBreak/>
        <w:t>Salari e stipendi mediani.</w:t>
      </w:r>
    </w:p>
    <w:p w14:paraId="47B2F0B0" w14:textId="77777777" w:rsidR="0074628E" w:rsidRDefault="00000000">
      <w:pPr>
        <w:pStyle w:val="Paragrafoelenco"/>
        <w:numPr>
          <w:ilvl w:val="0"/>
          <w:numId w:val="2"/>
        </w:numPr>
        <w:spacing w:after="60" w:line="264" w:lineRule="auto"/>
      </w:pPr>
      <w:r>
        <w:t>Quota di lavoratori con titolo universitario.</w:t>
      </w:r>
    </w:p>
    <w:p w14:paraId="36C87AB6" w14:textId="77777777" w:rsidR="0074628E" w:rsidRDefault="00000000">
      <w:pPr>
        <w:pStyle w:val="Paragrafoelenco"/>
        <w:numPr>
          <w:ilvl w:val="0"/>
          <w:numId w:val="2"/>
        </w:numPr>
        <w:spacing w:after="60" w:line="264" w:lineRule="auto"/>
      </w:pPr>
      <w:r>
        <w:t>Occupazione in banking, gestione degli investimenti e servizi legali.</w:t>
      </w:r>
    </w:p>
    <w:p w14:paraId="44186BBD" w14:textId="77777777" w:rsidR="0074628E" w:rsidRDefault="00000000">
      <w:pPr>
        <w:pStyle w:val="Paragrafoelenco"/>
        <w:numPr>
          <w:ilvl w:val="0"/>
          <w:numId w:val="2"/>
        </w:numPr>
        <w:spacing w:after="60" w:line="264" w:lineRule="auto"/>
      </w:pPr>
      <w:r>
        <w:t>Reclutamento internazionale e migrazione di lavoratori qualificati.</w:t>
      </w:r>
    </w:p>
    <w:p w14:paraId="77EA0068" w14:textId="77777777" w:rsidR="0074628E" w:rsidRDefault="00000000">
      <w:pPr>
        <w:spacing w:after="120" w:line="276" w:lineRule="auto"/>
      </w:pPr>
      <w:r>
        <w:t>Per un confronto diretto con Ginevra e Milano, l'occupazione dovrebbe essere espressa sia in termini assoluti sia come quota dell'occupazione totale.</w:t>
      </w:r>
    </w:p>
    <w:p w14:paraId="671E924F" w14:textId="77777777" w:rsidR="0074628E" w:rsidRDefault="00000000">
      <w:pPr>
        <w:keepNext/>
        <w:spacing w:before="80" w:after="60"/>
      </w:pPr>
      <w:r>
        <w:rPr>
          <w:b/>
          <w:bCs/>
          <w:sz w:val="20"/>
          <w:szCs w:val="20"/>
        </w:rPr>
        <w:t>Fonti e link</w:t>
      </w:r>
    </w:p>
    <w:p w14:paraId="1ADFDC8F" w14:textId="77777777" w:rsidR="0074628E" w:rsidRDefault="00000000">
      <w:pPr>
        <w:pStyle w:val="Paragrafoelenco"/>
        <w:numPr>
          <w:ilvl w:val="0"/>
          <w:numId w:val="2"/>
        </w:numPr>
        <w:spacing w:after="40"/>
      </w:pPr>
      <w:hyperlink r:id="rId36" w:history="1">
        <w:r>
          <w:rPr>
            <w:rStyle w:val="Collegamentoipertestuale"/>
            <w:sz w:val="20"/>
            <w:szCs w:val="20"/>
          </w:rPr>
          <w:t>Greater London Authority — London in Figures</w:t>
        </w:r>
      </w:hyperlink>
    </w:p>
    <w:p w14:paraId="191D1718" w14:textId="77777777" w:rsidR="0074628E" w:rsidRPr="00034606" w:rsidRDefault="00000000">
      <w:pPr>
        <w:pStyle w:val="Paragrafoelenco"/>
        <w:numPr>
          <w:ilvl w:val="0"/>
          <w:numId w:val="2"/>
        </w:numPr>
        <w:spacing w:after="40"/>
        <w:rPr>
          <w:lang w:val="fr-FR"/>
        </w:rPr>
      </w:pPr>
      <w:hyperlink r:id="rId37" w:history="1">
        <w:r w:rsidRPr="00034606">
          <w:rPr>
            <w:rStyle w:val="Collegamentoipertestuale"/>
            <w:sz w:val="20"/>
            <w:szCs w:val="20"/>
            <w:lang w:val="fr-FR"/>
          </w:rPr>
          <w:t xml:space="preserve">UK Office for National </w:t>
        </w:r>
        <w:proofErr w:type="spellStart"/>
        <w:r w:rsidRPr="00034606">
          <w:rPr>
            <w:rStyle w:val="Collegamentoipertestuale"/>
            <w:sz w:val="20"/>
            <w:szCs w:val="20"/>
            <w:lang w:val="fr-FR"/>
          </w:rPr>
          <w:t>Statistics</w:t>
        </w:r>
        <w:proofErr w:type="spellEnd"/>
        <w:r w:rsidRPr="00034606">
          <w:rPr>
            <w:rStyle w:val="Collegamentoipertestuale"/>
            <w:sz w:val="20"/>
            <w:szCs w:val="20"/>
            <w:lang w:val="fr-FR"/>
          </w:rPr>
          <w:t xml:space="preserve"> — Labour </w:t>
        </w:r>
        <w:proofErr w:type="spellStart"/>
        <w:r w:rsidRPr="00034606">
          <w:rPr>
            <w:rStyle w:val="Collegamentoipertestuale"/>
            <w:sz w:val="20"/>
            <w:szCs w:val="20"/>
            <w:lang w:val="fr-FR"/>
          </w:rPr>
          <w:t>market</w:t>
        </w:r>
        <w:proofErr w:type="spellEnd"/>
      </w:hyperlink>
    </w:p>
    <w:p w14:paraId="0C0BAF97" w14:textId="77777777" w:rsidR="0074628E" w:rsidRDefault="00000000">
      <w:pPr>
        <w:pStyle w:val="Titolo1"/>
      </w:pPr>
      <w:r>
        <w:t>5. Stabilità istituzionale e quadro regolatorio</w:t>
      </w:r>
    </w:p>
    <w:p w14:paraId="375BEC5A" w14:textId="77777777" w:rsidR="0074628E" w:rsidRDefault="00000000">
      <w:pPr>
        <w:spacing w:after="120" w:line="276" w:lineRule="auto"/>
      </w:pPr>
      <w:r>
        <w:t>Ginevra presenta il profilo istituzionale complessivamente più solido tra le tre sedi, grazie al quadro politico e giuridico stabile della Svizzera e al ruolo della FINMA nella vigilanza sulle istituzioni finanziarie e nella tutela dei clienti del mercato finanziario. Tali caratteristiche rafforzano la reputazione della Svizzera come giurisdizione affidabile e prevedibile per la gestione patrimoniale internazionale.</w:t>
      </w:r>
    </w:p>
    <w:p w14:paraId="5C8710E2" w14:textId="77777777" w:rsidR="0074628E" w:rsidRDefault="00000000">
      <w:pPr>
        <w:spacing w:after="120" w:line="276" w:lineRule="auto"/>
      </w:pPr>
      <w:r>
        <w:t>Anche Londra beneficia di istituzioni mature, di un sistema giuridico consolidato e di autorità di vigilanza finanziaria specializzate, tra cui la FCA e la PRA. Un aspetto di rilievo è il potenziale impatto dell'evoluzione delle politiche fiscali e normative, in particolare a seguito della Brexit.</w:t>
      </w:r>
    </w:p>
    <w:p w14:paraId="449FA649" w14:textId="77777777" w:rsidR="0074628E" w:rsidRDefault="00000000">
      <w:pPr>
        <w:spacing w:after="120" w:line="276" w:lineRule="auto"/>
      </w:pPr>
      <w:r>
        <w:t>Milano opera all'interno del quadro giuridico consolidato dell'Italia e del contesto normativo dell'Unione Europea. Se da un lato ciò garantisce l'accesso a una normativa finanziaria europea comune, dall'altro la complessità amministrativa e la percezione di una certa incertezza normativa potrebbero influire sulla sua attrattiva relativa.</w:t>
      </w:r>
    </w:p>
    <w:p w14:paraId="3BBB25D9" w14:textId="77777777" w:rsidR="0074628E" w:rsidRDefault="00000000">
      <w:pPr>
        <w:spacing w:after="120" w:line="276" w:lineRule="auto"/>
      </w:pPr>
      <w:r>
        <w:t>In sintesi, Ginevra risulta la sede più favorevole in termini di prevedibilità istituzionale; Londra si conferma un centro finanziario internazionale altamente credibile; Milano offre un solido quadro istituzionale, pur presentando alcuni svantaggi percepiti in termini di semplicità amministrativa e prevedibilità. Questa valutazione qualitativa dovrebbe essere considerata unitamente agli indicatori di governance a livello nazionale e convalidata attraverso interviste a professionisti del settore della gestione patrimoniale.</w:t>
      </w:r>
    </w:p>
    <w:p w14:paraId="15A7BBD1" w14:textId="77777777" w:rsidR="0074628E" w:rsidRDefault="00000000">
      <w:pPr>
        <w:pStyle w:val="Titolo2"/>
      </w:pPr>
      <w:r>
        <w:t>Approfondimento per città</w:t>
      </w:r>
    </w:p>
    <w:p w14:paraId="5EDD0D6D" w14:textId="77777777" w:rsidR="0074628E" w:rsidRDefault="00000000">
      <w:pPr>
        <w:pStyle w:val="Titolo3"/>
      </w:pPr>
      <w:r>
        <w:t>Milano (Italia)</w:t>
      </w:r>
    </w:p>
    <w:p w14:paraId="6158F9E5" w14:textId="77777777" w:rsidR="0074628E" w:rsidRDefault="00000000">
      <w:pPr>
        <w:spacing w:after="120" w:line="276" w:lineRule="auto"/>
      </w:pPr>
      <w:r>
        <w:t>Milano beneficia dell'appartenenza dell'Italia all'Unione Europea e all'area euro. I suoi istituti finanziari operano nel quadro regolatorio dell'UE, comprese le norme europee su mercati finanziari, servizi di investimento e tutela degli investitori.</w:t>
      </w:r>
    </w:p>
    <w:p w14:paraId="2D77A43A" w14:textId="77777777" w:rsidR="0074628E" w:rsidRDefault="00000000">
      <w:pPr>
        <w:spacing w:after="120" w:line="276" w:lineRule="auto"/>
      </w:pPr>
      <w:r>
        <w:t>Per i clienti internazionali facoltosi, l'attrattività istituzionale dipende dalla prevedibilità della tassazione, dalla tutela dei diritti di proprietà, dalla stabilità della regolamentazione finanziaria e dall'efficacia delle procedure legali e amministrative.</w:t>
      </w:r>
    </w:p>
    <w:p w14:paraId="61E41D56" w14:textId="77777777" w:rsidR="0074628E" w:rsidRDefault="00000000">
      <w:pPr>
        <w:spacing w:after="120" w:line="276" w:lineRule="auto"/>
      </w:pPr>
      <w:r>
        <w:t>Indicatori rilevanti:</w:t>
      </w:r>
    </w:p>
    <w:p w14:paraId="07464509" w14:textId="77777777" w:rsidR="0074628E" w:rsidRDefault="00000000">
      <w:pPr>
        <w:pStyle w:val="Paragrafoelenco"/>
        <w:numPr>
          <w:ilvl w:val="0"/>
          <w:numId w:val="2"/>
        </w:numPr>
        <w:spacing w:after="60" w:line="264" w:lineRule="auto"/>
      </w:pPr>
      <w:r>
        <w:t>Indicatori di governance e stato di diritto della Banca Mondiale per l'Italia.</w:t>
      </w:r>
    </w:p>
    <w:p w14:paraId="2DD3271D" w14:textId="77777777" w:rsidR="0074628E" w:rsidRDefault="00000000">
      <w:pPr>
        <w:pStyle w:val="Paragrafoelenco"/>
        <w:numPr>
          <w:ilvl w:val="0"/>
          <w:numId w:val="2"/>
        </w:numPr>
        <w:spacing w:after="60" w:line="264" w:lineRule="auto"/>
      </w:pPr>
      <w:r>
        <w:t>Rating creditizi sovrani dell'Italia.</w:t>
      </w:r>
    </w:p>
    <w:p w14:paraId="189049E5" w14:textId="77777777" w:rsidR="0074628E" w:rsidRDefault="00000000">
      <w:pPr>
        <w:pStyle w:val="Paragrafoelenco"/>
        <w:numPr>
          <w:ilvl w:val="0"/>
          <w:numId w:val="2"/>
        </w:numPr>
        <w:spacing w:after="60" w:line="264" w:lineRule="auto"/>
      </w:pPr>
      <w:r>
        <w:t>Variazioni della tassazione su redditi da investimento e patrimonio.</w:t>
      </w:r>
    </w:p>
    <w:p w14:paraId="726F9F2B" w14:textId="77777777" w:rsidR="0074628E" w:rsidRDefault="00000000">
      <w:pPr>
        <w:pStyle w:val="Paragrafoelenco"/>
        <w:numPr>
          <w:ilvl w:val="0"/>
          <w:numId w:val="2"/>
        </w:numPr>
        <w:spacing w:after="60" w:line="264" w:lineRule="auto"/>
      </w:pPr>
      <w:r>
        <w:t>Requisiti regolamentari per gli intermediari finanziari.</w:t>
      </w:r>
    </w:p>
    <w:p w14:paraId="3F3A31AD" w14:textId="77777777" w:rsidR="0074628E" w:rsidRDefault="00000000">
      <w:pPr>
        <w:pStyle w:val="Paragrafoelenco"/>
        <w:numPr>
          <w:ilvl w:val="0"/>
          <w:numId w:val="2"/>
        </w:numPr>
        <w:spacing w:after="60" w:line="264" w:lineRule="auto"/>
      </w:pPr>
      <w:r>
        <w:t>Esecuzione dei contratti ed efficienza giudiziaria.</w:t>
      </w:r>
    </w:p>
    <w:p w14:paraId="369099D5" w14:textId="77777777" w:rsidR="0074628E" w:rsidRDefault="00000000">
      <w:pPr>
        <w:pStyle w:val="Paragrafoelenco"/>
        <w:numPr>
          <w:ilvl w:val="0"/>
          <w:numId w:val="2"/>
        </w:numPr>
        <w:spacing w:after="60" w:line="264" w:lineRule="auto"/>
      </w:pPr>
      <w:r>
        <w:t>Stabilità delle politiche che riguardano investitori esteri e nuovi residenti.</w:t>
      </w:r>
    </w:p>
    <w:p w14:paraId="646A4E01" w14:textId="77777777" w:rsidR="0074628E" w:rsidRDefault="00000000">
      <w:pPr>
        <w:spacing w:after="120" w:line="276" w:lineRule="auto"/>
      </w:pPr>
      <w:r>
        <w:lastRenderedPageBreak/>
        <w:t>Questi indicatori sono generalmente disponibili a livello nazionale e non comunale. I dati riferiti all'intera Italia vanno quindi etichettati come proxy nazionali, non come misurazioni specifiche di Milano.</w:t>
      </w:r>
    </w:p>
    <w:p w14:paraId="5D3F5D18" w14:textId="77777777" w:rsidR="0074628E" w:rsidRDefault="00000000">
      <w:pPr>
        <w:keepNext/>
        <w:spacing w:before="80" w:after="60"/>
      </w:pPr>
      <w:r>
        <w:rPr>
          <w:b/>
          <w:bCs/>
          <w:sz w:val="20"/>
          <w:szCs w:val="20"/>
        </w:rPr>
        <w:t>Fonti e link</w:t>
      </w:r>
    </w:p>
    <w:p w14:paraId="62E34EAA" w14:textId="77777777" w:rsidR="0074628E" w:rsidRDefault="00000000">
      <w:pPr>
        <w:pStyle w:val="Paragrafoelenco"/>
        <w:numPr>
          <w:ilvl w:val="0"/>
          <w:numId w:val="2"/>
        </w:numPr>
        <w:spacing w:after="40"/>
      </w:pPr>
      <w:hyperlink r:id="rId38" w:history="1">
        <w:r>
          <w:rPr>
            <w:rStyle w:val="Collegamentoipertestuale"/>
            <w:sz w:val="20"/>
            <w:szCs w:val="20"/>
          </w:rPr>
          <w:t xml:space="preserve">World Bank — Worldwide Governance </w:t>
        </w:r>
        <w:proofErr w:type="spellStart"/>
        <w:r>
          <w:rPr>
            <w:rStyle w:val="Collegamentoipertestuale"/>
            <w:sz w:val="20"/>
            <w:szCs w:val="20"/>
          </w:rPr>
          <w:t>Indicators</w:t>
        </w:r>
        <w:proofErr w:type="spellEnd"/>
      </w:hyperlink>
    </w:p>
    <w:p w14:paraId="454DADA5" w14:textId="77777777" w:rsidR="0074628E" w:rsidRDefault="00000000">
      <w:pPr>
        <w:pStyle w:val="Paragrafoelenco"/>
        <w:numPr>
          <w:ilvl w:val="0"/>
          <w:numId w:val="2"/>
        </w:numPr>
        <w:spacing w:after="40"/>
      </w:pPr>
      <w:hyperlink r:id="rId39" w:history="1">
        <w:r>
          <w:rPr>
            <w:rStyle w:val="Collegamentoipertestuale"/>
            <w:sz w:val="20"/>
            <w:szCs w:val="20"/>
          </w:rPr>
          <w:t>Bank of Italy</w:t>
        </w:r>
      </w:hyperlink>
    </w:p>
    <w:p w14:paraId="500B5D45" w14:textId="77777777" w:rsidR="0074628E" w:rsidRDefault="00000000">
      <w:pPr>
        <w:pStyle w:val="Paragrafoelenco"/>
        <w:numPr>
          <w:ilvl w:val="0"/>
          <w:numId w:val="2"/>
        </w:numPr>
        <w:spacing w:after="40"/>
      </w:pPr>
      <w:hyperlink r:id="rId40" w:history="1">
        <w:r>
          <w:rPr>
            <w:rStyle w:val="Collegamentoipertestuale"/>
            <w:sz w:val="20"/>
            <w:szCs w:val="20"/>
          </w:rPr>
          <w:t xml:space="preserve">European Commission — Economic and financial </w:t>
        </w:r>
        <w:proofErr w:type="spellStart"/>
        <w:r>
          <w:rPr>
            <w:rStyle w:val="Collegamentoipertestuale"/>
            <w:sz w:val="20"/>
            <w:szCs w:val="20"/>
          </w:rPr>
          <w:t>affairs</w:t>
        </w:r>
        <w:proofErr w:type="spellEnd"/>
      </w:hyperlink>
    </w:p>
    <w:p w14:paraId="5F060119" w14:textId="77777777" w:rsidR="0074628E" w:rsidRDefault="00000000">
      <w:pPr>
        <w:pStyle w:val="Titolo3"/>
      </w:pPr>
      <w:r>
        <w:t>Ginevra (Svizzera)</w:t>
      </w:r>
    </w:p>
    <w:p w14:paraId="0464FE8B" w14:textId="77777777" w:rsidR="0074628E" w:rsidRDefault="00000000">
      <w:pPr>
        <w:spacing w:after="120" w:line="276" w:lineRule="auto"/>
      </w:pPr>
      <w:r>
        <w:t>La Svizzera offre a Ginevra un quadro istituzionale federale, un'autorità di vigilanza finanziaria specializzata e il franco svizzero come valuta.</w:t>
      </w:r>
    </w:p>
    <w:p w14:paraId="3185C189" w14:textId="77777777" w:rsidR="0074628E" w:rsidRDefault="00000000">
      <w:pPr>
        <w:spacing w:after="120" w:line="276" w:lineRule="auto"/>
      </w:pPr>
      <w:r>
        <w:t>Per la ricchezza internazionalmente mobile, queste caratteristiche possono contribuire alla percezione di stabilità monetaria, prevedibilità giuridica e continuità istituzionale. Tali vantaggi vanno tuttavia misurati, non presunti.</w:t>
      </w:r>
    </w:p>
    <w:p w14:paraId="735E7098" w14:textId="77777777" w:rsidR="0074628E" w:rsidRDefault="00000000">
      <w:pPr>
        <w:spacing w:after="120" w:line="276" w:lineRule="auto"/>
      </w:pPr>
      <w:r>
        <w:t>Indicatori rilevanti:</w:t>
      </w:r>
    </w:p>
    <w:p w14:paraId="09127088" w14:textId="77777777" w:rsidR="0074628E" w:rsidRDefault="00000000">
      <w:pPr>
        <w:pStyle w:val="Paragrafoelenco"/>
        <w:numPr>
          <w:ilvl w:val="0"/>
          <w:numId w:val="2"/>
        </w:numPr>
        <w:spacing w:after="60" w:line="264" w:lineRule="auto"/>
      </w:pPr>
      <w:r>
        <w:t>Stabilità politica e stato di diritto.</w:t>
      </w:r>
    </w:p>
    <w:p w14:paraId="2373C7E2" w14:textId="77777777" w:rsidR="0074628E" w:rsidRDefault="00000000">
      <w:pPr>
        <w:pStyle w:val="Paragrafoelenco"/>
        <w:numPr>
          <w:ilvl w:val="0"/>
          <w:numId w:val="2"/>
        </w:numPr>
        <w:spacing w:after="60" w:line="264" w:lineRule="auto"/>
      </w:pPr>
      <w:r>
        <w:t>Qualità della regolamentazione.</w:t>
      </w:r>
    </w:p>
    <w:p w14:paraId="2BC7DE9A" w14:textId="77777777" w:rsidR="0074628E" w:rsidRDefault="00000000">
      <w:pPr>
        <w:pStyle w:val="Paragrafoelenco"/>
        <w:numPr>
          <w:ilvl w:val="0"/>
          <w:numId w:val="2"/>
        </w:numPr>
        <w:spacing w:after="60" w:line="264" w:lineRule="auto"/>
      </w:pPr>
      <w:r>
        <w:t>Rating creditizi sovrani.</w:t>
      </w:r>
    </w:p>
    <w:p w14:paraId="2DB387F2" w14:textId="77777777" w:rsidR="0074628E" w:rsidRDefault="00000000">
      <w:pPr>
        <w:pStyle w:val="Paragrafoelenco"/>
        <w:numPr>
          <w:ilvl w:val="0"/>
          <w:numId w:val="2"/>
        </w:numPr>
        <w:spacing w:after="60" w:line="264" w:lineRule="auto"/>
      </w:pPr>
      <w:r>
        <w:t>Stabilità del tasso di cambio del franco svizzero.</w:t>
      </w:r>
    </w:p>
    <w:p w14:paraId="5B732C20" w14:textId="77777777" w:rsidR="0074628E" w:rsidRDefault="00000000">
      <w:pPr>
        <w:pStyle w:val="Paragrafoelenco"/>
        <w:numPr>
          <w:ilvl w:val="0"/>
          <w:numId w:val="2"/>
        </w:numPr>
        <w:spacing w:after="60" w:line="264" w:lineRule="auto"/>
      </w:pPr>
      <w:r>
        <w:t>Regolamentazione e vigilanza del settore finanziario.</w:t>
      </w:r>
    </w:p>
    <w:p w14:paraId="6C709FF7" w14:textId="77777777" w:rsidR="0074628E" w:rsidRDefault="00000000">
      <w:pPr>
        <w:pStyle w:val="Paragrafoelenco"/>
        <w:numPr>
          <w:ilvl w:val="0"/>
          <w:numId w:val="2"/>
        </w:numPr>
        <w:spacing w:after="60" w:line="264" w:lineRule="auto"/>
      </w:pPr>
      <w:r>
        <w:t>Tutela dei diritti di proprietà.</w:t>
      </w:r>
    </w:p>
    <w:p w14:paraId="37B5A67D" w14:textId="77777777" w:rsidR="0074628E" w:rsidRDefault="00000000">
      <w:pPr>
        <w:pStyle w:val="Paragrafoelenco"/>
        <w:numPr>
          <w:ilvl w:val="0"/>
          <w:numId w:val="2"/>
        </w:numPr>
        <w:spacing w:after="60" w:line="264" w:lineRule="auto"/>
      </w:pPr>
      <w:r>
        <w:t>Modifiche del quadro giuridico e fiscale che riguardano i clienti internazionali.</w:t>
      </w:r>
    </w:p>
    <w:p w14:paraId="4EC0E87E" w14:textId="77777777" w:rsidR="0074628E" w:rsidRDefault="00000000">
      <w:pPr>
        <w:spacing w:after="120" w:line="276" w:lineRule="auto"/>
      </w:pPr>
      <w:r>
        <w:t>Il limite principale è che governance e rating sovrani sono indicatori nazionali. Sono rilevanti per Ginevra, ma non misurano in modo indipendente ogni fattore istituzionale locale.</w:t>
      </w:r>
    </w:p>
    <w:p w14:paraId="59A416DE" w14:textId="77777777" w:rsidR="0074628E" w:rsidRDefault="00000000">
      <w:pPr>
        <w:keepNext/>
        <w:spacing w:before="80" w:after="60"/>
      </w:pPr>
      <w:r>
        <w:rPr>
          <w:b/>
          <w:bCs/>
          <w:sz w:val="20"/>
          <w:szCs w:val="20"/>
        </w:rPr>
        <w:t>Fonti e link</w:t>
      </w:r>
    </w:p>
    <w:p w14:paraId="070E2E79" w14:textId="77777777" w:rsidR="0074628E" w:rsidRDefault="00000000">
      <w:pPr>
        <w:pStyle w:val="Paragrafoelenco"/>
        <w:numPr>
          <w:ilvl w:val="0"/>
          <w:numId w:val="2"/>
        </w:numPr>
        <w:spacing w:after="40"/>
      </w:pPr>
      <w:hyperlink r:id="rId41" w:history="1">
        <w:r>
          <w:rPr>
            <w:rStyle w:val="Collegamentoipertestuale"/>
            <w:sz w:val="20"/>
            <w:szCs w:val="20"/>
          </w:rPr>
          <w:t xml:space="preserve">World Bank — Worldwide Governance </w:t>
        </w:r>
        <w:proofErr w:type="spellStart"/>
        <w:r>
          <w:rPr>
            <w:rStyle w:val="Collegamentoipertestuale"/>
            <w:sz w:val="20"/>
            <w:szCs w:val="20"/>
          </w:rPr>
          <w:t>Indicators</w:t>
        </w:r>
        <w:proofErr w:type="spellEnd"/>
      </w:hyperlink>
    </w:p>
    <w:p w14:paraId="46199A0B" w14:textId="77777777" w:rsidR="0074628E" w:rsidRDefault="00000000">
      <w:pPr>
        <w:pStyle w:val="Paragrafoelenco"/>
        <w:numPr>
          <w:ilvl w:val="0"/>
          <w:numId w:val="2"/>
        </w:numPr>
        <w:spacing w:after="40"/>
      </w:pPr>
      <w:hyperlink r:id="rId42" w:history="1">
        <w:r>
          <w:rPr>
            <w:rStyle w:val="Collegamentoipertestuale"/>
            <w:sz w:val="20"/>
            <w:szCs w:val="20"/>
          </w:rPr>
          <w:t>FINMA</w:t>
        </w:r>
      </w:hyperlink>
    </w:p>
    <w:p w14:paraId="5F3779C7" w14:textId="77777777" w:rsidR="0074628E" w:rsidRDefault="00000000">
      <w:pPr>
        <w:pStyle w:val="Paragrafoelenco"/>
        <w:numPr>
          <w:ilvl w:val="0"/>
          <w:numId w:val="2"/>
        </w:numPr>
        <w:spacing w:after="40"/>
      </w:pPr>
      <w:hyperlink r:id="rId43" w:history="1">
        <w:r>
          <w:rPr>
            <w:rStyle w:val="Collegamentoipertestuale"/>
            <w:sz w:val="20"/>
            <w:szCs w:val="20"/>
          </w:rPr>
          <w:t>Swiss National Bank</w:t>
        </w:r>
      </w:hyperlink>
    </w:p>
    <w:p w14:paraId="6E47A2B4" w14:textId="77777777" w:rsidR="0074628E" w:rsidRDefault="00000000">
      <w:pPr>
        <w:pStyle w:val="Paragrafoelenco"/>
        <w:numPr>
          <w:ilvl w:val="0"/>
          <w:numId w:val="2"/>
        </w:numPr>
        <w:spacing w:after="40"/>
      </w:pPr>
      <w:hyperlink r:id="rId44" w:history="1">
        <w:r>
          <w:rPr>
            <w:rStyle w:val="Collegamentoipertestuale"/>
            <w:sz w:val="20"/>
            <w:szCs w:val="20"/>
          </w:rPr>
          <w:t>Swiss Federal Statistical Office</w:t>
        </w:r>
      </w:hyperlink>
    </w:p>
    <w:p w14:paraId="4D39C44F" w14:textId="77777777" w:rsidR="0074628E" w:rsidRDefault="00000000">
      <w:pPr>
        <w:pStyle w:val="Titolo3"/>
      </w:pPr>
      <w:r>
        <w:t>Londra (Regno Unito)</w:t>
      </w:r>
    </w:p>
    <w:p w14:paraId="3C2CDA59" w14:textId="77777777" w:rsidR="0074628E" w:rsidRDefault="00000000">
      <w:pPr>
        <w:spacing w:after="120" w:line="276" w:lineRule="auto"/>
      </w:pPr>
      <w:r>
        <w:t xml:space="preserve">Londra opera nel quadro giuridico e regolamentare del Regno Unito. La Financial </w:t>
      </w:r>
      <w:proofErr w:type="spellStart"/>
      <w:r>
        <w:t>Conduct</w:t>
      </w:r>
      <w:proofErr w:type="spellEnd"/>
      <w:r>
        <w:t xml:space="preserve"> Authority e la Prudential </w:t>
      </w:r>
      <w:proofErr w:type="spellStart"/>
      <w:r>
        <w:t>Regulation</w:t>
      </w:r>
      <w:proofErr w:type="spellEnd"/>
      <w:r>
        <w:t xml:space="preserve"> Authority vigilano su parti diverse del settore dei servizi finanziari.</w:t>
      </w:r>
    </w:p>
    <w:p w14:paraId="1FC16565" w14:textId="77777777" w:rsidR="0074628E" w:rsidRDefault="00000000">
      <w:pPr>
        <w:spacing w:after="120" w:line="276" w:lineRule="auto"/>
      </w:pPr>
      <w:r>
        <w:t>Il Regno Unito offre mercati finanziari consolidati, servizi legali specializzati e un vasto ecosistema di servizi professionali. Tuttavia, la Brexit ha modificato il rapporto del Regno Unito con il mercato unico europeo, mentre le modifiche al regime fiscale per le persone internazionalmente mobili hanno influito sul contesto di relocation.</w:t>
      </w:r>
    </w:p>
    <w:p w14:paraId="595B9E18" w14:textId="77777777" w:rsidR="0074628E" w:rsidRDefault="00000000">
      <w:pPr>
        <w:spacing w:after="120" w:line="276" w:lineRule="auto"/>
      </w:pPr>
      <w:r>
        <w:t>Indicatori rilevanti:</w:t>
      </w:r>
    </w:p>
    <w:p w14:paraId="2ACCE6B9" w14:textId="77777777" w:rsidR="0074628E" w:rsidRDefault="00000000">
      <w:pPr>
        <w:pStyle w:val="Paragrafoelenco"/>
        <w:numPr>
          <w:ilvl w:val="0"/>
          <w:numId w:val="2"/>
        </w:numPr>
        <w:spacing w:after="60" w:line="264" w:lineRule="auto"/>
      </w:pPr>
      <w:r>
        <w:t>Stato di diritto e qualità della regolamentazione.</w:t>
      </w:r>
    </w:p>
    <w:p w14:paraId="11BBFF2E" w14:textId="77777777" w:rsidR="0074628E" w:rsidRDefault="00000000">
      <w:pPr>
        <w:pStyle w:val="Paragrafoelenco"/>
        <w:numPr>
          <w:ilvl w:val="0"/>
          <w:numId w:val="2"/>
        </w:numPr>
        <w:spacing w:after="60" w:line="264" w:lineRule="auto"/>
      </w:pPr>
      <w:r>
        <w:t>Stabilità politica.</w:t>
      </w:r>
    </w:p>
    <w:p w14:paraId="7439557C" w14:textId="77777777" w:rsidR="0074628E" w:rsidRDefault="00000000">
      <w:pPr>
        <w:pStyle w:val="Paragrafoelenco"/>
        <w:numPr>
          <w:ilvl w:val="0"/>
          <w:numId w:val="2"/>
        </w:numPr>
        <w:spacing w:after="60" w:line="264" w:lineRule="auto"/>
      </w:pPr>
      <w:r>
        <w:t>Rating creditizi sovrani.</w:t>
      </w:r>
    </w:p>
    <w:p w14:paraId="569164B7" w14:textId="77777777" w:rsidR="0074628E" w:rsidRDefault="00000000">
      <w:pPr>
        <w:pStyle w:val="Paragrafoelenco"/>
        <w:numPr>
          <w:ilvl w:val="0"/>
          <w:numId w:val="2"/>
        </w:numPr>
        <w:spacing w:after="60" w:line="264" w:lineRule="auto"/>
      </w:pPr>
      <w:r>
        <w:t>Quadro regolamentare finanziario.</w:t>
      </w:r>
    </w:p>
    <w:p w14:paraId="22D1A543" w14:textId="77777777" w:rsidR="0074628E" w:rsidRDefault="00000000">
      <w:pPr>
        <w:pStyle w:val="Paragrafoelenco"/>
        <w:numPr>
          <w:ilvl w:val="0"/>
          <w:numId w:val="2"/>
        </w:numPr>
        <w:spacing w:after="60" w:line="264" w:lineRule="auto"/>
      </w:pPr>
      <w:r>
        <w:t>Stabilità della tassazione.</w:t>
      </w:r>
    </w:p>
    <w:p w14:paraId="5FBDBA94" w14:textId="77777777" w:rsidR="0074628E" w:rsidRDefault="00000000">
      <w:pPr>
        <w:pStyle w:val="Paragrafoelenco"/>
        <w:numPr>
          <w:ilvl w:val="0"/>
          <w:numId w:val="2"/>
        </w:numPr>
        <w:spacing w:after="60" w:line="264" w:lineRule="auto"/>
      </w:pPr>
      <w:r>
        <w:t>Esecuzione dei contratti e tutela degli investitori.</w:t>
      </w:r>
    </w:p>
    <w:p w14:paraId="0CABA54C" w14:textId="77777777" w:rsidR="0074628E" w:rsidRDefault="00000000">
      <w:pPr>
        <w:pStyle w:val="Paragrafoelenco"/>
        <w:numPr>
          <w:ilvl w:val="0"/>
          <w:numId w:val="2"/>
        </w:numPr>
        <w:spacing w:after="60" w:line="264" w:lineRule="auto"/>
      </w:pPr>
      <w:r>
        <w:t>Variazioni nell'accesso al mercato dopo la Brexit.</w:t>
      </w:r>
    </w:p>
    <w:p w14:paraId="2FF10CCF" w14:textId="77777777" w:rsidR="0074628E" w:rsidRDefault="00000000">
      <w:pPr>
        <w:spacing w:after="120" w:line="276" w:lineRule="auto"/>
      </w:pPr>
      <w:r>
        <w:t>Le fonti disponibili offrono una base solida per la ricerca istituzionale, ma resta da costruire un confronto numerico coerente con Svizzera e Italia.</w:t>
      </w:r>
    </w:p>
    <w:p w14:paraId="4D851D84" w14:textId="77777777" w:rsidR="0074628E" w:rsidRDefault="00000000">
      <w:pPr>
        <w:keepNext/>
        <w:spacing w:before="80" w:after="60"/>
      </w:pPr>
      <w:r>
        <w:rPr>
          <w:b/>
          <w:bCs/>
          <w:sz w:val="20"/>
          <w:szCs w:val="20"/>
        </w:rPr>
        <w:lastRenderedPageBreak/>
        <w:t>Fonti e link</w:t>
      </w:r>
    </w:p>
    <w:p w14:paraId="06CA3343" w14:textId="77777777" w:rsidR="0074628E" w:rsidRDefault="00000000">
      <w:pPr>
        <w:pStyle w:val="Paragrafoelenco"/>
        <w:numPr>
          <w:ilvl w:val="0"/>
          <w:numId w:val="2"/>
        </w:numPr>
        <w:spacing w:after="40"/>
      </w:pPr>
      <w:hyperlink r:id="rId45" w:history="1">
        <w:r>
          <w:rPr>
            <w:rStyle w:val="Collegamentoipertestuale"/>
            <w:sz w:val="20"/>
            <w:szCs w:val="20"/>
          </w:rPr>
          <w:t xml:space="preserve">World Bank — Worldwide Governance </w:t>
        </w:r>
        <w:proofErr w:type="spellStart"/>
        <w:r>
          <w:rPr>
            <w:rStyle w:val="Collegamentoipertestuale"/>
            <w:sz w:val="20"/>
            <w:szCs w:val="20"/>
          </w:rPr>
          <w:t>Indicators</w:t>
        </w:r>
        <w:proofErr w:type="spellEnd"/>
      </w:hyperlink>
    </w:p>
    <w:p w14:paraId="161D50CF" w14:textId="77777777" w:rsidR="0074628E" w:rsidRDefault="00000000">
      <w:pPr>
        <w:pStyle w:val="Paragrafoelenco"/>
        <w:numPr>
          <w:ilvl w:val="0"/>
          <w:numId w:val="2"/>
        </w:numPr>
        <w:spacing w:after="40"/>
      </w:pPr>
      <w:hyperlink r:id="rId46" w:history="1">
        <w:r>
          <w:rPr>
            <w:rStyle w:val="Collegamentoipertestuale"/>
            <w:sz w:val="20"/>
            <w:szCs w:val="20"/>
          </w:rPr>
          <w:t xml:space="preserve">Financial </w:t>
        </w:r>
        <w:proofErr w:type="spellStart"/>
        <w:r>
          <w:rPr>
            <w:rStyle w:val="Collegamentoipertestuale"/>
            <w:sz w:val="20"/>
            <w:szCs w:val="20"/>
          </w:rPr>
          <w:t>Conduct</w:t>
        </w:r>
        <w:proofErr w:type="spellEnd"/>
        <w:r>
          <w:rPr>
            <w:rStyle w:val="Collegamentoipertestuale"/>
            <w:sz w:val="20"/>
            <w:szCs w:val="20"/>
          </w:rPr>
          <w:t xml:space="preserve"> Authority</w:t>
        </w:r>
      </w:hyperlink>
    </w:p>
    <w:p w14:paraId="7DB1C2E7" w14:textId="77777777" w:rsidR="0074628E" w:rsidRPr="00034606" w:rsidRDefault="00000000">
      <w:pPr>
        <w:pStyle w:val="Paragrafoelenco"/>
        <w:numPr>
          <w:ilvl w:val="0"/>
          <w:numId w:val="2"/>
        </w:numPr>
        <w:spacing w:after="40"/>
        <w:rPr>
          <w:lang w:val="fr-FR"/>
        </w:rPr>
      </w:pPr>
      <w:hyperlink r:id="rId47" w:history="1">
        <w:proofErr w:type="spellStart"/>
        <w:r w:rsidRPr="00034606">
          <w:rPr>
            <w:rStyle w:val="Collegamentoipertestuale"/>
            <w:sz w:val="20"/>
            <w:szCs w:val="20"/>
            <w:lang w:val="fr-FR"/>
          </w:rPr>
          <w:t>Prudential</w:t>
        </w:r>
        <w:proofErr w:type="spellEnd"/>
        <w:r w:rsidRPr="00034606">
          <w:rPr>
            <w:rStyle w:val="Collegamentoipertestuale"/>
            <w:sz w:val="20"/>
            <w:szCs w:val="20"/>
            <w:lang w:val="fr-FR"/>
          </w:rPr>
          <w:t xml:space="preserve"> </w:t>
        </w:r>
        <w:proofErr w:type="spellStart"/>
        <w:r w:rsidRPr="00034606">
          <w:rPr>
            <w:rStyle w:val="Collegamentoipertestuale"/>
            <w:sz w:val="20"/>
            <w:szCs w:val="20"/>
            <w:lang w:val="fr-FR"/>
          </w:rPr>
          <w:t>Regulation</w:t>
        </w:r>
        <w:proofErr w:type="spellEnd"/>
        <w:r w:rsidRPr="00034606">
          <w:rPr>
            <w:rStyle w:val="Collegamentoipertestuale"/>
            <w:sz w:val="20"/>
            <w:szCs w:val="20"/>
            <w:lang w:val="fr-FR"/>
          </w:rPr>
          <w:t xml:space="preserve"> </w:t>
        </w:r>
        <w:proofErr w:type="spellStart"/>
        <w:r w:rsidRPr="00034606">
          <w:rPr>
            <w:rStyle w:val="Collegamentoipertestuale"/>
            <w:sz w:val="20"/>
            <w:szCs w:val="20"/>
            <w:lang w:val="fr-FR"/>
          </w:rPr>
          <w:t>Authority</w:t>
        </w:r>
        <w:proofErr w:type="spellEnd"/>
        <w:r w:rsidRPr="00034606">
          <w:rPr>
            <w:rStyle w:val="Collegamentoipertestuale"/>
            <w:sz w:val="20"/>
            <w:szCs w:val="20"/>
            <w:lang w:val="fr-FR"/>
          </w:rPr>
          <w:t xml:space="preserve"> — Bank of </w:t>
        </w:r>
        <w:proofErr w:type="spellStart"/>
        <w:r w:rsidRPr="00034606">
          <w:rPr>
            <w:rStyle w:val="Collegamentoipertestuale"/>
            <w:sz w:val="20"/>
            <w:szCs w:val="20"/>
            <w:lang w:val="fr-FR"/>
          </w:rPr>
          <w:t>England</w:t>
        </w:r>
        <w:proofErr w:type="spellEnd"/>
      </w:hyperlink>
    </w:p>
    <w:p w14:paraId="278F107B" w14:textId="77777777" w:rsidR="0074628E" w:rsidRDefault="00000000">
      <w:pPr>
        <w:pStyle w:val="Paragrafoelenco"/>
        <w:numPr>
          <w:ilvl w:val="0"/>
          <w:numId w:val="2"/>
        </w:numPr>
        <w:spacing w:after="40"/>
      </w:pPr>
      <w:hyperlink r:id="rId48" w:history="1">
        <w:r>
          <w:rPr>
            <w:rStyle w:val="Collegamentoipertestuale"/>
            <w:sz w:val="20"/>
            <w:szCs w:val="20"/>
          </w:rPr>
          <w:t>UK Government</w:t>
        </w:r>
      </w:hyperlink>
    </w:p>
    <w:p w14:paraId="3677FC33" w14:textId="77777777" w:rsidR="0074628E" w:rsidRDefault="00000000">
      <w:pPr>
        <w:pStyle w:val="Titolo1"/>
      </w:pPr>
      <w:r>
        <w:t>6. Qualità della vita</w:t>
      </w:r>
    </w:p>
    <w:p w14:paraId="34130F3D" w14:textId="77777777" w:rsidR="0074628E" w:rsidRDefault="00000000">
      <w:pPr>
        <w:spacing w:after="120" w:line="276" w:lineRule="auto"/>
      </w:pPr>
      <w:proofErr w:type="spellStart"/>
      <w:r>
        <w:rPr>
          <w:b/>
          <w:bCs/>
        </w:rPr>
        <w:t>Numbeo</w:t>
      </w:r>
      <w:proofErr w:type="spellEnd"/>
      <w:r>
        <w:t>, che si basa sui contributi degli utenti, colloca Ginevra in testa per qualità della vita (195), potere d'acquisto e sicurezza, e con l'inquinamento più basso (26), ma con il costo della vita più alto. Londra e Milano hanno punteggi di sicurezza simili (45–46), con Londra davanti nel potere d'acquisto e Milano con costo della vita più basso. Milano ha il peggior indice di inquinamento (68) e il rapporto prezzo/reddito delle abitazioni più alto (18,3). Sono dati percettivi, non statistiche ufficiali. L'indice di qualità della vita è un composto e non va sommato alle sue componenti in un modello di scoring.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5A7492F2"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A3C616A"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971F992"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4803C9F"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6A2466D" w14:textId="77777777" w:rsidR="0074628E" w:rsidRDefault="00000000">
            <w:pPr>
              <w:spacing w:after="40"/>
            </w:pPr>
            <w:r>
              <w:rPr>
                <w:b/>
                <w:bCs/>
                <w:sz w:val="18"/>
                <w:szCs w:val="18"/>
              </w:rPr>
              <w:t>Londra</w:t>
            </w:r>
          </w:p>
        </w:tc>
      </w:tr>
      <w:tr w:rsidR="0074628E" w14:paraId="19235EDE"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363577" w14:textId="77777777" w:rsidR="0074628E" w:rsidRDefault="00000000">
            <w:pPr>
              <w:spacing w:after="40"/>
            </w:pPr>
            <w:r>
              <w:rPr>
                <w:b/>
                <w:bCs/>
                <w:sz w:val="18"/>
                <w:szCs w:val="18"/>
              </w:rPr>
              <w:t>Quality of Life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ADF11E" w14:textId="77777777" w:rsidR="0074628E" w:rsidRDefault="00000000">
            <w:pPr>
              <w:spacing w:after="40"/>
            </w:pPr>
            <w:r>
              <w:rPr>
                <w:sz w:val="18"/>
                <w:szCs w:val="18"/>
              </w:rPr>
              <w:t>120,23</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07F266" w14:textId="77777777" w:rsidR="0074628E" w:rsidRDefault="00000000">
            <w:pPr>
              <w:spacing w:after="40"/>
            </w:pPr>
            <w:r>
              <w:rPr>
                <w:sz w:val="18"/>
                <w:szCs w:val="18"/>
              </w:rPr>
              <w:t>195,48</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EB1F7A" w14:textId="77777777" w:rsidR="0074628E" w:rsidRDefault="00000000">
            <w:pPr>
              <w:spacing w:after="40"/>
            </w:pPr>
            <w:r>
              <w:rPr>
                <w:sz w:val="18"/>
                <w:szCs w:val="18"/>
              </w:rPr>
              <w:t>139,14</w:t>
            </w:r>
          </w:p>
        </w:tc>
      </w:tr>
      <w:tr w:rsidR="0074628E" w14:paraId="79012DB5"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FB326D" w14:textId="77777777" w:rsidR="0074628E" w:rsidRDefault="00000000">
            <w:pPr>
              <w:spacing w:after="40"/>
            </w:pPr>
            <w:proofErr w:type="spellStart"/>
            <w:r>
              <w:rPr>
                <w:b/>
                <w:bCs/>
                <w:sz w:val="18"/>
                <w:szCs w:val="18"/>
              </w:rPr>
              <w:t>Purchasing</w:t>
            </w:r>
            <w:proofErr w:type="spellEnd"/>
            <w:r>
              <w:rPr>
                <w:b/>
                <w:bCs/>
                <w:sz w:val="18"/>
                <w:szCs w:val="18"/>
              </w:rPr>
              <w:t xml:space="preserve"> Power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CA8040" w14:textId="77777777" w:rsidR="0074628E" w:rsidRDefault="00000000">
            <w:pPr>
              <w:spacing w:after="40"/>
            </w:pPr>
            <w:r>
              <w:rPr>
                <w:sz w:val="18"/>
                <w:szCs w:val="18"/>
              </w:rPr>
              <w:t>72,74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A6EC72" w14:textId="77777777" w:rsidR="0074628E" w:rsidRDefault="00000000">
            <w:pPr>
              <w:spacing w:after="40"/>
            </w:pPr>
            <w:r>
              <w:rPr>
                <w:sz w:val="18"/>
                <w:szCs w:val="18"/>
              </w:rPr>
              <w:t>158,16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C9990C" w14:textId="77777777" w:rsidR="0074628E" w:rsidRDefault="00000000">
            <w:pPr>
              <w:spacing w:after="40"/>
            </w:pPr>
            <w:r>
              <w:rPr>
                <w:sz w:val="18"/>
                <w:szCs w:val="18"/>
              </w:rPr>
              <w:t>113,52</w:t>
            </w:r>
          </w:p>
        </w:tc>
      </w:tr>
      <w:tr w:rsidR="0074628E" w14:paraId="12BC2C10"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D437C7A" w14:textId="77777777" w:rsidR="0074628E" w:rsidRDefault="00000000">
            <w:pPr>
              <w:spacing w:after="40"/>
            </w:pPr>
            <w:proofErr w:type="spellStart"/>
            <w:r>
              <w:rPr>
                <w:b/>
                <w:bCs/>
                <w:sz w:val="18"/>
                <w:szCs w:val="18"/>
              </w:rPr>
              <w:t>Safety</w:t>
            </w:r>
            <w:proofErr w:type="spellEnd"/>
            <w:r>
              <w:rPr>
                <w:b/>
                <w:bCs/>
                <w:sz w:val="18"/>
                <w:szCs w:val="18"/>
              </w:rPr>
              <w:t xml:space="preserve">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0B3A99" w14:textId="77777777" w:rsidR="0074628E" w:rsidRDefault="00000000">
            <w:pPr>
              <w:spacing w:after="40"/>
            </w:pPr>
            <w:r>
              <w:rPr>
                <w:sz w:val="18"/>
                <w:szCs w:val="18"/>
              </w:rPr>
              <w:t>46,06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D3D71A" w14:textId="77777777" w:rsidR="0074628E" w:rsidRDefault="00000000">
            <w:pPr>
              <w:spacing w:after="40"/>
            </w:pPr>
            <w:r>
              <w:rPr>
                <w:sz w:val="18"/>
                <w:szCs w:val="18"/>
              </w:rPr>
              <w:t>70,55</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EFB9EB" w14:textId="77777777" w:rsidR="0074628E" w:rsidRDefault="00000000">
            <w:pPr>
              <w:spacing w:after="40"/>
            </w:pPr>
            <w:r>
              <w:rPr>
                <w:sz w:val="18"/>
                <w:szCs w:val="18"/>
              </w:rPr>
              <w:t>44,70</w:t>
            </w:r>
          </w:p>
        </w:tc>
      </w:tr>
      <w:tr w:rsidR="0074628E" w14:paraId="348366A6"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7F3246C" w14:textId="77777777" w:rsidR="0074628E" w:rsidRDefault="00000000">
            <w:pPr>
              <w:spacing w:after="40"/>
            </w:pPr>
            <w:r>
              <w:rPr>
                <w:b/>
                <w:bCs/>
                <w:sz w:val="18"/>
                <w:szCs w:val="18"/>
              </w:rPr>
              <w:t>Healthcare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C92F6F" w14:textId="77777777" w:rsidR="0074628E" w:rsidRDefault="00000000">
            <w:pPr>
              <w:spacing w:after="40"/>
            </w:pPr>
            <w:r>
              <w:rPr>
                <w:sz w:val="18"/>
                <w:szCs w:val="18"/>
              </w:rPr>
              <w:t>69,87</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2D73E4" w14:textId="77777777" w:rsidR="0074628E" w:rsidRDefault="00000000">
            <w:pPr>
              <w:spacing w:after="40"/>
            </w:pPr>
            <w:r>
              <w:rPr>
                <w:sz w:val="18"/>
                <w:szCs w:val="18"/>
              </w:rPr>
              <w:t>69,90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3BF02" w14:textId="77777777" w:rsidR="0074628E" w:rsidRDefault="00000000">
            <w:pPr>
              <w:spacing w:after="40"/>
            </w:pPr>
            <w:r>
              <w:rPr>
                <w:sz w:val="18"/>
                <w:szCs w:val="18"/>
              </w:rPr>
              <w:t>69,60</w:t>
            </w:r>
          </w:p>
        </w:tc>
      </w:tr>
      <w:tr w:rsidR="0074628E" w14:paraId="1B9101D8"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05CD9D" w14:textId="77777777" w:rsidR="0074628E" w:rsidRDefault="00000000">
            <w:pPr>
              <w:spacing w:after="40"/>
            </w:pPr>
            <w:proofErr w:type="spellStart"/>
            <w:r>
              <w:rPr>
                <w:b/>
                <w:bCs/>
                <w:sz w:val="18"/>
                <w:szCs w:val="18"/>
              </w:rPr>
              <w:t>Climate</w:t>
            </w:r>
            <w:proofErr w:type="spellEnd"/>
            <w:r>
              <w:rPr>
                <w:b/>
                <w:bCs/>
                <w:sz w:val="18"/>
                <w:szCs w:val="18"/>
              </w:rPr>
              <w:t xml:space="preserve">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ADDBAC" w14:textId="77777777" w:rsidR="0074628E" w:rsidRDefault="00000000">
            <w:pPr>
              <w:spacing w:after="40"/>
            </w:pPr>
            <w:r>
              <w:rPr>
                <w:sz w:val="18"/>
                <w:szCs w:val="18"/>
              </w:rPr>
              <w:t>88,12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D134F1" w14:textId="77777777" w:rsidR="0074628E" w:rsidRDefault="00000000">
            <w:pPr>
              <w:spacing w:after="40"/>
            </w:pPr>
            <w:r>
              <w:rPr>
                <w:sz w:val="18"/>
                <w:szCs w:val="18"/>
              </w:rPr>
              <w:t>82,61</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E8EB1F" w14:textId="77777777" w:rsidR="0074628E" w:rsidRDefault="00000000">
            <w:pPr>
              <w:spacing w:after="40"/>
            </w:pPr>
            <w:r>
              <w:rPr>
                <w:sz w:val="18"/>
                <w:szCs w:val="18"/>
              </w:rPr>
              <w:t>88,25</w:t>
            </w:r>
          </w:p>
        </w:tc>
      </w:tr>
      <w:tr w:rsidR="0074628E" w14:paraId="3BCB5573"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007F6E" w14:textId="77777777" w:rsidR="0074628E" w:rsidRDefault="00000000">
            <w:pPr>
              <w:spacing w:after="40"/>
            </w:pPr>
            <w:r>
              <w:rPr>
                <w:b/>
                <w:bCs/>
                <w:sz w:val="18"/>
                <w:szCs w:val="18"/>
              </w:rPr>
              <w:t>Cost of Living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256F23" w14:textId="77777777" w:rsidR="0074628E" w:rsidRDefault="00000000">
            <w:pPr>
              <w:spacing w:after="40"/>
            </w:pPr>
            <w:r>
              <w:rPr>
                <w:sz w:val="18"/>
                <w:szCs w:val="18"/>
              </w:rPr>
              <w:t>75,78</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2552D3" w14:textId="77777777" w:rsidR="0074628E" w:rsidRDefault="00000000">
            <w:pPr>
              <w:spacing w:after="40"/>
            </w:pPr>
            <w:r>
              <w:rPr>
                <w:sz w:val="18"/>
                <w:szCs w:val="18"/>
              </w:rPr>
              <w:t>113,35</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E762F0" w14:textId="77777777" w:rsidR="0074628E" w:rsidRDefault="00000000">
            <w:pPr>
              <w:spacing w:after="40"/>
            </w:pPr>
            <w:r>
              <w:rPr>
                <w:sz w:val="18"/>
                <w:szCs w:val="18"/>
              </w:rPr>
              <w:t>90,05</w:t>
            </w:r>
          </w:p>
        </w:tc>
      </w:tr>
      <w:tr w:rsidR="0074628E" w14:paraId="317061BA"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99E277" w14:textId="77777777" w:rsidR="0074628E" w:rsidRDefault="00000000">
            <w:pPr>
              <w:spacing w:after="40"/>
            </w:pPr>
            <w:proofErr w:type="spellStart"/>
            <w:r>
              <w:rPr>
                <w:b/>
                <w:bCs/>
                <w:sz w:val="18"/>
                <w:szCs w:val="18"/>
              </w:rPr>
              <w:t>Property</w:t>
            </w:r>
            <w:proofErr w:type="spellEnd"/>
            <w:r>
              <w:rPr>
                <w:b/>
                <w:bCs/>
                <w:sz w:val="18"/>
                <w:szCs w:val="18"/>
              </w:rPr>
              <w:t xml:space="preserve"> Price-to-Income Ratio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919FDB" w14:textId="77777777" w:rsidR="0074628E" w:rsidRDefault="00000000">
            <w:pPr>
              <w:spacing w:after="40"/>
            </w:pPr>
            <w:r>
              <w:rPr>
                <w:sz w:val="18"/>
                <w:szCs w:val="18"/>
              </w:rPr>
              <w:t>18,31</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AE9058" w14:textId="77777777" w:rsidR="0074628E" w:rsidRDefault="00000000">
            <w:pPr>
              <w:spacing w:after="40"/>
            </w:pPr>
            <w:r>
              <w:rPr>
                <w:sz w:val="18"/>
                <w:szCs w:val="18"/>
              </w:rPr>
              <w:t>13,26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E44D25" w14:textId="77777777" w:rsidR="0074628E" w:rsidRDefault="00000000">
            <w:pPr>
              <w:spacing w:after="40"/>
            </w:pPr>
            <w:r>
              <w:rPr>
                <w:sz w:val="18"/>
                <w:szCs w:val="18"/>
              </w:rPr>
              <w:t>16,11</w:t>
            </w:r>
          </w:p>
        </w:tc>
      </w:tr>
      <w:tr w:rsidR="0074628E" w14:paraId="06F0235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61FBE1" w14:textId="77777777" w:rsidR="0074628E" w:rsidRDefault="00000000">
            <w:pPr>
              <w:spacing w:after="40"/>
            </w:pPr>
            <w:r>
              <w:rPr>
                <w:b/>
                <w:bCs/>
                <w:sz w:val="18"/>
                <w:szCs w:val="18"/>
              </w:rPr>
              <w:t xml:space="preserve">Traffic </w:t>
            </w:r>
            <w:proofErr w:type="spellStart"/>
            <w:r>
              <w:rPr>
                <w:b/>
                <w:bCs/>
                <w:sz w:val="18"/>
                <w:szCs w:val="18"/>
              </w:rPr>
              <w:t>Commute</w:t>
            </w:r>
            <w:proofErr w:type="spellEnd"/>
            <w:r>
              <w:rPr>
                <w:b/>
                <w:bCs/>
                <w:sz w:val="18"/>
                <w:szCs w:val="18"/>
              </w:rPr>
              <w:t xml:space="preserve"> Time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08C261" w14:textId="77777777" w:rsidR="0074628E" w:rsidRDefault="00000000">
            <w:pPr>
              <w:spacing w:after="40"/>
            </w:pPr>
            <w:r>
              <w:rPr>
                <w:sz w:val="18"/>
                <w:szCs w:val="18"/>
              </w:rPr>
              <w:t>35,89</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5BC55" w14:textId="77777777" w:rsidR="0074628E" w:rsidRDefault="00000000">
            <w:pPr>
              <w:spacing w:after="40"/>
            </w:pPr>
            <w:r>
              <w:rPr>
                <w:sz w:val="18"/>
                <w:szCs w:val="18"/>
              </w:rPr>
              <w:t>32,63</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6F275" w14:textId="77777777" w:rsidR="0074628E" w:rsidRDefault="00000000">
            <w:pPr>
              <w:spacing w:after="40"/>
            </w:pPr>
            <w:r>
              <w:rPr>
                <w:sz w:val="18"/>
                <w:szCs w:val="18"/>
              </w:rPr>
              <w:t>44,71</w:t>
            </w:r>
          </w:p>
        </w:tc>
      </w:tr>
      <w:tr w:rsidR="0074628E" w14:paraId="4B324CA6"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894462" w14:textId="77777777" w:rsidR="0074628E" w:rsidRDefault="00000000">
            <w:pPr>
              <w:spacing w:after="40"/>
            </w:pPr>
            <w:proofErr w:type="spellStart"/>
            <w:r>
              <w:rPr>
                <w:b/>
                <w:bCs/>
                <w:sz w:val="18"/>
                <w:szCs w:val="18"/>
              </w:rPr>
              <w:t>Pollution</w:t>
            </w:r>
            <w:proofErr w:type="spellEnd"/>
            <w:r>
              <w:rPr>
                <w:b/>
                <w:bCs/>
                <w:sz w:val="18"/>
                <w:szCs w:val="18"/>
              </w:rPr>
              <w:t xml:space="preserve"> Index</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1133C6" w14:textId="77777777" w:rsidR="0074628E" w:rsidRDefault="00000000">
            <w:pPr>
              <w:spacing w:after="40"/>
            </w:pPr>
            <w:r>
              <w:rPr>
                <w:sz w:val="18"/>
                <w:szCs w:val="18"/>
              </w:rPr>
              <w:t>68,07</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FC1A68" w14:textId="77777777" w:rsidR="0074628E" w:rsidRDefault="00000000">
            <w:pPr>
              <w:spacing w:after="40"/>
            </w:pPr>
            <w:r>
              <w:rPr>
                <w:sz w:val="18"/>
                <w:szCs w:val="18"/>
              </w:rPr>
              <w:t>26,46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8DDBB3" w14:textId="77777777" w:rsidR="0074628E" w:rsidRDefault="00000000">
            <w:pPr>
              <w:spacing w:after="40"/>
            </w:pPr>
            <w:r>
              <w:rPr>
                <w:sz w:val="18"/>
                <w:szCs w:val="18"/>
              </w:rPr>
              <w:t>57,60</w:t>
            </w:r>
          </w:p>
        </w:tc>
      </w:tr>
    </w:tbl>
    <w:p w14:paraId="63B36859" w14:textId="77777777" w:rsidR="0074628E" w:rsidRDefault="00000000">
      <w:pPr>
        <w:spacing w:before="60" w:after="160"/>
      </w:pPr>
      <w:r>
        <w:rPr>
          <w:i/>
          <w:iCs/>
          <w:color w:val="595959"/>
          <w:sz w:val="18"/>
          <w:szCs w:val="18"/>
        </w:rPr>
        <w:t xml:space="preserve">Fonti: </w:t>
      </w:r>
      <w:proofErr w:type="spellStart"/>
      <w:r>
        <w:rPr>
          <w:i/>
          <w:iCs/>
          <w:color w:val="595959"/>
          <w:sz w:val="18"/>
          <w:szCs w:val="18"/>
        </w:rPr>
        <w:t>Numbeo</w:t>
      </w:r>
      <w:proofErr w:type="spellEnd"/>
      <w:r>
        <w:rPr>
          <w:i/>
          <w:iCs/>
          <w:color w:val="595959"/>
          <w:sz w:val="18"/>
          <w:szCs w:val="18"/>
        </w:rPr>
        <w:t>, pagine Quality of Life per Milano, Ginevra e Londra (dati già presenti nel report di base).</w:t>
      </w:r>
    </w:p>
    <w:p w14:paraId="74B71BAF" w14:textId="77777777" w:rsidR="0074628E" w:rsidRDefault="00000000">
      <w:pPr>
        <w:pStyle w:val="Titolo2"/>
      </w:pPr>
      <w:r>
        <w:t>Approfondimento per città</w:t>
      </w:r>
    </w:p>
    <w:p w14:paraId="2FAE045B" w14:textId="77777777" w:rsidR="0074628E" w:rsidRDefault="00000000">
      <w:pPr>
        <w:pStyle w:val="Titolo3"/>
      </w:pPr>
      <w:r>
        <w:t>Milano (Italia)</w:t>
      </w:r>
    </w:p>
    <w:p w14:paraId="41E9F398" w14:textId="77777777" w:rsidR="0074628E" w:rsidRDefault="00000000">
      <w:pPr>
        <w:spacing w:after="120" w:line="276" w:lineRule="auto"/>
      </w:pPr>
      <w:r>
        <w:t>Milano offre un ambiente culturale e commerciale estesissimo, collegamenti di trasporto internazionali, ristoranti, musei e accesso a servizi professionali specializzati. Le principali criticità sono l'accessibilità economica delle abitazioni, il traffico e l'inquinamento atmosferico.</w:t>
      </w:r>
    </w:p>
    <w:p w14:paraId="4732F492" w14:textId="77777777" w:rsidR="0074628E" w:rsidRDefault="00000000">
      <w:pPr>
        <w:spacing w:after="120" w:line="276" w:lineRule="auto"/>
      </w:pPr>
      <w:r>
        <w:t>La valutazione della qualità della vita dovrebbe includere:</w:t>
      </w:r>
    </w:p>
    <w:p w14:paraId="08DD6387" w14:textId="77777777" w:rsidR="0074628E" w:rsidRDefault="00000000">
      <w:pPr>
        <w:pStyle w:val="Paragrafoelenco"/>
        <w:numPr>
          <w:ilvl w:val="0"/>
          <w:numId w:val="2"/>
        </w:numPr>
        <w:spacing w:after="60" w:line="264" w:lineRule="auto"/>
      </w:pPr>
      <w:r>
        <w:t>Indici del costo della vita e del potere d'acquisto.</w:t>
      </w:r>
    </w:p>
    <w:p w14:paraId="303FE765" w14:textId="77777777" w:rsidR="0074628E" w:rsidRDefault="00000000">
      <w:pPr>
        <w:pStyle w:val="Paragrafoelenco"/>
        <w:numPr>
          <w:ilvl w:val="0"/>
          <w:numId w:val="2"/>
        </w:numPr>
        <w:spacing w:after="60" w:line="264" w:lineRule="auto"/>
      </w:pPr>
      <w:r>
        <w:t>Affitti e prezzi delle case medi.</w:t>
      </w:r>
    </w:p>
    <w:p w14:paraId="1E9CCDC2" w14:textId="77777777" w:rsidR="0074628E" w:rsidRDefault="00000000">
      <w:pPr>
        <w:pStyle w:val="Paragrafoelenco"/>
        <w:numPr>
          <w:ilvl w:val="0"/>
          <w:numId w:val="2"/>
        </w:numPr>
        <w:spacing w:after="60" w:line="264" w:lineRule="auto"/>
      </w:pPr>
      <w:r>
        <w:t>Accessibilità del trasporto pubblico e tempi di spostamento.</w:t>
      </w:r>
    </w:p>
    <w:p w14:paraId="008E4A92" w14:textId="77777777" w:rsidR="0074628E" w:rsidRDefault="00000000">
      <w:pPr>
        <w:pStyle w:val="Paragrafoelenco"/>
        <w:numPr>
          <w:ilvl w:val="0"/>
          <w:numId w:val="2"/>
        </w:numPr>
        <w:spacing w:after="60" w:line="264" w:lineRule="auto"/>
      </w:pPr>
      <w:r>
        <w:t>Inquinamento atmosferico, in particolare particolato e biossido di azoto.</w:t>
      </w:r>
    </w:p>
    <w:p w14:paraId="6DCF7444" w14:textId="77777777" w:rsidR="0074628E" w:rsidRDefault="00000000">
      <w:pPr>
        <w:pStyle w:val="Paragrafoelenco"/>
        <w:numPr>
          <w:ilvl w:val="0"/>
          <w:numId w:val="2"/>
        </w:numPr>
        <w:spacing w:after="60" w:line="264" w:lineRule="auto"/>
      </w:pPr>
      <w:r>
        <w:t>Criminalità e sicurezza percepita.</w:t>
      </w:r>
    </w:p>
    <w:p w14:paraId="4AAC3B81" w14:textId="77777777" w:rsidR="0074628E" w:rsidRDefault="00000000">
      <w:pPr>
        <w:pStyle w:val="Paragrafoelenco"/>
        <w:numPr>
          <w:ilvl w:val="0"/>
          <w:numId w:val="2"/>
        </w:numPr>
        <w:spacing w:after="60" w:line="264" w:lineRule="auto"/>
      </w:pPr>
      <w:r>
        <w:t>Accesso a parchi, servizi culturali e strutture ricreative.</w:t>
      </w:r>
    </w:p>
    <w:p w14:paraId="4C73B155" w14:textId="77777777" w:rsidR="0074628E" w:rsidRDefault="00000000">
      <w:pPr>
        <w:pStyle w:val="Paragrafoelenco"/>
        <w:numPr>
          <w:ilvl w:val="0"/>
          <w:numId w:val="2"/>
        </w:numPr>
        <w:spacing w:after="60" w:line="264" w:lineRule="auto"/>
      </w:pPr>
      <w:r>
        <w:t>Soddisfazione dei residenti ed equilibrio tra lavoro e vita privata.</w:t>
      </w:r>
    </w:p>
    <w:p w14:paraId="0D66F22F" w14:textId="77777777" w:rsidR="0074628E" w:rsidRDefault="00000000">
      <w:pPr>
        <w:spacing w:after="120" w:line="276" w:lineRule="auto"/>
      </w:pPr>
      <w:r>
        <w:t>Non è ancora stato costruito un punteggio coerente di qualità della vita a livello cittadino. Per un confronto iniziale si possono usare indici privati, ma ove possibile vanno preferite le statistiche ufficiali ambientali e dei trasporti.</w:t>
      </w:r>
    </w:p>
    <w:p w14:paraId="4165A28E" w14:textId="77777777" w:rsidR="0074628E" w:rsidRDefault="00000000">
      <w:pPr>
        <w:keepNext/>
        <w:spacing w:before="80" w:after="60"/>
      </w:pPr>
      <w:r>
        <w:rPr>
          <w:b/>
          <w:bCs/>
          <w:sz w:val="20"/>
          <w:szCs w:val="20"/>
        </w:rPr>
        <w:lastRenderedPageBreak/>
        <w:t>Fonti e link</w:t>
      </w:r>
    </w:p>
    <w:p w14:paraId="731A053D" w14:textId="77777777" w:rsidR="0074628E" w:rsidRDefault="00000000">
      <w:pPr>
        <w:pStyle w:val="Paragrafoelenco"/>
        <w:numPr>
          <w:ilvl w:val="0"/>
          <w:numId w:val="2"/>
        </w:numPr>
        <w:spacing w:after="40"/>
      </w:pPr>
      <w:hyperlink r:id="rId49" w:history="1">
        <w:r>
          <w:rPr>
            <w:rStyle w:val="Collegamentoipertestuale"/>
            <w:sz w:val="20"/>
            <w:szCs w:val="20"/>
          </w:rPr>
          <w:t>OECD — Regional Well-</w:t>
        </w:r>
        <w:proofErr w:type="spellStart"/>
        <w:r>
          <w:rPr>
            <w:rStyle w:val="Collegamentoipertestuale"/>
            <w:sz w:val="20"/>
            <w:szCs w:val="20"/>
          </w:rPr>
          <w:t>Being</w:t>
        </w:r>
        <w:proofErr w:type="spellEnd"/>
      </w:hyperlink>
    </w:p>
    <w:p w14:paraId="4847E554" w14:textId="77777777" w:rsidR="0074628E" w:rsidRDefault="00000000">
      <w:pPr>
        <w:pStyle w:val="Paragrafoelenco"/>
        <w:numPr>
          <w:ilvl w:val="0"/>
          <w:numId w:val="2"/>
        </w:numPr>
        <w:spacing w:after="40"/>
      </w:pPr>
      <w:hyperlink r:id="rId50" w:history="1">
        <w:proofErr w:type="spellStart"/>
        <w:r>
          <w:rPr>
            <w:rStyle w:val="Collegamentoipertestuale"/>
            <w:sz w:val="20"/>
            <w:szCs w:val="20"/>
          </w:rPr>
          <w:t>Numbeo</w:t>
        </w:r>
        <w:proofErr w:type="spellEnd"/>
        <w:r>
          <w:rPr>
            <w:rStyle w:val="Collegamentoipertestuale"/>
            <w:sz w:val="20"/>
            <w:szCs w:val="20"/>
          </w:rPr>
          <w:t xml:space="preserve"> — Milan Quality of Life</w:t>
        </w:r>
      </w:hyperlink>
    </w:p>
    <w:p w14:paraId="09359E36" w14:textId="77777777" w:rsidR="0074628E" w:rsidRDefault="00000000">
      <w:pPr>
        <w:pStyle w:val="Paragrafoelenco"/>
        <w:numPr>
          <w:ilvl w:val="0"/>
          <w:numId w:val="2"/>
        </w:numPr>
        <w:spacing w:after="40"/>
      </w:pPr>
      <w:hyperlink r:id="rId51" w:history="1">
        <w:r>
          <w:rPr>
            <w:rStyle w:val="Collegamentoipertestuale"/>
            <w:sz w:val="20"/>
            <w:szCs w:val="20"/>
          </w:rPr>
          <w:t xml:space="preserve">Milan </w:t>
        </w:r>
        <w:proofErr w:type="spellStart"/>
        <w:r>
          <w:rPr>
            <w:rStyle w:val="Collegamentoipertestuale"/>
            <w:sz w:val="20"/>
            <w:szCs w:val="20"/>
          </w:rPr>
          <w:t>Municipal</w:t>
        </w:r>
        <w:proofErr w:type="spellEnd"/>
        <w:r>
          <w:rPr>
            <w:rStyle w:val="Collegamentoipertestuale"/>
            <w:sz w:val="20"/>
            <w:szCs w:val="20"/>
          </w:rPr>
          <w:t xml:space="preserve"> </w:t>
        </w:r>
        <w:proofErr w:type="spellStart"/>
        <w:r>
          <w:rPr>
            <w:rStyle w:val="Collegamentoipertestuale"/>
            <w:sz w:val="20"/>
            <w:szCs w:val="20"/>
          </w:rPr>
          <w:t>Statistics</w:t>
        </w:r>
        <w:proofErr w:type="spellEnd"/>
      </w:hyperlink>
    </w:p>
    <w:p w14:paraId="69033729" w14:textId="77777777" w:rsidR="0074628E" w:rsidRDefault="00000000">
      <w:pPr>
        <w:pStyle w:val="Paragrafoelenco"/>
        <w:numPr>
          <w:ilvl w:val="0"/>
          <w:numId w:val="2"/>
        </w:numPr>
        <w:spacing w:after="40"/>
      </w:pPr>
      <w:hyperlink r:id="rId52" w:history="1">
        <w:r>
          <w:rPr>
            <w:rStyle w:val="Collegamentoipertestuale"/>
            <w:sz w:val="20"/>
            <w:szCs w:val="20"/>
          </w:rPr>
          <w:t>European Environment Agency</w:t>
        </w:r>
      </w:hyperlink>
    </w:p>
    <w:p w14:paraId="3B680CEA" w14:textId="77777777" w:rsidR="0074628E" w:rsidRDefault="00000000">
      <w:pPr>
        <w:pStyle w:val="Titolo3"/>
      </w:pPr>
      <w:r>
        <w:t>Ginevra (Svizzera)</w:t>
      </w:r>
    </w:p>
    <w:p w14:paraId="21C451DD" w14:textId="77777777" w:rsidR="0074628E" w:rsidRDefault="00000000">
      <w:pPr>
        <w:spacing w:after="120" w:line="276" w:lineRule="auto"/>
      </w:pPr>
      <w:r>
        <w:t>Ginevra unisce l'accesso al Lago di Ginevra e alla regione alpina circostante a collegamenti di trasporto internazionali e a una popolazione molto internazionale.</w:t>
      </w:r>
    </w:p>
    <w:p w14:paraId="0385517F" w14:textId="77777777" w:rsidR="0074628E" w:rsidRDefault="00000000">
      <w:pPr>
        <w:spacing w:after="120" w:line="276" w:lineRule="auto"/>
      </w:pPr>
      <w:r>
        <w:t>La sua principale criticità è il costo della vita, in particolare dell'abitazione. Per le famiglie facoltose, costi elevati possono essere accettabili se accompagnati da opportunità professionali attraenti, sicurezza, buona sanità e istruzione.</w:t>
      </w:r>
    </w:p>
    <w:p w14:paraId="2C94302F" w14:textId="77777777" w:rsidR="0074628E" w:rsidRDefault="00000000">
      <w:pPr>
        <w:spacing w:after="120" w:line="276" w:lineRule="auto"/>
      </w:pPr>
      <w:r>
        <w:t>Il confronto dovrebbe coprire:</w:t>
      </w:r>
    </w:p>
    <w:p w14:paraId="4C0933A5" w14:textId="77777777" w:rsidR="0074628E" w:rsidRDefault="00000000">
      <w:pPr>
        <w:pStyle w:val="Paragrafoelenco"/>
        <w:numPr>
          <w:ilvl w:val="0"/>
          <w:numId w:val="2"/>
        </w:numPr>
        <w:spacing w:after="60" w:line="264" w:lineRule="auto"/>
      </w:pPr>
      <w:r>
        <w:t>Indici del costo della vita e del potere d'acquisto.</w:t>
      </w:r>
    </w:p>
    <w:p w14:paraId="180F201A" w14:textId="77777777" w:rsidR="0074628E" w:rsidRDefault="00000000">
      <w:pPr>
        <w:pStyle w:val="Paragrafoelenco"/>
        <w:numPr>
          <w:ilvl w:val="0"/>
          <w:numId w:val="2"/>
        </w:numPr>
        <w:spacing w:after="60" w:line="264" w:lineRule="auto"/>
      </w:pPr>
      <w:r>
        <w:t>Affitti residenziali e prezzi delle case.</w:t>
      </w:r>
    </w:p>
    <w:p w14:paraId="174F5326" w14:textId="77777777" w:rsidR="0074628E" w:rsidRDefault="00000000">
      <w:pPr>
        <w:pStyle w:val="Paragrafoelenco"/>
        <w:numPr>
          <w:ilvl w:val="0"/>
          <w:numId w:val="2"/>
        </w:numPr>
        <w:spacing w:after="60" w:line="264" w:lineRule="auto"/>
      </w:pPr>
      <w:r>
        <w:t>Accessibilità del trasporto pubblico.</w:t>
      </w:r>
    </w:p>
    <w:p w14:paraId="59359A24" w14:textId="77777777" w:rsidR="0074628E" w:rsidRDefault="00000000">
      <w:pPr>
        <w:pStyle w:val="Paragrafoelenco"/>
        <w:numPr>
          <w:ilvl w:val="0"/>
          <w:numId w:val="2"/>
        </w:numPr>
        <w:spacing w:after="60" w:line="264" w:lineRule="auto"/>
      </w:pPr>
      <w:r>
        <w:t>Qualità dell'aria e disponibilità di spazi verdi.</w:t>
      </w:r>
    </w:p>
    <w:p w14:paraId="78673FE6" w14:textId="77777777" w:rsidR="0074628E" w:rsidRDefault="00000000">
      <w:pPr>
        <w:pStyle w:val="Paragrafoelenco"/>
        <w:numPr>
          <w:ilvl w:val="0"/>
          <w:numId w:val="2"/>
        </w:numPr>
        <w:spacing w:after="60" w:line="264" w:lineRule="auto"/>
      </w:pPr>
      <w:r>
        <w:t>Sicurezza e tassi di criminalità.</w:t>
      </w:r>
    </w:p>
    <w:p w14:paraId="2C0B5F2E" w14:textId="77777777" w:rsidR="0074628E" w:rsidRDefault="00000000">
      <w:pPr>
        <w:pStyle w:val="Paragrafoelenco"/>
        <w:numPr>
          <w:ilvl w:val="0"/>
          <w:numId w:val="2"/>
        </w:numPr>
        <w:spacing w:after="60" w:line="264" w:lineRule="auto"/>
      </w:pPr>
      <w:r>
        <w:t>Accesso alle scuole internazionali.</w:t>
      </w:r>
    </w:p>
    <w:p w14:paraId="4B4F2E85" w14:textId="77777777" w:rsidR="0074628E" w:rsidRDefault="00000000">
      <w:pPr>
        <w:pStyle w:val="Paragrafoelenco"/>
        <w:numPr>
          <w:ilvl w:val="0"/>
          <w:numId w:val="2"/>
        </w:numPr>
        <w:spacing w:after="60" w:line="264" w:lineRule="auto"/>
      </w:pPr>
      <w:r>
        <w:t>Soddisfazione dei residenti ed equilibrio tra lavoro e vita privata.</w:t>
      </w:r>
    </w:p>
    <w:p w14:paraId="37B870BE" w14:textId="77777777" w:rsidR="0074628E" w:rsidRDefault="00000000">
      <w:pPr>
        <w:spacing w:after="120" w:line="276" w:lineRule="auto"/>
      </w:pPr>
      <w:r>
        <w:t>Non è ancora stato raccolto un insieme coerente di indicatori numerici. Gli indici privati sul costo della vita possono aiutare in un confronto iniziale, mentre per abitazioni, trasporti e ambiente vanno usate le statistiche ufficiali.</w:t>
      </w:r>
    </w:p>
    <w:p w14:paraId="39CA0D5A" w14:textId="77777777" w:rsidR="0074628E" w:rsidRDefault="00000000">
      <w:pPr>
        <w:keepNext/>
        <w:spacing w:before="80" w:after="60"/>
      </w:pPr>
      <w:r>
        <w:rPr>
          <w:b/>
          <w:bCs/>
          <w:sz w:val="20"/>
          <w:szCs w:val="20"/>
        </w:rPr>
        <w:t>Fonti e link</w:t>
      </w:r>
    </w:p>
    <w:p w14:paraId="176F17DB" w14:textId="77777777" w:rsidR="0074628E" w:rsidRDefault="00000000">
      <w:pPr>
        <w:pStyle w:val="Paragrafoelenco"/>
        <w:numPr>
          <w:ilvl w:val="0"/>
          <w:numId w:val="2"/>
        </w:numPr>
        <w:spacing w:after="40"/>
      </w:pPr>
      <w:hyperlink r:id="rId53" w:history="1">
        <w:r>
          <w:rPr>
            <w:rStyle w:val="Collegamentoipertestuale"/>
            <w:sz w:val="20"/>
            <w:szCs w:val="20"/>
          </w:rPr>
          <w:t>OECD — Regional Well-</w:t>
        </w:r>
        <w:proofErr w:type="spellStart"/>
        <w:r>
          <w:rPr>
            <w:rStyle w:val="Collegamentoipertestuale"/>
            <w:sz w:val="20"/>
            <w:szCs w:val="20"/>
          </w:rPr>
          <w:t>Being</w:t>
        </w:r>
        <w:proofErr w:type="spellEnd"/>
      </w:hyperlink>
    </w:p>
    <w:p w14:paraId="1BF2DE17" w14:textId="77777777" w:rsidR="0074628E" w:rsidRDefault="00000000">
      <w:pPr>
        <w:pStyle w:val="Paragrafoelenco"/>
        <w:numPr>
          <w:ilvl w:val="0"/>
          <w:numId w:val="2"/>
        </w:numPr>
        <w:spacing w:after="40"/>
      </w:pPr>
      <w:hyperlink r:id="rId54" w:history="1">
        <w:proofErr w:type="spellStart"/>
        <w:r>
          <w:rPr>
            <w:rStyle w:val="Collegamentoipertestuale"/>
            <w:sz w:val="20"/>
            <w:szCs w:val="20"/>
          </w:rPr>
          <w:t>Numbeo</w:t>
        </w:r>
        <w:proofErr w:type="spellEnd"/>
        <w:r>
          <w:rPr>
            <w:rStyle w:val="Collegamentoipertestuale"/>
            <w:sz w:val="20"/>
            <w:szCs w:val="20"/>
          </w:rPr>
          <w:t xml:space="preserve"> — Geneva Quality of Life</w:t>
        </w:r>
      </w:hyperlink>
    </w:p>
    <w:p w14:paraId="4F3ECE4E" w14:textId="77777777" w:rsidR="0074628E" w:rsidRDefault="00000000">
      <w:pPr>
        <w:pStyle w:val="Paragrafoelenco"/>
        <w:numPr>
          <w:ilvl w:val="0"/>
          <w:numId w:val="2"/>
        </w:numPr>
        <w:spacing w:after="40"/>
      </w:pPr>
      <w:hyperlink r:id="rId55" w:history="1">
        <w:r>
          <w:rPr>
            <w:rStyle w:val="Collegamentoipertestuale"/>
            <w:sz w:val="20"/>
            <w:szCs w:val="20"/>
          </w:rPr>
          <w:t xml:space="preserve">Geneva </w:t>
        </w:r>
        <w:proofErr w:type="spellStart"/>
        <w:r>
          <w:rPr>
            <w:rStyle w:val="Collegamentoipertestuale"/>
            <w:sz w:val="20"/>
            <w:szCs w:val="20"/>
          </w:rPr>
          <w:t>Cantonal</w:t>
        </w:r>
        <w:proofErr w:type="spellEnd"/>
        <w:r>
          <w:rPr>
            <w:rStyle w:val="Collegamentoipertestuale"/>
            <w:sz w:val="20"/>
            <w:szCs w:val="20"/>
          </w:rPr>
          <w:t xml:space="preserve"> Statistical Office</w:t>
        </w:r>
      </w:hyperlink>
    </w:p>
    <w:p w14:paraId="377D57C9" w14:textId="77777777" w:rsidR="0074628E" w:rsidRDefault="00000000">
      <w:pPr>
        <w:pStyle w:val="Paragrafoelenco"/>
        <w:numPr>
          <w:ilvl w:val="0"/>
          <w:numId w:val="2"/>
        </w:numPr>
        <w:spacing w:after="40"/>
      </w:pPr>
      <w:hyperlink r:id="rId56" w:history="1">
        <w:r>
          <w:rPr>
            <w:rStyle w:val="Collegamentoipertestuale"/>
            <w:sz w:val="20"/>
            <w:szCs w:val="20"/>
          </w:rPr>
          <w:t>City of Geneva</w:t>
        </w:r>
      </w:hyperlink>
    </w:p>
    <w:p w14:paraId="5E9D7E81" w14:textId="77777777" w:rsidR="0074628E" w:rsidRDefault="00000000">
      <w:pPr>
        <w:pStyle w:val="Titolo3"/>
      </w:pPr>
      <w:r>
        <w:t>Londra (Regno Unito)</w:t>
      </w:r>
    </w:p>
    <w:p w14:paraId="5B0AF573" w14:textId="77777777" w:rsidR="0074628E" w:rsidRDefault="00000000">
      <w:pPr>
        <w:spacing w:after="120" w:line="276" w:lineRule="auto"/>
      </w:pPr>
      <w:r>
        <w:t>Londra offre un ampio settore culturale e dell'intrattenimento, un esteso trasporto pubblico, scuole internazionali e un'ampia gamma di attività professionali e del tempo libero.</w:t>
      </w:r>
    </w:p>
    <w:p w14:paraId="4E772DC5" w14:textId="77777777" w:rsidR="0074628E" w:rsidRDefault="00000000">
      <w:pPr>
        <w:spacing w:after="120" w:line="276" w:lineRule="auto"/>
      </w:pPr>
      <w:r>
        <w:t xml:space="preserve">La Greater London Authority riporta che circa il </w:t>
      </w:r>
      <w:r>
        <w:rPr>
          <w:b/>
          <w:bCs/>
        </w:rPr>
        <w:t>52% di Londra è spazio verde</w:t>
      </w:r>
      <w:r>
        <w:t>, con una copertura arborea di circa il 19,6%.</w:t>
      </w:r>
    </w:p>
    <w:p w14:paraId="4D23B51C" w14:textId="77777777" w:rsidR="0074628E" w:rsidRDefault="00000000">
      <w:pPr>
        <w:spacing w:after="120" w:line="276" w:lineRule="auto"/>
      </w:pPr>
      <w:r>
        <w:t>Allo stesso tempo, i costi abitativi sono elevati. La dashboard 2026 della GLA riporta un affitto privato medio di 2.280 sterline al mese a marzo 2026 e un prezzo medio delle case di 552.304 sterline a febbraio 2026.</w:t>
      </w:r>
    </w:p>
    <w:p w14:paraId="6DE7C524" w14:textId="77777777" w:rsidR="0074628E" w:rsidRDefault="00000000">
      <w:pPr>
        <w:spacing w:after="120" w:line="276" w:lineRule="auto"/>
      </w:pPr>
      <w:r>
        <w:t>Si tratta di medie cittadine, non di prezzi del mercato prime. Illustrano tuttavia il costo della vita a Londra e l'importanza dell'accessibilità abitativa nelle decisioni di relocation.</w:t>
      </w:r>
    </w:p>
    <w:p w14:paraId="6F82EB57" w14:textId="77777777" w:rsidR="0074628E" w:rsidRDefault="00000000">
      <w:pPr>
        <w:spacing w:after="120" w:line="276" w:lineRule="auto"/>
      </w:pPr>
      <w:r>
        <w:t>Ulteriori indicatori da includere:</w:t>
      </w:r>
    </w:p>
    <w:p w14:paraId="0C8B4CCA" w14:textId="77777777" w:rsidR="0074628E" w:rsidRDefault="00000000">
      <w:pPr>
        <w:pStyle w:val="Paragrafoelenco"/>
        <w:numPr>
          <w:ilvl w:val="0"/>
          <w:numId w:val="2"/>
        </w:numPr>
        <w:spacing w:after="60" w:line="264" w:lineRule="auto"/>
      </w:pPr>
      <w:r>
        <w:t>Costo della vita e potere d'acquisto.</w:t>
      </w:r>
    </w:p>
    <w:p w14:paraId="570D8F50" w14:textId="77777777" w:rsidR="0074628E" w:rsidRDefault="00000000">
      <w:pPr>
        <w:pStyle w:val="Paragrafoelenco"/>
        <w:numPr>
          <w:ilvl w:val="0"/>
          <w:numId w:val="2"/>
        </w:numPr>
        <w:spacing w:after="60" w:line="264" w:lineRule="auto"/>
      </w:pPr>
      <w:r>
        <w:t>Sicurezza e tassi di criminalità.</w:t>
      </w:r>
    </w:p>
    <w:p w14:paraId="3E3FD72A" w14:textId="77777777" w:rsidR="0074628E" w:rsidRDefault="00000000">
      <w:pPr>
        <w:pStyle w:val="Paragrafoelenco"/>
        <w:numPr>
          <w:ilvl w:val="0"/>
          <w:numId w:val="2"/>
        </w:numPr>
        <w:spacing w:after="60" w:line="264" w:lineRule="auto"/>
      </w:pPr>
      <w:r>
        <w:t>Qualità dell'aria.</w:t>
      </w:r>
    </w:p>
    <w:p w14:paraId="322E3DB3" w14:textId="77777777" w:rsidR="0074628E" w:rsidRDefault="00000000">
      <w:pPr>
        <w:pStyle w:val="Paragrafoelenco"/>
        <w:numPr>
          <w:ilvl w:val="0"/>
          <w:numId w:val="2"/>
        </w:numPr>
        <w:spacing w:after="60" w:line="264" w:lineRule="auto"/>
      </w:pPr>
      <w:r>
        <w:t>Accessibilità del trasporto pubblico.</w:t>
      </w:r>
    </w:p>
    <w:p w14:paraId="3301D4E5" w14:textId="77777777" w:rsidR="0074628E" w:rsidRDefault="00000000">
      <w:pPr>
        <w:pStyle w:val="Paragrafoelenco"/>
        <w:numPr>
          <w:ilvl w:val="0"/>
          <w:numId w:val="2"/>
        </w:numPr>
        <w:spacing w:after="60" w:line="264" w:lineRule="auto"/>
      </w:pPr>
      <w:r>
        <w:t>Tempi di spostamento casa-lavoro.</w:t>
      </w:r>
    </w:p>
    <w:p w14:paraId="68511900" w14:textId="77777777" w:rsidR="0074628E" w:rsidRDefault="00000000">
      <w:pPr>
        <w:pStyle w:val="Paragrafoelenco"/>
        <w:numPr>
          <w:ilvl w:val="0"/>
          <w:numId w:val="2"/>
        </w:numPr>
        <w:spacing w:after="60" w:line="264" w:lineRule="auto"/>
      </w:pPr>
      <w:r>
        <w:t>Soddisfazione e benessere dei residenti.</w:t>
      </w:r>
    </w:p>
    <w:p w14:paraId="0A38FD9A" w14:textId="77777777" w:rsidR="0074628E" w:rsidRDefault="00000000">
      <w:pPr>
        <w:pStyle w:val="Paragrafoelenco"/>
        <w:numPr>
          <w:ilvl w:val="0"/>
          <w:numId w:val="2"/>
        </w:numPr>
        <w:spacing w:after="60" w:line="264" w:lineRule="auto"/>
      </w:pPr>
      <w:r>
        <w:lastRenderedPageBreak/>
        <w:t>Accesso ai servizi culturali e agli spazi verdi.</w:t>
      </w:r>
    </w:p>
    <w:p w14:paraId="4765C64D" w14:textId="77777777" w:rsidR="0074628E" w:rsidRDefault="00000000">
      <w:pPr>
        <w:spacing w:after="120" w:line="276" w:lineRule="auto"/>
      </w:pPr>
      <w:r>
        <w:t>Le cifre sulle abitazioni vanno conservate con i rispettivi mesi di riferimento. Non è ancora stato costruito un punteggio di qualità della vita comparabile per tutte e tre le città.</w:t>
      </w:r>
    </w:p>
    <w:p w14:paraId="26754B25" w14:textId="77777777" w:rsidR="0074628E" w:rsidRDefault="00000000">
      <w:pPr>
        <w:keepNext/>
        <w:spacing w:before="80" w:after="60"/>
      </w:pPr>
      <w:r>
        <w:rPr>
          <w:b/>
          <w:bCs/>
          <w:sz w:val="20"/>
          <w:szCs w:val="20"/>
        </w:rPr>
        <w:t>Fonti e link</w:t>
      </w:r>
    </w:p>
    <w:p w14:paraId="7CD095BE" w14:textId="77777777" w:rsidR="0074628E" w:rsidRDefault="00000000">
      <w:pPr>
        <w:pStyle w:val="Paragrafoelenco"/>
        <w:numPr>
          <w:ilvl w:val="0"/>
          <w:numId w:val="2"/>
        </w:numPr>
        <w:spacing w:after="40"/>
      </w:pPr>
      <w:hyperlink r:id="rId57" w:history="1">
        <w:r>
          <w:rPr>
            <w:rStyle w:val="Collegamentoipertestuale"/>
            <w:sz w:val="20"/>
            <w:szCs w:val="20"/>
          </w:rPr>
          <w:t>Greater London Authority — London in Figures</w:t>
        </w:r>
      </w:hyperlink>
    </w:p>
    <w:p w14:paraId="690D88EA" w14:textId="77777777" w:rsidR="0074628E" w:rsidRDefault="00000000">
      <w:pPr>
        <w:pStyle w:val="Paragrafoelenco"/>
        <w:numPr>
          <w:ilvl w:val="0"/>
          <w:numId w:val="2"/>
        </w:numPr>
        <w:spacing w:after="40"/>
      </w:pPr>
      <w:hyperlink r:id="rId58" w:history="1">
        <w:r>
          <w:rPr>
            <w:rStyle w:val="Collegamentoipertestuale"/>
            <w:sz w:val="20"/>
            <w:szCs w:val="20"/>
          </w:rPr>
          <w:t>OECD — Regional Well-</w:t>
        </w:r>
        <w:proofErr w:type="spellStart"/>
        <w:r>
          <w:rPr>
            <w:rStyle w:val="Collegamentoipertestuale"/>
            <w:sz w:val="20"/>
            <w:szCs w:val="20"/>
          </w:rPr>
          <w:t>Being</w:t>
        </w:r>
        <w:proofErr w:type="spellEnd"/>
      </w:hyperlink>
    </w:p>
    <w:p w14:paraId="474A729E" w14:textId="77777777" w:rsidR="0074628E" w:rsidRDefault="00000000">
      <w:pPr>
        <w:pStyle w:val="Paragrafoelenco"/>
        <w:numPr>
          <w:ilvl w:val="0"/>
          <w:numId w:val="2"/>
        </w:numPr>
        <w:spacing w:after="40"/>
      </w:pPr>
      <w:hyperlink r:id="rId59" w:history="1">
        <w:proofErr w:type="spellStart"/>
        <w:r>
          <w:rPr>
            <w:rStyle w:val="Collegamentoipertestuale"/>
            <w:sz w:val="20"/>
            <w:szCs w:val="20"/>
          </w:rPr>
          <w:t>Numbeo</w:t>
        </w:r>
        <w:proofErr w:type="spellEnd"/>
        <w:r>
          <w:rPr>
            <w:rStyle w:val="Collegamentoipertestuale"/>
            <w:sz w:val="20"/>
            <w:szCs w:val="20"/>
          </w:rPr>
          <w:t xml:space="preserve"> — London Quality of Life</w:t>
        </w:r>
      </w:hyperlink>
    </w:p>
    <w:p w14:paraId="0E1BE9AC" w14:textId="77777777" w:rsidR="0074628E" w:rsidRDefault="00000000">
      <w:pPr>
        <w:pStyle w:val="Titolo1"/>
      </w:pPr>
      <w:r>
        <w:t>7. Fiscalità e incentivi alla relocation</w:t>
      </w:r>
    </w:p>
    <w:p w14:paraId="5FE02FE4" w14:textId="77777777" w:rsidR="0074628E" w:rsidRDefault="00000000">
      <w:pPr>
        <w:spacing w:after="120" w:line="276" w:lineRule="auto"/>
      </w:pPr>
      <w:r>
        <w:t xml:space="preserve">La fiscalità non si presta a un confronto per città, perché i regimi sono definiti a livello nazionale o, nel caso di Ginevra, cantonale e comunale. Quello che conta per un HNWI mobile sono i regimi speciali per i nuovi residenti. A Milano si applica la </w:t>
      </w:r>
      <w:proofErr w:type="spellStart"/>
      <w:r>
        <w:t>flat</w:t>
      </w:r>
      <w:proofErr w:type="spellEnd"/>
      <w:r>
        <w:t xml:space="preserve"> tax italiana, che per chi trasferisce la residenza dal 1° gennaio 2026 costa 300.000 euro l'anno (più 50.000 per ogni familiare), contro 200.000 per gli arrivi tra agosto 2024 e fine 2025. Ginevra offre la tassazione forfettaria per cittadini stranieri che non svolgono attività lucrativa in Svizzera, soggetta a condizioni e alle regole cantonali, e applica un'imposta cantonale e comunale sul patrimonio. Londra applica il nuovo regime FIG dal 6 aprile 2025 al posto dello status non-</w:t>
      </w:r>
      <w:proofErr w:type="spellStart"/>
      <w:r>
        <w:t>dom</w:t>
      </w:r>
      <w:proofErr w:type="spellEnd"/>
      <w:r>
        <w:t>, senza imposta generale sul patrimonio. Un dato sui flussi netti di HNWI a livello cittadino non è disponibile: come indicatore indiretto si può usare la crescita dei milionari 2014–2024 (Milano +24%, Ginevra +26%, Londra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2210579B"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69A37D0"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55BF550"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3DED43B"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680B0ED" w14:textId="77777777" w:rsidR="0074628E" w:rsidRDefault="00000000">
            <w:pPr>
              <w:spacing w:after="40"/>
            </w:pPr>
            <w:r>
              <w:rPr>
                <w:b/>
                <w:bCs/>
                <w:sz w:val="18"/>
                <w:szCs w:val="18"/>
              </w:rPr>
              <w:t>Londra</w:t>
            </w:r>
          </w:p>
        </w:tc>
      </w:tr>
      <w:tr w:rsidR="0074628E" w14:paraId="44581320"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FD912D" w14:textId="77777777" w:rsidR="0074628E" w:rsidRDefault="00000000">
            <w:pPr>
              <w:spacing w:after="40"/>
            </w:pPr>
            <w:r>
              <w:rPr>
                <w:b/>
                <w:bCs/>
                <w:sz w:val="18"/>
                <w:szCs w:val="18"/>
              </w:rPr>
              <w:t>Regime speciale per nuovi residenti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B74A36" w14:textId="77777777" w:rsidR="0074628E" w:rsidRDefault="00000000">
            <w:pPr>
              <w:spacing w:after="40"/>
            </w:pPr>
            <w:proofErr w:type="spellStart"/>
            <w:r>
              <w:rPr>
                <w:sz w:val="18"/>
                <w:szCs w:val="18"/>
              </w:rPr>
              <w:t>Flat</w:t>
            </w:r>
            <w:proofErr w:type="spellEnd"/>
            <w:r>
              <w:rPr>
                <w:sz w:val="18"/>
                <w:szCs w:val="18"/>
              </w:rPr>
              <w:t xml:space="preserve"> tax sui redditi esteri: € 300.000/anno dal 2026 (+ € 50.000 per familiare)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A6AB71" w14:textId="77777777" w:rsidR="0074628E" w:rsidRDefault="00000000">
            <w:pPr>
              <w:spacing w:after="40"/>
            </w:pPr>
            <w:r>
              <w:rPr>
                <w:sz w:val="18"/>
                <w:szCs w:val="18"/>
              </w:rPr>
              <w:t>Tassazione forfettaria per stranieri senza attività lucrativa in Svizzera (condizioni e regole cantonali)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C063D" w14:textId="77777777" w:rsidR="0074628E" w:rsidRDefault="00000000">
            <w:pPr>
              <w:spacing w:after="40"/>
            </w:pPr>
            <w:r>
              <w:rPr>
                <w:sz w:val="18"/>
                <w:szCs w:val="18"/>
              </w:rPr>
              <w:t>Regime Foreign Income and Gains (dal 6 aprile 2025) per nuovi residenti idonei</w:t>
            </w:r>
          </w:p>
        </w:tc>
      </w:tr>
      <w:tr w:rsidR="0074628E" w14:paraId="6A20645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E2789D" w14:textId="77777777" w:rsidR="0074628E" w:rsidRDefault="00000000">
            <w:pPr>
              <w:spacing w:after="40"/>
            </w:pPr>
            <w:r>
              <w:rPr>
                <w:b/>
                <w:bCs/>
                <w:sz w:val="18"/>
                <w:szCs w:val="18"/>
              </w:rPr>
              <w:t>Imposta sul patrimonio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39C52C" w14:textId="77777777" w:rsidR="0074628E" w:rsidRDefault="00000000">
            <w:pPr>
              <w:spacing w:after="40"/>
            </w:pPr>
            <w:r>
              <w:rPr>
                <w:sz w:val="18"/>
                <w:szCs w:val="18"/>
              </w:rPr>
              <w:t>Nessuna imposta generale equivalente a quella svizzera; esistono imposte specifiche su alcuni attivi esteri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4E144A" w14:textId="77777777" w:rsidR="0074628E" w:rsidRDefault="00000000">
            <w:pPr>
              <w:spacing w:after="40"/>
            </w:pPr>
            <w:r>
              <w:rPr>
                <w:sz w:val="18"/>
                <w:szCs w:val="18"/>
              </w:rPr>
              <w:t>Imposta cantonale e comunale sul patrimonio netto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6D0332" w14:textId="77777777" w:rsidR="0074628E" w:rsidRDefault="00000000">
            <w:pPr>
              <w:spacing w:after="40"/>
            </w:pPr>
            <w:r>
              <w:rPr>
                <w:sz w:val="18"/>
                <w:szCs w:val="18"/>
              </w:rPr>
              <w:t>Nessuna imposta generale annuale sul patrimonio</w:t>
            </w:r>
          </w:p>
        </w:tc>
      </w:tr>
      <w:tr w:rsidR="0074628E" w14:paraId="6822C21B"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7B71D65" w14:textId="77777777" w:rsidR="0074628E" w:rsidRDefault="00000000">
            <w:pPr>
              <w:spacing w:after="40"/>
            </w:pPr>
            <w:r>
              <w:rPr>
                <w:b/>
                <w:bCs/>
                <w:sz w:val="18"/>
                <w:szCs w:val="18"/>
              </w:rPr>
              <w:t>Crescita milionari 2014–2024 (indicatore indiretto)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EFB52F" w14:textId="77777777" w:rsidR="0074628E" w:rsidRDefault="00000000">
            <w:pPr>
              <w:spacing w:after="40"/>
            </w:pPr>
            <w:r>
              <w:rPr>
                <w:sz w:val="18"/>
                <w:szCs w:val="18"/>
              </w:rPr>
              <w:t>+24%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06B1E6" w14:textId="77777777" w:rsidR="0074628E" w:rsidRDefault="00000000">
            <w:pPr>
              <w:spacing w:after="40"/>
            </w:pPr>
            <w:r>
              <w:rPr>
                <w:sz w:val="18"/>
                <w:szCs w:val="18"/>
              </w:rPr>
              <w:t>+26%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E3BEFD" w14:textId="77777777" w:rsidR="0074628E" w:rsidRDefault="00000000">
            <w:pPr>
              <w:spacing w:after="40"/>
            </w:pPr>
            <w:r>
              <w:rPr>
                <w:sz w:val="18"/>
                <w:szCs w:val="18"/>
              </w:rPr>
              <w:t>−12%</w:t>
            </w:r>
          </w:p>
        </w:tc>
      </w:tr>
    </w:tbl>
    <w:p w14:paraId="187D699E" w14:textId="77777777" w:rsidR="0074628E" w:rsidRDefault="00000000">
      <w:pPr>
        <w:spacing w:before="60" w:after="160"/>
      </w:pPr>
      <w:r>
        <w:rPr>
          <w:i/>
          <w:iCs/>
          <w:color w:val="595959"/>
          <w:sz w:val="18"/>
          <w:szCs w:val="18"/>
        </w:rPr>
        <w:t>Fonti: Baker McKenzie, KPMG (Budget Law 2026, Legge 199/2025) per l'Italia; testi del report di base per Ginevra e Regno Unito; Henley &amp; Partners per la crescita dei milionari. Le condizioni dei regimi vanno verificate per la data di arrivo e il profilo del cliente.</w:t>
      </w:r>
    </w:p>
    <w:p w14:paraId="1E4983C7" w14:textId="77777777" w:rsidR="0074628E" w:rsidRDefault="00000000">
      <w:pPr>
        <w:pStyle w:val="Titolo2"/>
      </w:pPr>
      <w:r>
        <w:t>Approfondimento per città</w:t>
      </w:r>
    </w:p>
    <w:p w14:paraId="055137AC" w14:textId="77777777" w:rsidR="0074628E" w:rsidRDefault="00000000">
      <w:pPr>
        <w:pStyle w:val="Titolo3"/>
      </w:pPr>
      <w:r>
        <w:t>Milano (Italia)</w:t>
      </w:r>
    </w:p>
    <w:p w14:paraId="17D174D0" w14:textId="77777777" w:rsidR="0074628E" w:rsidRDefault="00000000">
      <w:pPr>
        <w:spacing w:after="120" w:line="276" w:lineRule="auto"/>
      </w:pPr>
      <w:r>
        <w:t>L'Italia ha un regime fiscale speciale per le persone facoltose qualificate che trasferiscono la residenza fiscale in Italia.</w:t>
      </w:r>
    </w:p>
    <w:p w14:paraId="597B134C" w14:textId="77777777" w:rsidR="0074628E" w:rsidRDefault="00000000">
      <w:pPr>
        <w:spacing w:after="120" w:line="276" w:lineRule="auto"/>
      </w:pPr>
      <w:r>
        <w:t xml:space="preserve">Secondo le norme applicabili ai nuovi ingressi qualificati dal 2025, l'imposta sostitutiva sui redditi esteri ammissibili è di </w:t>
      </w:r>
      <w:r>
        <w:rPr>
          <w:b/>
          <w:bCs/>
        </w:rPr>
        <w:t>200.000 euro l'anno</w:t>
      </w:r>
      <w:r>
        <w:t xml:space="preserve"> per il contribuente principale. L'idoneità richiede, in generale, la non residenza fiscale in Italia per almeno nove dei dieci anni d'imposta precedenti. Il regime può durare fino a 15 anni, nel rispetto delle condizioni applicabili. </w:t>
      </w:r>
      <w:r>
        <w:rPr>
          <w:i/>
          <w:iCs/>
        </w:rPr>
        <w:t>Aggiornamento dal benchmark: per chi trasferisce la residenza dal 1° gennaio 2026 l'importo è di 300.000 euro l'anno (più 50.000 per ogni familiare).</w:t>
      </w:r>
    </w:p>
    <w:p w14:paraId="61A02C3D" w14:textId="77777777" w:rsidR="0074628E" w:rsidRDefault="00000000">
      <w:pPr>
        <w:spacing w:after="120" w:line="276" w:lineRule="auto"/>
      </w:pPr>
      <w:r>
        <w:t>I redditi di fonte italiana restano soggetti alle regole interne pertinenti: il regime non va quindi interpretato come un'esenzione generale dalla tassazione italiana.</w:t>
      </w:r>
    </w:p>
    <w:p w14:paraId="58CE1400" w14:textId="77777777" w:rsidR="0074628E" w:rsidRDefault="00000000">
      <w:pPr>
        <w:spacing w:after="120" w:line="276" w:lineRule="auto"/>
      </w:pPr>
      <w:r>
        <w:lastRenderedPageBreak/>
        <w:t>Il regime può rendere Milano più attraente per persone facoltose con redditi da investimento esteri rilevanti. Il beneficio effettivo dipende tuttavia dalla composizione del reddito, dalla situazione familiare, dalla residenza precedente e dagli altri obblighi fiscali.</w:t>
      </w:r>
    </w:p>
    <w:p w14:paraId="74E216CB" w14:textId="77777777" w:rsidR="0074628E" w:rsidRDefault="00000000">
      <w:pPr>
        <w:spacing w:after="120" w:line="276" w:lineRule="auto"/>
      </w:pPr>
      <w:r>
        <w:t>Altri indicatori rilevanti:</w:t>
      </w:r>
    </w:p>
    <w:p w14:paraId="20915EF0" w14:textId="77777777" w:rsidR="0074628E" w:rsidRDefault="00000000">
      <w:pPr>
        <w:pStyle w:val="Paragrafoelenco"/>
        <w:numPr>
          <w:ilvl w:val="0"/>
          <w:numId w:val="2"/>
        </w:numPr>
        <w:spacing w:after="60" w:line="264" w:lineRule="auto"/>
      </w:pPr>
      <w:r>
        <w:t>Aliquote dell'imposta personale sul reddito.</w:t>
      </w:r>
    </w:p>
    <w:p w14:paraId="03F3D3F7" w14:textId="77777777" w:rsidR="0074628E" w:rsidRDefault="00000000">
      <w:pPr>
        <w:pStyle w:val="Paragrafoelenco"/>
        <w:numPr>
          <w:ilvl w:val="0"/>
          <w:numId w:val="2"/>
        </w:numPr>
        <w:spacing w:after="60" w:line="264" w:lineRule="auto"/>
      </w:pPr>
      <w:r>
        <w:t>Tassazione di dividendi e plusvalenze.</w:t>
      </w:r>
    </w:p>
    <w:p w14:paraId="3C1755BD" w14:textId="77777777" w:rsidR="0074628E" w:rsidRDefault="00000000">
      <w:pPr>
        <w:pStyle w:val="Paragrafoelenco"/>
        <w:numPr>
          <w:ilvl w:val="0"/>
          <w:numId w:val="2"/>
        </w:numPr>
        <w:spacing w:after="60" w:line="264" w:lineRule="auto"/>
      </w:pPr>
      <w:r>
        <w:t>Imposte su successioni e donazioni.</w:t>
      </w:r>
    </w:p>
    <w:p w14:paraId="6641178A" w14:textId="77777777" w:rsidR="0074628E" w:rsidRDefault="00000000">
      <w:pPr>
        <w:pStyle w:val="Paragrafoelenco"/>
        <w:numPr>
          <w:ilvl w:val="0"/>
          <w:numId w:val="2"/>
        </w:numPr>
        <w:spacing w:after="60" w:line="264" w:lineRule="auto"/>
      </w:pPr>
      <w:r>
        <w:t>Imposte sugli immobili nazionali ed esteri.</w:t>
      </w:r>
    </w:p>
    <w:p w14:paraId="6A30E7D7" w14:textId="77777777" w:rsidR="0074628E" w:rsidRDefault="00000000">
      <w:pPr>
        <w:pStyle w:val="Paragrafoelenco"/>
        <w:numPr>
          <w:ilvl w:val="0"/>
          <w:numId w:val="2"/>
        </w:numPr>
        <w:spacing w:after="60" w:line="264" w:lineRule="auto"/>
      </w:pPr>
      <w:r>
        <w:t>Numero di persone facoltose che si trasferiscono in Italia.</w:t>
      </w:r>
    </w:p>
    <w:p w14:paraId="713B13B8" w14:textId="77777777" w:rsidR="0074628E" w:rsidRDefault="00000000">
      <w:pPr>
        <w:pStyle w:val="Paragrafoelenco"/>
        <w:numPr>
          <w:ilvl w:val="0"/>
          <w:numId w:val="2"/>
        </w:numPr>
        <w:spacing w:after="60" w:line="264" w:lineRule="auto"/>
      </w:pPr>
      <w:r>
        <w:t>Requisiti di residenza fiscale e procedure amministrative.</w:t>
      </w:r>
    </w:p>
    <w:p w14:paraId="02707A46" w14:textId="77777777" w:rsidR="0074628E" w:rsidRDefault="00000000">
      <w:pPr>
        <w:spacing w:after="120" w:line="276" w:lineRule="auto"/>
      </w:pPr>
      <w:r>
        <w:t>Un benchmark utile sarebbe modellare l'onere fiscale effettivo per un investitore internazionalmente mobile con un portafoglio standardizzato, anziché confrontare le sole aliquote nominali.</w:t>
      </w:r>
    </w:p>
    <w:p w14:paraId="300F8FA5" w14:textId="77777777" w:rsidR="0074628E" w:rsidRDefault="00000000">
      <w:pPr>
        <w:keepNext/>
        <w:spacing w:before="80" w:after="60"/>
      </w:pPr>
      <w:r>
        <w:rPr>
          <w:b/>
          <w:bCs/>
          <w:sz w:val="20"/>
          <w:szCs w:val="20"/>
        </w:rPr>
        <w:t>Fonti e link</w:t>
      </w:r>
    </w:p>
    <w:p w14:paraId="600679F8" w14:textId="77777777" w:rsidR="0074628E" w:rsidRPr="00034606" w:rsidRDefault="00000000">
      <w:pPr>
        <w:pStyle w:val="Paragrafoelenco"/>
        <w:numPr>
          <w:ilvl w:val="0"/>
          <w:numId w:val="2"/>
        </w:numPr>
        <w:spacing w:after="40"/>
        <w:rPr>
          <w:lang w:val="fr-FR"/>
        </w:rPr>
      </w:pPr>
      <w:hyperlink r:id="rId60" w:history="1">
        <w:r w:rsidRPr="00034606">
          <w:rPr>
            <w:rStyle w:val="Collegamentoipertestuale"/>
            <w:sz w:val="20"/>
            <w:szCs w:val="20"/>
            <w:lang w:val="fr-FR"/>
          </w:rPr>
          <w:t xml:space="preserve">Invest in Italy — Taxation and the HNWI </w:t>
        </w:r>
        <w:proofErr w:type="spellStart"/>
        <w:r w:rsidRPr="00034606">
          <w:rPr>
            <w:rStyle w:val="Collegamentoipertestuale"/>
            <w:sz w:val="20"/>
            <w:szCs w:val="20"/>
            <w:lang w:val="fr-FR"/>
          </w:rPr>
          <w:t>regime</w:t>
        </w:r>
        <w:proofErr w:type="spellEnd"/>
      </w:hyperlink>
    </w:p>
    <w:p w14:paraId="73820571" w14:textId="77777777" w:rsidR="0074628E" w:rsidRDefault="00000000">
      <w:pPr>
        <w:pStyle w:val="Paragrafoelenco"/>
        <w:numPr>
          <w:ilvl w:val="0"/>
          <w:numId w:val="2"/>
        </w:numPr>
        <w:spacing w:after="40"/>
      </w:pPr>
      <w:hyperlink r:id="rId61" w:history="1">
        <w:proofErr w:type="spellStart"/>
        <w:r>
          <w:rPr>
            <w:rStyle w:val="Collegamentoipertestuale"/>
            <w:sz w:val="20"/>
            <w:szCs w:val="20"/>
          </w:rPr>
          <w:t>Italian</w:t>
        </w:r>
        <w:proofErr w:type="spellEnd"/>
        <w:r>
          <w:rPr>
            <w:rStyle w:val="Collegamentoipertestuale"/>
            <w:sz w:val="20"/>
            <w:szCs w:val="20"/>
          </w:rPr>
          <w:t xml:space="preserve"> Revenue Agency</w:t>
        </w:r>
      </w:hyperlink>
    </w:p>
    <w:p w14:paraId="5E17C4E6" w14:textId="77777777" w:rsidR="0074628E" w:rsidRDefault="00000000">
      <w:pPr>
        <w:pStyle w:val="Titolo3"/>
      </w:pPr>
      <w:r>
        <w:t>Ginevra (Svizzera)</w:t>
      </w:r>
    </w:p>
    <w:p w14:paraId="50E98757" w14:textId="77777777" w:rsidR="0074628E" w:rsidRDefault="00000000">
      <w:pPr>
        <w:spacing w:after="120" w:line="276" w:lineRule="auto"/>
      </w:pPr>
      <w:r>
        <w:t>Il sistema fiscale svizzero combina imposte federali, cantonali e comunali. Di conseguenza, l'onere fiscale effettivo dipende dalle circostanze del contribuente e dalle regole locali applicabili.</w:t>
      </w:r>
    </w:p>
    <w:p w14:paraId="29FA0201" w14:textId="77777777" w:rsidR="0074628E" w:rsidRDefault="00000000">
      <w:pPr>
        <w:spacing w:after="120" w:line="276" w:lineRule="auto"/>
      </w:pPr>
      <w:r>
        <w:t>Alcuni residenti stranieri che soddisfano i requisiti di legge e non esercitano un'attività lucrativa in Svizzera possono accedere alla tassazione in base alla spesa, comunemente detta tassazione forfettaria. Idoneità e base imponibile sono soggette a condizioni specifiche.</w:t>
      </w:r>
    </w:p>
    <w:p w14:paraId="772B9B54" w14:textId="77777777" w:rsidR="0074628E" w:rsidRDefault="00000000">
      <w:pPr>
        <w:spacing w:after="120" w:line="276" w:lineRule="auto"/>
      </w:pPr>
      <w:r>
        <w:t>Per Ginevra gli indicatori più rilevanti sono:</w:t>
      </w:r>
    </w:p>
    <w:p w14:paraId="5EF2E3D8" w14:textId="77777777" w:rsidR="0074628E" w:rsidRDefault="00000000">
      <w:pPr>
        <w:pStyle w:val="Paragrafoelenco"/>
        <w:numPr>
          <w:ilvl w:val="0"/>
          <w:numId w:val="2"/>
        </w:numPr>
        <w:spacing w:after="60" w:line="264" w:lineRule="auto"/>
      </w:pPr>
      <w:r>
        <w:t>Imposta personale sul reddito per fascia di reddito.</w:t>
      </w:r>
    </w:p>
    <w:p w14:paraId="271BB8C0" w14:textId="77777777" w:rsidR="0074628E" w:rsidRDefault="00000000">
      <w:pPr>
        <w:pStyle w:val="Paragrafoelenco"/>
        <w:numPr>
          <w:ilvl w:val="0"/>
          <w:numId w:val="2"/>
        </w:numPr>
        <w:spacing w:after="60" w:line="264" w:lineRule="auto"/>
      </w:pPr>
      <w:r>
        <w:t>Tassazione di dividendi e plusvalenze.</w:t>
      </w:r>
    </w:p>
    <w:p w14:paraId="6D8B6B13" w14:textId="77777777" w:rsidR="0074628E" w:rsidRDefault="00000000">
      <w:pPr>
        <w:pStyle w:val="Paragrafoelenco"/>
        <w:numPr>
          <w:ilvl w:val="0"/>
          <w:numId w:val="2"/>
        </w:numPr>
        <w:spacing w:after="60" w:line="264" w:lineRule="auto"/>
      </w:pPr>
      <w:r>
        <w:t>Imposta annuale sul patrimonio.</w:t>
      </w:r>
    </w:p>
    <w:p w14:paraId="1897A321" w14:textId="77777777" w:rsidR="0074628E" w:rsidRDefault="00000000">
      <w:pPr>
        <w:pStyle w:val="Paragrafoelenco"/>
        <w:numPr>
          <w:ilvl w:val="0"/>
          <w:numId w:val="2"/>
        </w:numPr>
        <w:spacing w:after="60" w:line="264" w:lineRule="auto"/>
      </w:pPr>
      <w:r>
        <w:t>Imposte su successioni e donazioni.</w:t>
      </w:r>
    </w:p>
    <w:p w14:paraId="0C59D9C5" w14:textId="77777777" w:rsidR="0074628E" w:rsidRDefault="00000000">
      <w:pPr>
        <w:pStyle w:val="Paragrafoelenco"/>
        <w:numPr>
          <w:ilvl w:val="0"/>
          <w:numId w:val="2"/>
        </w:numPr>
        <w:spacing w:after="60" w:line="264" w:lineRule="auto"/>
      </w:pPr>
      <w:r>
        <w:t>Idoneità alla tassazione in base alla spesa.</w:t>
      </w:r>
    </w:p>
    <w:p w14:paraId="6E04178E" w14:textId="77777777" w:rsidR="0074628E" w:rsidRDefault="00000000">
      <w:pPr>
        <w:pStyle w:val="Paragrafoelenco"/>
        <w:numPr>
          <w:ilvl w:val="0"/>
          <w:numId w:val="2"/>
        </w:numPr>
        <w:spacing w:after="60" w:line="264" w:lineRule="auto"/>
      </w:pPr>
      <w:r>
        <w:t>Onere fiscale per profili standardizzati di persone ad alto patrimonio.</w:t>
      </w:r>
    </w:p>
    <w:p w14:paraId="2E089D3F" w14:textId="77777777" w:rsidR="0074628E" w:rsidRDefault="00000000">
      <w:pPr>
        <w:pStyle w:val="Paragrafoelenco"/>
        <w:numPr>
          <w:ilvl w:val="0"/>
          <w:numId w:val="2"/>
        </w:numPr>
        <w:spacing w:after="60" w:line="264" w:lineRule="auto"/>
      </w:pPr>
      <w:r>
        <w:t>Numero di stranieri facoltosi che si trasferiscono nel cantone.</w:t>
      </w:r>
    </w:p>
    <w:p w14:paraId="1B853AB4" w14:textId="77777777" w:rsidR="0074628E" w:rsidRDefault="00000000">
      <w:pPr>
        <w:spacing w:after="120" w:line="276" w:lineRule="auto"/>
      </w:pPr>
      <w:r>
        <w:t>Un confronto diretto con Milano e Londra dovrebbe calcolare l'onere fiscale per individui ipotetici equivalenti. Non si deve presumere che ogni residente internazionale a Ginevra abbia diritto a un regime speciale.</w:t>
      </w:r>
    </w:p>
    <w:p w14:paraId="6129C36F" w14:textId="77777777" w:rsidR="0074628E" w:rsidRDefault="00000000">
      <w:pPr>
        <w:keepNext/>
        <w:spacing w:before="80" w:after="60"/>
      </w:pPr>
      <w:r>
        <w:rPr>
          <w:b/>
          <w:bCs/>
          <w:sz w:val="20"/>
          <w:szCs w:val="20"/>
        </w:rPr>
        <w:t>Fonti e link</w:t>
      </w:r>
    </w:p>
    <w:p w14:paraId="1A3B746F" w14:textId="77777777" w:rsidR="0074628E" w:rsidRDefault="00000000">
      <w:pPr>
        <w:pStyle w:val="Paragrafoelenco"/>
        <w:numPr>
          <w:ilvl w:val="0"/>
          <w:numId w:val="2"/>
        </w:numPr>
        <w:spacing w:after="40"/>
      </w:pPr>
      <w:hyperlink r:id="rId62" w:history="1">
        <w:r>
          <w:rPr>
            <w:rStyle w:val="Collegamentoipertestuale"/>
            <w:sz w:val="20"/>
            <w:szCs w:val="20"/>
          </w:rPr>
          <w:t>Geneva — Official tax information</w:t>
        </w:r>
      </w:hyperlink>
    </w:p>
    <w:p w14:paraId="75EE8A82" w14:textId="77777777" w:rsidR="0074628E" w:rsidRDefault="00000000">
      <w:pPr>
        <w:pStyle w:val="Paragrafoelenco"/>
        <w:numPr>
          <w:ilvl w:val="0"/>
          <w:numId w:val="2"/>
        </w:numPr>
        <w:spacing w:after="40"/>
      </w:pPr>
      <w:hyperlink r:id="rId63" w:history="1">
        <w:r>
          <w:rPr>
            <w:rStyle w:val="Collegamentoipertestuale"/>
            <w:sz w:val="20"/>
            <w:szCs w:val="20"/>
          </w:rPr>
          <w:t xml:space="preserve">Geneva </w:t>
        </w:r>
        <w:proofErr w:type="spellStart"/>
        <w:r>
          <w:rPr>
            <w:rStyle w:val="Collegamentoipertestuale"/>
            <w:sz w:val="20"/>
            <w:szCs w:val="20"/>
          </w:rPr>
          <w:t>Cantonal</w:t>
        </w:r>
        <w:proofErr w:type="spellEnd"/>
        <w:r>
          <w:rPr>
            <w:rStyle w:val="Collegamentoipertestuale"/>
            <w:sz w:val="20"/>
            <w:szCs w:val="20"/>
          </w:rPr>
          <w:t xml:space="preserve"> Tax Administration</w:t>
        </w:r>
      </w:hyperlink>
    </w:p>
    <w:p w14:paraId="5B44824E" w14:textId="77777777" w:rsidR="0074628E" w:rsidRDefault="00000000">
      <w:pPr>
        <w:pStyle w:val="Paragrafoelenco"/>
        <w:numPr>
          <w:ilvl w:val="0"/>
          <w:numId w:val="2"/>
        </w:numPr>
        <w:spacing w:after="40"/>
      </w:pPr>
      <w:hyperlink r:id="rId64" w:history="1">
        <w:r>
          <w:rPr>
            <w:rStyle w:val="Collegamentoipertestuale"/>
            <w:sz w:val="20"/>
            <w:szCs w:val="20"/>
          </w:rPr>
          <w:t>Swiss Federal Tax Administration</w:t>
        </w:r>
      </w:hyperlink>
    </w:p>
    <w:p w14:paraId="6E47C585" w14:textId="77777777" w:rsidR="0074628E" w:rsidRDefault="00000000">
      <w:pPr>
        <w:pStyle w:val="Titolo3"/>
      </w:pPr>
      <w:r>
        <w:t>Londra (Regno Unito)</w:t>
      </w:r>
    </w:p>
    <w:p w14:paraId="527181B1" w14:textId="77777777" w:rsidR="0074628E" w:rsidRDefault="00000000">
      <w:pPr>
        <w:spacing w:after="120" w:line="276" w:lineRule="auto"/>
      </w:pPr>
      <w:r>
        <w:t>Dal 6 aprile 2025 il Regno Unito ha cambiato il trattamento fiscale delle persone non domiciliate, sostituendo il precedente sistema non-</w:t>
      </w:r>
      <w:proofErr w:type="spellStart"/>
      <w:r>
        <w:t>dom</w:t>
      </w:r>
      <w:proofErr w:type="spellEnd"/>
      <w:r>
        <w:t xml:space="preserve"> con un nuovo quadro per redditi e plusvalenze esteri qualificati.</w:t>
      </w:r>
    </w:p>
    <w:p w14:paraId="67893F3C" w14:textId="77777777" w:rsidR="0074628E" w:rsidRDefault="00000000">
      <w:pPr>
        <w:spacing w:after="120" w:line="276" w:lineRule="auto"/>
      </w:pPr>
      <w:r>
        <w:t>Nel nuovo regime, le persone idonee possono ottenere un'agevolazione su determinati redditi e plusvalenze esteri durante i primi quattro anni di residenza fiscale nel Regno Unito, nel rispetto di condizioni che includono la non residenza nel Regno Unito per i dieci anni d'imposta precedenti.</w:t>
      </w:r>
    </w:p>
    <w:p w14:paraId="174BDC22" w14:textId="77777777" w:rsidR="0074628E" w:rsidRDefault="00000000">
      <w:pPr>
        <w:spacing w:after="120" w:line="276" w:lineRule="auto"/>
      </w:pPr>
      <w:r>
        <w:lastRenderedPageBreak/>
        <w:t>Il cambiamento è rilevante per la competitività di Londra, perché le persone facoltose internazionalmente mobili possono confrontare il trattamento fiscale di redditi da investimento, plusvalenze e altri attivi prima di decidere dove risiedere.</w:t>
      </w:r>
    </w:p>
    <w:p w14:paraId="5448B714" w14:textId="77777777" w:rsidR="0074628E" w:rsidRDefault="00000000">
      <w:pPr>
        <w:spacing w:after="120" w:line="276" w:lineRule="auto"/>
      </w:pPr>
      <w:r>
        <w:t>Indicatori rilevanti:</w:t>
      </w:r>
    </w:p>
    <w:p w14:paraId="04A452FC" w14:textId="77777777" w:rsidR="0074628E" w:rsidRDefault="00000000">
      <w:pPr>
        <w:pStyle w:val="Paragrafoelenco"/>
        <w:numPr>
          <w:ilvl w:val="0"/>
          <w:numId w:val="2"/>
        </w:numPr>
        <w:spacing w:after="60" w:line="264" w:lineRule="auto"/>
      </w:pPr>
      <w:r>
        <w:t>Aliquote dell'imposta sul reddito.</w:t>
      </w:r>
    </w:p>
    <w:p w14:paraId="2F10436C" w14:textId="77777777" w:rsidR="0074628E" w:rsidRDefault="00000000">
      <w:pPr>
        <w:pStyle w:val="Paragrafoelenco"/>
        <w:numPr>
          <w:ilvl w:val="0"/>
          <w:numId w:val="2"/>
        </w:numPr>
        <w:spacing w:after="60" w:line="264" w:lineRule="auto"/>
      </w:pPr>
      <w:r>
        <w:t>Tassazione di dividendi e plusvalenze.</w:t>
      </w:r>
    </w:p>
    <w:p w14:paraId="1DF750B7" w14:textId="77777777" w:rsidR="0074628E" w:rsidRDefault="00000000">
      <w:pPr>
        <w:pStyle w:val="Paragrafoelenco"/>
        <w:numPr>
          <w:ilvl w:val="0"/>
          <w:numId w:val="2"/>
        </w:numPr>
        <w:spacing w:after="60" w:line="264" w:lineRule="auto"/>
      </w:pPr>
      <w:r>
        <w:t>Imposta di successione.</w:t>
      </w:r>
    </w:p>
    <w:p w14:paraId="33E04516" w14:textId="77777777" w:rsidR="0074628E" w:rsidRDefault="00000000">
      <w:pPr>
        <w:pStyle w:val="Paragrafoelenco"/>
        <w:numPr>
          <w:ilvl w:val="0"/>
          <w:numId w:val="2"/>
        </w:numPr>
        <w:spacing w:after="60" w:line="264" w:lineRule="auto"/>
      </w:pPr>
      <w:r>
        <w:t>Agevolazioni per i nuovi residenti qualificati.</w:t>
      </w:r>
    </w:p>
    <w:p w14:paraId="3DC73735" w14:textId="77777777" w:rsidR="0074628E" w:rsidRDefault="00000000">
      <w:pPr>
        <w:pStyle w:val="Paragrafoelenco"/>
        <w:numPr>
          <w:ilvl w:val="0"/>
          <w:numId w:val="2"/>
        </w:numPr>
        <w:spacing w:after="60" w:line="264" w:lineRule="auto"/>
      </w:pPr>
      <w:r>
        <w:t>Imposte sulle transazioni immobiliari.</w:t>
      </w:r>
    </w:p>
    <w:p w14:paraId="1E9DBA68" w14:textId="77777777" w:rsidR="0074628E" w:rsidRDefault="00000000">
      <w:pPr>
        <w:pStyle w:val="Paragrafoelenco"/>
        <w:numPr>
          <w:ilvl w:val="0"/>
          <w:numId w:val="2"/>
        </w:numPr>
        <w:spacing w:after="60" w:line="264" w:lineRule="auto"/>
      </w:pPr>
      <w:r>
        <w:t>Migrazione netta di persone facoltose.</w:t>
      </w:r>
    </w:p>
    <w:p w14:paraId="2404EC91" w14:textId="77777777" w:rsidR="0074628E" w:rsidRDefault="00000000">
      <w:pPr>
        <w:pStyle w:val="Paragrafoelenco"/>
        <w:numPr>
          <w:ilvl w:val="0"/>
          <w:numId w:val="2"/>
        </w:numPr>
        <w:spacing w:after="60" w:line="264" w:lineRule="auto"/>
      </w:pPr>
      <w:r>
        <w:t>Onere fiscale effettivo in scenari standardizzati di investimento e reddito.</w:t>
      </w:r>
    </w:p>
    <w:p w14:paraId="6BF446C6" w14:textId="77777777" w:rsidR="0074628E" w:rsidRDefault="00000000">
      <w:pPr>
        <w:spacing w:after="120" w:line="276" w:lineRule="auto"/>
      </w:pPr>
      <w:r>
        <w:t>Un confronto completo deve usare le regole fiscali vigenti per l'anno d'imposta pertinente. Il regime quadriennale sui redditi e le plusvalenze esteri non è un'esenzione generale dalla tassazione britannica e l'idoneità va valutata caso per caso.</w:t>
      </w:r>
    </w:p>
    <w:p w14:paraId="154BFA71" w14:textId="77777777" w:rsidR="0074628E" w:rsidRDefault="00000000">
      <w:pPr>
        <w:keepNext/>
        <w:spacing w:before="80" w:after="60"/>
      </w:pPr>
      <w:r>
        <w:rPr>
          <w:b/>
          <w:bCs/>
          <w:sz w:val="20"/>
          <w:szCs w:val="20"/>
        </w:rPr>
        <w:t>Fonti e link</w:t>
      </w:r>
    </w:p>
    <w:p w14:paraId="1ED372BB" w14:textId="77777777" w:rsidR="0074628E" w:rsidRPr="00034606" w:rsidRDefault="00000000">
      <w:pPr>
        <w:pStyle w:val="Paragrafoelenco"/>
        <w:numPr>
          <w:ilvl w:val="0"/>
          <w:numId w:val="2"/>
        </w:numPr>
        <w:spacing w:after="40"/>
        <w:rPr>
          <w:lang w:val="fr-FR"/>
        </w:rPr>
      </w:pPr>
      <w:hyperlink r:id="rId65" w:history="1">
        <w:r w:rsidRPr="00034606">
          <w:rPr>
            <w:rStyle w:val="Collegamentoipertestuale"/>
            <w:sz w:val="20"/>
            <w:szCs w:val="20"/>
            <w:lang w:val="fr-FR"/>
          </w:rPr>
          <w:t xml:space="preserve">UK </w:t>
        </w:r>
        <w:proofErr w:type="spellStart"/>
        <w:r w:rsidRPr="00034606">
          <w:rPr>
            <w:rStyle w:val="Collegamentoipertestuale"/>
            <w:sz w:val="20"/>
            <w:szCs w:val="20"/>
            <w:lang w:val="fr-FR"/>
          </w:rPr>
          <w:t>Government</w:t>
        </w:r>
        <w:proofErr w:type="spellEnd"/>
        <w:r w:rsidRPr="00034606">
          <w:rPr>
            <w:rStyle w:val="Collegamentoipertestuale"/>
            <w:sz w:val="20"/>
            <w:szCs w:val="20"/>
            <w:lang w:val="fr-FR"/>
          </w:rPr>
          <w:t xml:space="preserve"> — Changes to the taxation of non-UK </w:t>
        </w:r>
        <w:proofErr w:type="spellStart"/>
        <w:r w:rsidRPr="00034606">
          <w:rPr>
            <w:rStyle w:val="Collegamentoipertestuale"/>
            <w:sz w:val="20"/>
            <w:szCs w:val="20"/>
            <w:lang w:val="fr-FR"/>
          </w:rPr>
          <w:t>domiciled</w:t>
        </w:r>
        <w:proofErr w:type="spellEnd"/>
        <w:r w:rsidRPr="00034606">
          <w:rPr>
            <w:rStyle w:val="Collegamentoipertestuale"/>
            <w:sz w:val="20"/>
            <w:szCs w:val="20"/>
            <w:lang w:val="fr-FR"/>
          </w:rPr>
          <w:t xml:space="preserve"> </w:t>
        </w:r>
        <w:proofErr w:type="spellStart"/>
        <w:r w:rsidRPr="00034606">
          <w:rPr>
            <w:rStyle w:val="Collegamentoipertestuale"/>
            <w:sz w:val="20"/>
            <w:szCs w:val="20"/>
            <w:lang w:val="fr-FR"/>
          </w:rPr>
          <w:t>individuals</w:t>
        </w:r>
        <w:proofErr w:type="spellEnd"/>
      </w:hyperlink>
    </w:p>
    <w:p w14:paraId="30E533D2" w14:textId="77777777" w:rsidR="0074628E" w:rsidRDefault="00000000">
      <w:pPr>
        <w:pStyle w:val="Paragrafoelenco"/>
        <w:numPr>
          <w:ilvl w:val="0"/>
          <w:numId w:val="2"/>
        </w:numPr>
        <w:spacing w:after="40"/>
      </w:pPr>
      <w:hyperlink r:id="rId66" w:history="1">
        <w:r>
          <w:rPr>
            <w:rStyle w:val="Collegamentoipertestuale"/>
            <w:sz w:val="20"/>
            <w:szCs w:val="20"/>
          </w:rPr>
          <w:t xml:space="preserve">HM Revenue &amp; </w:t>
        </w:r>
        <w:proofErr w:type="spellStart"/>
        <w:r>
          <w:rPr>
            <w:rStyle w:val="Collegamentoipertestuale"/>
            <w:sz w:val="20"/>
            <w:szCs w:val="20"/>
          </w:rPr>
          <w:t>Customs</w:t>
        </w:r>
        <w:proofErr w:type="spellEnd"/>
      </w:hyperlink>
    </w:p>
    <w:p w14:paraId="6401C87E" w14:textId="77777777" w:rsidR="0074628E" w:rsidRPr="00034606" w:rsidRDefault="00000000">
      <w:pPr>
        <w:pStyle w:val="Paragrafoelenco"/>
        <w:numPr>
          <w:ilvl w:val="0"/>
          <w:numId w:val="2"/>
        </w:numPr>
        <w:spacing w:after="40"/>
        <w:rPr>
          <w:lang w:val="fr-FR"/>
        </w:rPr>
      </w:pPr>
      <w:hyperlink r:id="rId67" w:history="1">
        <w:r w:rsidRPr="00034606">
          <w:rPr>
            <w:rStyle w:val="Collegamentoipertestuale"/>
            <w:sz w:val="20"/>
            <w:szCs w:val="20"/>
            <w:lang w:val="fr-FR"/>
          </w:rPr>
          <w:t xml:space="preserve">Henley &amp; </w:t>
        </w:r>
        <w:proofErr w:type="spellStart"/>
        <w:r w:rsidRPr="00034606">
          <w:rPr>
            <w:rStyle w:val="Collegamentoipertestuale"/>
            <w:sz w:val="20"/>
            <w:szCs w:val="20"/>
            <w:lang w:val="fr-FR"/>
          </w:rPr>
          <w:t>Partners</w:t>
        </w:r>
        <w:proofErr w:type="spellEnd"/>
        <w:r w:rsidRPr="00034606">
          <w:rPr>
            <w:rStyle w:val="Collegamentoipertestuale"/>
            <w:sz w:val="20"/>
            <w:szCs w:val="20"/>
            <w:lang w:val="fr-FR"/>
          </w:rPr>
          <w:t xml:space="preserve"> — </w:t>
        </w:r>
        <w:proofErr w:type="spellStart"/>
        <w:r w:rsidRPr="00034606">
          <w:rPr>
            <w:rStyle w:val="Collegamentoipertestuale"/>
            <w:sz w:val="20"/>
            <w:szCs w:val="20"/>
            <w:lang w:val="fr-FR"/>
          </w:rPr>
          <w:t>Wealthiest</w:t>
        </w:r>
        <w:proofErr w:type="spellEnd"/>
        <w:r w:rsidRPr="00034606">
          <w:rPr>
            <w:rStyle w:val="Collegamentoipertestuale"/>
            <w:sz w:val="20"/>
            <w:szCs w:val="20"/>
            <w:lang w:val="fr-FR"/>
          </w:rPr>
          <w:t xml:space="preserve"> Cities Report 2025</w:t>
        </w:r>
      </w:hyperlink>
    </w:p>
    <w:p w14:paraId="3375755F" w14:textId="77777777" w:rsidR="0074628E" w:rsidRDefault="00000000">
      <w:pPr>
        <w:pStyle w:val="Titolo1"/>
      </w:pPr>
      <w:r>
        <w:t>8. Mercato immobiliare</w:t>
      </w:r>
    </w:p>
    <w:p w14:paraId="3C24910F" w14:textId="77777777" w:rsidR="0074628E" w:rsidRDefault="00000000">
      <w:pPr>
        <w:spacing w:after="120" w:line="276" w:lineRule="auto"/>
      </w:pPr>
      <w:r>
        <w:t xml:space="preserve">Il segmento prime è il più rilevante per gli HNWI. Con un milione di dollari, a fine 2025 si compravano circa 28 m² a Ginevra, circa 33 m² a Londra e circa 46 m² a </w:t>
      </w:r>
      <w:proofErr w:type="gramStart"/>
      <w:r>
        <w:t>Milano, quindi</w:t>
      </w:r>
      <w:proofErr w:type="gramEnd"/>
      <w:r>
        <w:t xml:space="preserve"> Ginevra è la più cara e Milano la meno cara delle tre. Il prezzo implicito per metro quadro (calcolo mio) è di circa 35.800 dollari a Ginevra, 30.400 a Londra e 21.800 a Milano. Le dinamiche sono opposte: a Milano i prezzi prime sono saliti del 36,2% in cinque anni (il miglior risultato europeo, sostenuto dalla </w:t>
      </w:r>
      <w:proofErr w:type="spellStart"/>
      <w:r>
        <w:t>flat</w:t>
      </w:r>
      <w:proofErr w:type="spellEnd"/>
      <w:r>
        <w:t xml:space="preserve"> tax), mentre a Londra sono scesi del 5% a causa di imposte di acquisto elevate, abolizione dello status non-</w:t>
      </w:r>
      <w:proofErr w:type="spellStart"/>
      <w:r>
        <w:t>dom</w:t>
      </w:r>
      <w:proofErr w:type="spellEnd"/>
      <w:r>
        <w:t xml:space="preserve"> </w:t>
      </w:r>
      <w:proofErr w:type="gramStart"/>
      <w:r>
        <w:t>e</w:t>
      </w:r>
      <w:proofErr w:type="gramEnd"/>
      <w:r>
        <w:t xml:space="preserve"> costo del debito. Ginevra è tra le migliori città europee su base annua, ma la percentuale esatta non è disponibile nella fonte trovata. I dati su prezzi e affitti medi sono disponibili soltanto per Londra.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62003742"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1DDB43B"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15815BA"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B462F53"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E926A2E" w14:textId="77777777" w:rsidR="0074628E" w:rsidRDefault="00000000">
            <w:pPr>
              <w:spacing w:after="40"/>
            </w:pPr>
            <w:r>
              <w:rPr>
                <w:b/>
                <w:bCs/>
                <w:sz w:val="18"/>
                <w:szCs w:val="18"/>
              </w:rPr>
              <w:t>Londra</w:t>
            </w:r>
          </w:p>
        </w:tc>
      </w:tr>
      <w:tr w:rsidR="0074628E" w14:paraId="624CDB24"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D54C2EE" w14:textId="77777777" w:rsidR="0074628E" w:rsidRDefault="00000000">
            <w:pPr>
              <w:spacing w:after="40"/>
            </w:pPr>
            <w:r>
              <w:rPr>
                <w:b/>
                <w:bCs/>
                <w:sz w:val="18"/>
                <w:szCs w:val="18"/>
              </w:rPr>
              <w:t>Metri quadrati acquistabili con USD 1 mln (Q4 2025)</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C70A23" w14:textId="77777777" w:rsidR="0074628E" w:rsidRDefault="00000000">
            <w:pPr>
              <w:spacing w:after="40"/>
            </w:pPr>
            <w:r>
              <w:rPr>
                <w:sz w:val="18"/>
                <w:szCs w:val="18"/>
              </w:rPr>
              <w:t>45,8</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DCCD36" w14:textId="77777777" w:rsidR="0074628E" w:rsidRDefault="00000000">
            <w:pPr>
              <w:spacing w:after="40"/>
            </w:pPr>
            <w:r>
              <w:rPr>
                <w:sz w:val="18"/>
                <w:szCs w:val="18"/>
              </w:rPr>
              <w:t>27,9</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B96B0F" w14:textId="77777777" w:rsidR="0074628E" w:rsidRDefault="00000000">
            <w:pPr>
              <w:spacing w:after="40"/>
            </w:pPr>
            <w:r>
              <w:rPr>
                <w:sz w:val="18"/>
                <w:szCs w:val="18"/>
              </w:rPr>
              <w:t>32,9</w:t>
            </w:r>
          </w:p>
        </w:tc>
      </w:tr>
      <w:tr w:rsidR="0074628E" w14:paraId="6DDF5EDA"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97FD2DD" w14:textId="77777777" w:rsidR="0074628E" w:rsidRDefault="00000000">
            <w:pPr>
              <w:spacing w:after="40"/>
            </w:pPr>
            <w:r>
              <w:rPr>
                <w:b/>
                <w:bCs/>
                <w:sz w:val="18"/>
                <w:szCs w:val="18"/>
              </w:rPr>
              <w:t>Prezzo prime implicito, USD/m² (Q4 2025, calcolo mio)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C93981" w14:textId="77777777" w:rsidR="0074628E" w:rsidRDefault="00000000">
            <w:pPr>
              <w:spacing w:after="40"/>
            </w:pPr>
            <w:r>
              <w:rPr>
                <w:sz w:val="18"/>
                <w:szCs w:val="18"/>
              </w:rPr>
              <w:t>≈ 21.800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B0062A" w14:textId="77777777" w:rsidR="0074628E" w:rsidRDefault="00000000">
            <w:pPr>
              <w:spacing w:after="40"/>
            </w:pPr>
            <w:r>
              <w:rPr>
                <w:sz w:val="18"/>
                <w:szCs w:val="18"/>
              </w:rPr>
              <w:t>≈ 35.800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E986A5" w14:textId="77777777" w:rsidR="0074628E" w:rsidRDefault="00000000">
            <w:pPr>
              <w:spacing w:after="40"/>
            </w:pPr>
            <w:r>
              <w:rPr>
                <w:sz w:val="18"/>
                <w:szCs w:val="18"/>
              </w:rPr>
              <w:t>≈ 30.400</w:t>
            </w:r>
          </w:p>
        </w:tc>
      </w:tr>
      <w:tr w:rsidR="0074628E" w14:paraId="424822EF"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D46B527" w14:textId="77777777" w:rsidR="0074628E" w:rsidRDefault="00000000">
            <w:pPr>
              <w:spacing w:after="40"/>
            </w:pPr>
            <w:r>
              <w:rPr>
                <w:b/>
                <w:bCs/>
                <w:sz w:val="18"/>
                <w:szCs w:val="18"/>
              </w:rPr>
              <w:t>Variazione prezzi prime, Q1 2021 – Q1 2026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0587C" w14:textId="77777777" w:rsidR="0074628E" w:rsidRDefault="00000000">
            <w:pPr>
              <w:spacing w:after="40"/>
            </w:pPr>
            <w:r>
              <w:rPr>
                <w:sz w:val="18"/>
                <w:szCs w:val="18"/>
              </w:rPr>
              <w:t>+36,2%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F532D" w14:textId="77777777" w:rsidR="0074628E" w:rsidRDefault="00000000">
            <w:pPr>
              <w:spacing w:after="40"/>
            </w:pPr>
            <w:r>
              <w:rPr>
                <w:sz w:val="18"/>
                <w:szCs w:val="18"/>
              </w:rPr>
              <w:t>4,1% - 4,2%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D6E627" w14:textId="77777777" w:rsidR="0074628E" w:rsidRDefault="00000000">
            <w:pPr>
              <w:spacing w:after="40"/>
            </w:pPr>
            <w:r>
              <w:rPr>
                <w:sz w:val="18"/>
                <w:szCs w:val="18"/>
              </w:rPr>
              <w:t>−5%</w:t>
            </w:r>
          </w:p>
        </w:tc>
      </w:tr>
      <w:tr w:rsidR="0074628E" w14:paraId="119F473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711093" w14:textId="77777777" w:rsidR="0074628E" w:rsidRDefault="00000000">
            <w:pPr>
              <w:spacing w:after="40"/>
            </w:pPr>
            <w:r>
              <w:rPr>
                <w:b/>
                <w:bCs/>
                <w:sz w:val="18"/>
                <w:szCs w:val="18"/>
              </w:rPr>
              <w:t>Prezzo medio abitazione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95CADD" w14:textId="77777777" w:rsidR="0074628E" w:rsidRDefault="00000000">
            <w:pPr>
              <w:spacing w:after="40"/>
            </w:pPr>
            <w:r>
              <w:rPr>
                <w:sz w:val="18"/>
                <w:szCs w:val="18"/>
              </w:rPr>
              <w:t>€ 5.300 - 5.500 / m²</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947CF7" w14:textId="77777777" w:rsidR="0074628E" w:rsidRDefault="00000000">
            <w:pPr>
              <w:spacing w:after="40"/>
            </w:pPr>
            <w:r>
              <w:rPr>
                <w:sz w:val="18"/>
                <w:szCs w:val="18"/>
              </w:rPr>
              <w:t>≈ CHF 13.500 - 15.000 / m²</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8AF328" w14:textId="77777777" w:rsidR="0074628E" w:rsidRDefault="00000000">
            <w:pPr>
              <w:spacing w:after="40"/>
            </w:pPr>
            <w:r>
              <w:rPr>
                <w:sz w:val="18"/>
                <w:szCs w:val="18"/>
              </w:rPr>
              <w:t>£ 552.304 (feb. 2026)</w:t>
            </w:r>
          </w:p>
        </w:tc>
      </w:tr>
      <w:tr w:rsidR="0074628E" w14:paraId="756BA58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7C8C76" w14:textId="77777777" w:rsidR="0074628E" w:rsidRDefault="00000000">
            <w:pPr>
              <w:spacing w:after="40"/>
            </w:pPr>
            <w:r>
              <w:rPr>
                <w:b/>
                <w:bCs/>
                <w:sz w:val="18"/>
                <w:szCs w:val="18"/>
              </w:rPr>
              <w:t>Affitto medio mensile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253F2C" w14:textId="77777777" w:rsidR="0074628E" w:rsidRDefault="00000000">
            <w:pPr>
              <w:spacing w:after="40"/>
            </w:pPr>
            <w:r>
              <w:rPr>
                <w:sz w:val="18"/>
                <w:szCs w:val="18"/>
              </w:rPr>
              <w:t>€1.600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F52639" w14:textId="77777777" w:rsidR="0074628E" w:rsidRDefault="00000000">
            <w:pPr>
              <w:spacing w:after="40"/>
            </w:pPr>
            <w:r>
              <w:rPr>
                <w:sz w:val="18"/>
                <w:szCs w:val="18"/>
              </w:rPr>
              <w:t>≈ CHF 3.200 - 3.800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804C4" w14:textId="77777777" w:rsidR="0074628E" w:rsidRDefault="00000000">
            <w:pPr>
              <w:spacing w:after="40"/>
            </w:pPr>
            <w:r>
              <w:rPr>
                <w:sz w:val="18"/>
                <w:szCs w:val="18"/>
              </w:rPr>
              <w:t>£ 2.280 (mar. 2026)</w:t>
            </w:r>
          </w:p>
        </w:tc>
      </w:tr>
    </w:tbl>
    <w:p w14:paraId="3DBADD9A" w14:textId="77777777" w:rsidR="0074628E" w:rsidRDefault="00000000">
      <w:pPr>
        <w:spacing w:before="60" w:after="160"/>
      </w:pPr>
      <w:r>
        <w:rPr>
          <w:i/>
          <w:iCs/>
          <w:color w:val="595959"/>
          <w:sz w:val="18"/>
          <w:szCs w:val="18"/>
        </w:rPr>
        <w:t xml:space="preserve">Fonti: Knight Frank, The Wealth Report 2026 (via </w:t>
      </w:r>
      <w:proofErr w:type="spellStart"/>
      <w:r>
        <w:rPr>
          <w:i/>
          <w:iCs/>
          <w:color w:val="595959"/>
          <w:sz w:val="18"/>
          <w:szCs w:val="18"/>
        </w:rPr>
        <w:t>Relocate</w:t>
      </w:r>
      <w:proofErr w:type="spellEnd"/>
      <w:r>
        <w:rPr>
          <w:i/>
          <w:iCs/>
          <w:color w:val="595959"/>
          <w:sz w:val="18"/>
          <w:szCs w:val="18"/>
        </w:rPr>
        <w:t xml:space="preserve"> Magazine) e Prime Global Cities Index Q1 2026; </w:t>
      </w:r>
      <w:proofErr w:type="spellStart"/>
      <w:r>
        <w:rPr>
          <w:i/>
          <w:iCs/>
          <w:color w:val="595959"/>
          <w:sz w:val="18"/>
          <w:szCs w:val="18"/>
        </w:rPr>
        <w:t>Savills</w:t>
      </w:r>
      <w:proofErr w:type="spellEnd"/>
      <w:r>
        <w:rPr>
          <w:i/>
          <w:iCs/>
          <w:color w:val="595959"/>
          <w:sz w:val="18"/>
          <w:szCs w:val="18"/>
        </w:rPr>
        <w:t>, Milano; GLA, London in Figures (ONS, MHCLG). Il prezzo implicito per m² è il rapporto tra 1 milione di dollari e i m² acquistabili.</w:t>
      </w:r>
    </w:p>
    <w:p w14:paraId="44D42C72" w14:textId="77777777" w:rsidR="0074628E" w:rsidRDefault="00000000">
      <w:pPr>
        <w:pStyle w:val="Titolo2"/>
      </w:pPr>
      <w:r>
        <w:t>Approfondimento per città</w:t>
      </w:r>
    </w:p>
    <w:p w14:paraId="1AB9E08A" w14:textId="77777777" w:rsidR="0074628E" w:rsidRDefault="00000000">
      <w:pPr>
        <w:pStyle w:val="Titolo3"/>
      </w:pPr>
      <w:r>
        <w:t>Milano (Italia)</w:t>
      </w:r>
    </w:p>
    <w:p w14:paraId="67E7E0C7" w14:textId="77777777" w:rsidR="0074628E" w:rsidRDefault="00000000">
      <w:pPr>
        <w:spacing w:after="120" w:line="276" w:lineRule="auto"/>
      </w:pPr>
      <w:r>
        <w:t>Milano ha un mercato residenziale prime consolidato, sostenuto dalla ricchezza domestica, dagli acquirenti internazionali e dalla domanda di abitazioni di lusso.</w:t>
      </w:r>
    </w:p>
    <w:p w14:paraId="45A7198B" w14:textId="77777777" w:rsidR="0074628E" w:rsidRDefault="00000000">
      <w:pPr>
        <w:spacing w:after="120" w:line="276" w:lineRule="auto"/>
      </w:pPr>
      <w:r>
        <w:lastRenderedPageBreak/>
        <w:t>Il segmento prime andrebbe analizzato separatamente dal mercato residenziale complessivo, perché le famiglie ad alto patrimonio possono essere interessate a immobili di pregio nei quartieri centrali e nelle zone di lusso consolidate.</w:t>
      </w:r>
    </w:p>
    <w:p w14:paraId="368BCEE0" w14:textId="77777777" w:rsidR="0074628E" w:rsidRDefault="00000000">
      <w:pPr>
        <w:spacing w:after="120" w:line="276" w:lineRule="auto"/>
      </w:pPr>
      <w:r>
        <w:t>Indicatori utili:</w:t>
      </w:r>
    </w:p>
    <w:p w14:paraId="2C8C3800" w14:textId="77777777" w:rsidR="0074628E" w:rsidRDefault="00000000">
      <w:pPr>
        <w:pStyle w:val="Paragrafoelenco"/>
        <w:numPr>
          <w:ilvl w:val="0"/>
          <w:numId w:val="2"/>
        </w:numPr>
        <w:spacing w:after="60" w:line="264" w:lineRule="auto"/>
      </w:pPr>
      <w:r>
        <w:t>Prezzi residenziali medi e mediani al metro quadro.</w:t>
      </w:r>
    </w:p>
    <w:p w14:paraId="1A4D1C90" w14:textId="77777777" w:rsidR="0074628E" w:rsidRDefault="00000000">
      <w:pPr>
        <w:pStyle w:val="Paragrafoelenco"/>
        <w:numPr>
          <w:ilvl w:val="0"/>
          <w:numId w:val="2"/>
        </w:numPr>
        <w:spacing w:after="60" w:line="264" w:lineRule="auto"/>
      </w:pPr>
      <w:r>
        <w:t>Prezzi residenziali prime al metro quadro.</w:t>
      </w:r>
    </w:p>
    <w:p w14:paraId="1B4D7B82" w14:textId="77777777" w:rsidR="0074628E" w:rsidRDefault="00000000">
      <w:pPr>
        <w:pStyle w:val="Paragrafoelenco"/>
        <w:numPr>
          <w:ilvl w:val="0"/>
          <w:numId w:val="2"/>
        </w:numPr>
        <w:spacing w:after="60" w:line="264" w:lineRule="auto"/>
      </w:pPr>
      <w:r>
        <w:t>Canoni di locazione per appartamenti di lusso.</w:t>
      </w:r>
    </w:p>
    <w:p w14:paraId="0687F0BD" w14:textId="77777777" w:rsidR="0074628E" w:rsidRDefault="00000000">
      <w:pPr>
        <w:pStyle w:val="Paragrafoelenco"/>
        <w:numPr>
          <w:ilvl w:val="0"/>
          <w:numId w:val="2"/>
        </w:numPr>
        <w:spacing w:after="60" w:line="264" w:lineRule="auto"/>
      </w:pPr>
      <w:r>
        <w:t>Apprezzamento dei prezzi a cinque e dieci anni.</w:t>
      </w:r>
    </w:p>
    <w:p w14:paraId="282B3337" w14:textId="77777777" w:rsidR="0074628E" w:rsidRDefault="00000000">
      <w:pPr>
        <w:pStyle w:val="Paragrafoelenco"/>
        <w:numPr>
          <w:ilvl w:val="0"/>
          <w:numId w:val="2"/>
        </w:numPr>
        <w:spacing w:after="60" w:line="264" w:lineRule="auto"/>
      </w:pPr>
      <w:r>
        <w:t>Rendimenti da locazione.</w:t>
      </w:r>
    </w:p>
    <w:p w14:paraId="1C58936F" w14:textId="77777777" w:rsidR="0074628E" w:rsidRDefault="00000000">
      <w:pPr>
        <w:pStyle w:val="Paragrafoelenco"/>
        <w:numPr>
          <w:ilvl w:val="0"/>
          <w:numId w:val="2"/>
        </w:numPr>
        <w:spacing w:after="60" w:line="264" w:lineRule="auto"/>
      </w:pPr>
      <w:r>
        <w:t>Volumi di compravendite residenziali.</w:t>
      </w:r>
    </w:p>
    <w:p w14:paraId="0D1CC39F" w14:textId="77777777" w:rsidR="0074628E" w:rsidRDefault="00000000">
      <w:pPr>
        <w:pStyle w:val="Paragrafoelenco"/>
        <w:numPr>
          <w:ilvl w:val="0"/>
          <w:numId w:val="2"/>
        </w:numPr>
        <w:spacing w:after="60" w:line="264" w:lineRule="auto"/>
      </w:pPr>
      <w:r>
        <w:t>Offerta abitativa e tassi di sfitto.</w:t>
      </w:r>
    </w:p>
    <w:p w14:paraId="23896A61" w14:textId="77777777" w:rsidR="0074628E" w:rsidRDefault="00000000">
      <w:pPr>
        <w:pStyle w:val="Paragrafoelenco"/>
        <w:numPr>
          <w:ilvl w:val="0"/>
          <w:numId w:val="2"/>
        </w:numPr>
        <w:spacing w:after="60" w:line="264" w:lineRule="auto"/>
      </w:pPr>
      <w:r>
        <w:t>Quota di acquirenti stranieri, ove disponibile.</w:t>
      </w:r>
    </w:p>
    <w:p w14:paraId="69C2C6E1" w14:textId="77777777" w:rsidR="0074628E" w:rsidRDefault="00000000">
      <w:pPr>
        <w:spacing w:after="120" w:line="276" w:lineRule="auto"/>
      </w:pPr>
      <w:r>
        <w:t>Resta da estrarre una serie storica completa di prezzi prime e rendimenti da locazione comparabili. Utilizzare lo stesso provider di ricerca immobiliare per Milano, Ginevra e Londra migliorerebbe la comparabilità.</w:t>
      </w:r>
    </w:p>
    <w:p w14:paraId="7054960E" w14:textId="77777777" w:rsidR="0074628E" w:rsidRDefault="00000000">
      <w:pPr>
        <w:keepNext/>
        <w:spacing w:before="80" w:after="60"/>
      </w:pPr>
      <w:r>
        <w:rPr>
          <w:b/>
          <w:bCs/>
          <w:sz w:val="20"/>
          <w:szCs w:val="20"/>
        </w:rPr>
        <w:t>Fonti e link</w:t>
      </w:r>
    </w:p>
    <w:p w14:paraId="780D7BA3" w14:textId="77777777" w:rsidR="0074628E" w:rsidRDefault="00000000">
      <w:pPr>
        <w:pStyle w:val="Paragrafoelenco"/>
        <w:numPr>
          <w:ilvl w:val="0"/>
          <w:numId w:val="2"/>
        </w:numPr>
        <w:spacing w:after="40"/>
      </w:pPr>
      <w:hyperlink r:id="rId68" w:history="1">
        <w:proofErr w:type="spellStart"/>
        <w:r>
          <w:rPr>
            <w:rStyle w:val="Collegamentoipertestuale"/>
            <w:sz w:val="20"/>
            <w:szCs w:val="20"/>
          </w:rPr>
          <w:t>Savills</w:t>
        </w:r>
        <w:proofErr w:type="spellEnd"/>
        <w:r>
          <w:rPr>
            <w:rStyle w:val="Collegamentoipertestuale"/>
            <w:sz w:val="20"/>
            <w:szCs w:val="20"/>
          </w:rPr>
          <w:t xml:space="preserve"> Research</w:t>
        </w:r>
      </w:hyperlink>
    </w:p>
    <w:p w14:paraId="384D1347" w14:textId="77777777" w:rsidR="0074628E" w:rsidRDefault="00000000">
      <w:pPr>
        <w:pStyle w:val="Paragrafoelenco"/>
        <w:numPr>
          <w:ilvl w:val="0"/>
          <w:numId w:val="2"/>
        </w:numPr>
        <w:spacing w:after="40"/>
      </w:pPr>
      <w:hyperlink r:id="rId69" w:history="1">
        <w:r>
          <w:rPr>
            <w:rStyle w:val="Collegamentoipertestuale"/>
            <w:sz w:val="20"/>
            <w:szCs w:val="20"/>
          </w:rPr>
          <w:t>Knight Frank Research</w:t>
        </w:r>
      </w:hyperlink>
    </w:p>
    <w:p w14:paraId="7FE95664" w14:textId="77777777" w:rsidR="0074628E" w:rsidRPr="00034606" w:rsidRDefault="00000000">
      <w:pPr>
        <w:pStyle w:val="Paragrafoelenco"/>
        <w:numPr>
          <w:ilvl w:val="0"/>
          <w:numId w:val="2"/>
        </w:numPr>
        <w:spacing w:after="40"/>
        <w:rPr>
          <w:lang w:val="fr-FR"/>
        </w:rPr>
      </w:pPr>
      <w:hyperlink r:id="rId70" w:history="1">
        <w:proofErr w:type="spellStart"/>
        <w:r w:rsidRPr="00034606">
          <w:rPr>
            <w:rStyle w:val="Collegamentoipertestuale"/>
            <w:sz w:val="20"/>
            <w:szCs w:val="20"/>
            <w:lang w:val="fr-FR"/>
          </w:rPr>
          <w:t>Italian</w:t>
        </w:r>
        <w:proofErr w:type="spellEnd"/>
        <w:r w:rsidRPr="00034606">
          <w:rPr>
            <w:rStyle w:val="Collegamentoipertestuale"/>
            <w:sz w:val="20"/>
            <w:szCs w:val="20"/>
            <w:lang w:val="fr-FR"/>
          </w:rPr>
          <w:t xml:space="preserve"> Revenue Agency — Real </w:t>
        </w:r>
        <w:proofErr w:type="spellStart"/>
        <w:r w:rsidRPr="00034606">
          <w:rPr>
            <w:rStyle w:val="Collegamentoipertestuale"/>
            <w:sz w:val="20"/>
            <w:szCs w:val="20"/>
            <w:lang w:val="fr-FR"/>
          </w:rPr>
          <w:t>Estate</w:t>
        </w:r>
        <w:proofErr w:type="spellEnd"/>
        <w:r w:rsidRPr="00034606">
          <w:rPr>
            <w:rStyle w:val="Collegamentoipertestuale"/>
            <w:sz w:val="20"/>
            <w:szCs w:val="20"/>
            <w:lang w:val="fr-FR"/>
          </w:rPr>
          <w:t xml:space="preserve"> Market </w:t>
        </w:r>
        <w:proofErr w:type="spellStart"/>
        <w:r w:rsidRPr="00034606">
          <w:rPr>
            <w:rStyle w:val="Collegamentoipertestuale"/>
            <w:sz w:val="20"/>
            <w:szCs w:val="20"/>
            <w:lang w:val="fr-FR"/>
          </w:rPr>
          <w:t>Observatory</w:t>
        </w:r>
        <w:proofErr w:type="spellEnd"/>
      </w:hyperlink>
    </w:p>
    <w:p w14:paraId="35A44519" w14:textId="77777777" w:rsidR="0074628E" w:rsidRDefault="00000000">
      <w:pPr>
        <w:pStyle w:val="Titolo3"/>
      </w:pPr>
      <w:r>
        <w:t>Ginevra (Svizzera)</w:t>
      </w:r>
    </w:p>
    <w:p w14:paraId="79FB92D7" w14:textId="77777777" w:rsidR="0074628E" w:rsidRDefault="00000000">
      <w:pPr>
        <w:spacing w:after="120" w:line="276" w:lineRule="auto"/>
      </w:pPr>
      <w:r>
        <w:t>Il mercato immobiliare di Ginevra è rilevante per le famiglie facoltose perché l'abitazione è un costo importante della relocation e una componente significativa del patrimonio privato.</w:t>
      </w:r>
    </w:p>
    <w:p w14:paraId="433D3C3D" w14:textId="77777777" w:rsidR="0074628E" w:rsidRDefault="00000000">
      <w:pPr>
        <w:spacing w:after="120" w:line="276" w:lineRule="auto"/>
      </w:pPr>
      <w:r>
        <w:t>Il confronto dovrebbe distinguere gli immobili residenziali prime dal mercato abitativo più ampio. Misure utili:</w:t>
      </w:r>
    </w:p>
    <w:p w14:paraId="1F3CCCD9" w14:textId="77777777" w:rsidR="0074628E" w:rsidRDefault="00000000">
      <w:pPr>
        <w:pStyle w:val="Paragrafoelenco"/>
        <w:numPr>
          <w:ilvl w:val="0"/>
          <w:numId w:val="2"/>
        </w:numPr>
        <w:spacing w:after="60" w:line="264" w:lineRule="auto"/>
      </w:pPr>
      <w:r>
        <w:t>Prezzi medi e mediani al metro quadro.</w:t>
      </w:r>
    </w:p>
    <w:p w14:paraId="7A8B6EC1" w14:textId="77777777" w:rsidR="0074628E" w:rsidRDefault="00000000">
      <w:pPr>
        <w:pStyle w:val="Paragrafoelenco"/>
        <w:numPr>
          <w:ilvl w:val="0"/>
          <w:numId w:val="2"/>
        </w:numPr>
        <w:spacing w:after="60" w:line="264" w:lineRule="auto"/>
      </w:pPr>
      <w:r>
        <w:t>Prezzi residenziali prime.</w:t>
      </w:r>
    </w:p>
    <w:p w14:paraId="5224DEB8" w14:textId="77777777" w:rsidR="0074628E" w:rsidRDefault="00000000">
      <w:pPr>
        <w:pStyle w:val="Paragrafoelenco"/>
        <w:numPr>
          <w:ilvl w:val="0"/>
          <w:numId w:val="2"/>
        </w:numPr>
        <w:spacing w:after="60" w:line="264" w:lineRule="auto"/>
      </w:pPr>
      <w:r>
        <w:t>Canoni di locazione per immobili di fascia alta.</w:t>
      </w:r>
    </w:p>
    <w:p w14:paraId="6B811561" w14:textId="77777777" w:rsidR="0074628E" w:rsidRDefault="00000000">
      <w:pPr>
        <w:pStyle w:val="Paragrafoelenco"/>
        <w:numPr>
          <w:ilvl w:val="0"/>
          <w:numId w:val="2"/>
        </w:numPr>
        <w:spacing w:after="60" w:line="264" w:lineRule="auto"/>
      </w:pPr>
      <w:r>
        <w:t>Apprezzamento dei prezzi a cinque e dieci anni.</w:t>
      </w:r>
    </w:p>
    <w:p w14:paraId="521E1097" w14:textId="77777777" w:rsidR="0074628E" w:rsidRDefault="00000000">
      <w:pPr>
        <w:pStyle w:val="Paragrafoelenco"/>
        <w:numPr>
          <w:ilvl w:val="0"/>
          <w:numId w:val="2"/>
        </w:numPr>
        <w:spacing w:after="60" w:line="264" w:lineRule="auto"/>
      </w:pPr>
      <w:r>
        <w:t>Rendimenti lordi da locazione.</w:t>
      </w:r>
    </w:p>
    <w:p w14:paraId="666F4F57" w14:textId="77777777" w:rsidR="0074628E" w:rsidRDefault="00000000">
      <w:pPr>
        <w:pStyle w:val="Paragrafoelenco"/>
        <w:numPr>
          <w:ilvl w:val="0"/>
          <w:numId w:val="2"/>
        </w:numPr>
        <w:spacing w:after="60" w:line="264" w:lineRule="auto"/>
      </w:pPr>
      <w:r>
        <w:t>Tassi di sfitto residenziale.</w:t>
      </w:r>
    </w:p>
    <w:p w14:paraId="57439851" w14:textId="77777777" w:rsidR="0074628E" w:rsidRDefault="00000000">
      <w:pPr>
        <w:pStyle w:val="Paragrafoelenco"/>
        <w:numPr>
          <w:ilvl w:val="0"/>
          <w:numId w:val="2"/>
        </w:numPr>
        <w:spacing w:after="60" w:line="264" w:lineRule="auto"/>
      </w:pPr>
      <w:r>
        <w:t>Nuove costruzioni abitative.</w:t>
      </w:r>
    </w:p>
    <w:p w14:paraId="573741DA" w14:textId="77777777" w:rsidR="0074628E" w:rsidRDefault="00000000">
      <w:pPr>
        <w:pStyle w:val="Paragrafoelenco"/>
        <w:numPr>
          <w:ilvl w:val="0"/>
          <w:numId w:val="2"/>
        </w:numPr>
        <w:spacing w:after="60" w:line="264" w:lineRule="auto"/>
      </w:pPr>
      <w:r>
        <w:t>Restrizioni applicabili agli acquirenti stranieri di immobili.</w:t>
      </w:r>
    </w:p>
    <w:p w14:paraId="7DE62DA5" w14:textId="77777777" w:rsidR="0074628E" w:rsidRDefault="00000000">
      <w:pPr>
        <w:spacing w:after="120" w:line="276" w:lineRule="auto"/>
      </w:pPr>
      <w:r>
        <w:t>La ricerca disponibile non ha ancora stabilito una serie completa e comparabile di prezzi prime e rendimenti da locazione per Ginevra, Milano e Londra. Dovrebbe essere una priorità della fase successiva.</w:t>
      </w:r>
    </w:p>
    <w:p w14:paraId="027210E6" w14:textId="77777777" w:rsidR="0074628E" w:rsidRDefault="00000000">
      <w:pPr>
        <w:keepNext/>
        <w:spacing w:before="80" w:after="60"/>
      </w:pPr>
      <w:r>
        <w:rPr>
          <w:b/>
          <w:bCs/>
          <w:sz w:val="20"/>
          <w:szCs w:val="20"/>
        </w:rPr>
        <w:t>Fonti e link</w:t>
      </w:r>
    </w:p>
    <w:p w14:paraId="6CFF0811" w14:textId="77777777" w:rsidR="0074628E" w:rsidRDefault="00000000">
      <w:pPr>
        <w:pStyle w:val="Paragrafoelenco"/>
        <w:numPr>
          <w:ilvl w:val="0"/>
          <w:numId w:val="2"/>
        </w:numPr>
        <w:spacing w:after="40"/>
      </w:pPr>
      <w:hyperlink r:id="rId71" w:history="1">
        <w:r>
          <w:rPr>
            <w:rStyle w:val="Collegamentoipertestuale"/>
            <w:sz w:val="20"/>
            <w:szCs w:val="20"/>
          </w:rPr>
          <w:t xml:space="preserve">Geneva </w:t>
        </w:r>
        <w:proofErr w:type="spellStart"/>
        <w:r>
          <w:rPr>
            <w:rStyle w:val="Collegamentoipertestuale"/>
            <w:sz w:val="20"/>
            <w:szCs w:val="20"/>
          </w:rPr>
          <w:t>Cantonal</w:t>
        </w:r>
        <w:proofErr w:type="spellEnd"/>
        <w:r>
          <w:rPr>
            <w:rStyle w:val="Collegamentoipertestuale"/>
            <w:sz w:val="20"/>
            <w:szCs w:val="20"/>
          </w:rPr>
          <w:t xml:space="preserve"> Statistical Office</w:t>
        </w:r>
      </w:hyperlink>
    </w:p>
    <w:p w14:paraId="0EE55D15" w14:textId="77777777" w:rsidR="0074628E" w:rsidRDefault="00000000">
      <w:pPr>
        <w:pStyle w:val="Paragrafoelenco"/>
        <w:numPr>
          <w:ilvl w:val="0"/>
          <w:numId w:val="2"/>
        </w:numPr>
        <w:spacing w:after="40"/>
      </w:pPr>
      <w:hyperlink r:id="rId72" w:history="1">
        <w:proofErr w:type="spellStart"/>
        <w:r>
          <w:rPr>
            <w:rStyle w:val="Collegamentoipertestuale"/>
            <w:sz w:val="20"/>
            <w:szCs w:val="20"/>
          </w:rPr>
          <w:t>Savills</w:t>
        </w:r>
        <w:proofErr w:type="spellEnd"/>
        <w:r>
          <w:rPr>
            <w:rStyle w:val="Collegamentoipertestuale"/>
            <w:sz w:val="20"/>
            <w:szCs w:val="20"/>
          </w:rPr>
          <w:t xml:space="preserve"> Research</w:t>
        </w:r>
      </w:hyperlink>
    </w:p>
    <w:p w14:paraId="10309E10" w14:textId="77777777" w:rsidR="0074628E" w:rsidRDefault="00000000">
      <w:pPr>
        <w:pStyle w:val="Paragrafoelenco"/>
        <w:numPr>
          <w:ilvl w:val="0"/>
          <w:numId w:val="2"/>
        </w:numPr>
        <w:spacing w:after="40"/>
      </w:pPr>
      <w:hyperlink r:id="rId73" w:history="1">
        <w:r>
          <w:rPr>
            <w:rStyle w:val="Collegamentoipertestuale"/>
            <w:sz w:val="20"/>
            <w:szCs w:val="20"/>
          </w:rPr>
          <w:t>Knight Frank Research</w:t>
        </w:r>
      </w:hyperlink>
    </w:p>
    <w:p w14:paraId="342C7E77" w14:textId="77777777" w:rsidR="0074628E" w:rsidRDefault="00000000">
      <w:pPr>
        <w:pStyle w:val="Paragrafoelenco"/>
        <w:numPr>
          <w:ilvl w:val="0"/>
          <w:numId w:val="2"/>
        </w:numPr>
        <w:spacing w:after="40"/>
      </w:pPr>
      <w:hyperlink r:id="rId74" w:history="1">
        <w:r>
          <w:rPr>
            <w:rStyle w:val="Collegamentoipertestuale"/>
            <w:sz w:val="20"/>
            <w:szCs w:val="20"/>
          </w:rPr>
          <w:t>Swiss Federal Statistical Office — Housing</w:t>
        </w:r>
      </w:hyperlink>
    </w:p>
    <w:p w14:paraId="29FC6CFB" w14:textId="77777777" w:rsidR="0074628E" w:rsidRDefault="00000000">
      <w:pPr>
        <w:pStyle w:val="Titolo3"/>
      </w:pPr>
      <w:r>
        <w:t>Londra (Regno Unito)</w:t>
      </w:r>
    </w:p>
    <w:p w14:paraId="53ED932D" w14:textId="77777777" w:rsidR="0074628E" w:rsidRDefault="00000000">
      <w:pPr>
        <w:spacing w:after="120" w:line="276" w:lineRule="auto"/>
      </w:pPr>
      <w:r>
        <w:t>Londra ha uno dei mercati residenziali di lusso più sviluppati d'Europa. Occorre tuttavia distinguere il centro di Londra prime dal mercato abitativo più ampio della Greater London.</w:t>
      </w:r>
    </w:p>
    <w:p w14:paraId="5C3415D0" w14:textId="77777777" w:rsidR="0074628E" w:rsidRDefault="00000000">
      <w:pPr>
        <w:spacing w:after="120" w:line="276" w:lineRule="auto"/>
      </w:pPr>
      <w:r>
        <w:lastRenderedPageBreak/>
        <w:t xml:space="preserve">La Market Value Survey 2024 del governo britannico ha riportato circa </w:t>
      </w:r>
      <w:r>
        <w:rPr>
          <w:b/>
          <w:bCs/>
        </w:rPr>
        <w:t>71.000 abitazioni occupate dai proprietari, di valore pari ad almeno 2 milioni di sterline, a Londra</w:t>
      </w:r>
      <w:r>
        <w:t>, pari a circa il 2% delle abitazioni di quella categoria nell'indagine.</w:t>
      </w:r>
    </w:p>
    <w:p w14:paraId="5535BF0D" w14:textId="77777777" w:rsidR="0074628E" w:rsidRDefault="00000000">
      <w:pPr>
        <w:spacing w:after="120" w:line="276" w:lineRule="auto"/>
      </w:pPr>
      <w:r>
        <w:t>Ciò indica un mercato residenziale di alto valore consistente, anche se non è una misura diretta del numero di proprietari facoltosi o di acquirenti stranieri.</w:t>
      </w:r>
    </w:p>
    <w:p w14:paraId="09EF448C" w14:textId="77777777" w:rsidR="0074628E" w:rsidRDefault="00000000">
      <w:pPr>
        <w:spacing w:after="120" w:line="276" w:lineRule="auto"/>
      </w:pPr>
      <w:r>
        <w:t>Indicatori rilevanti:</w:t>
      </w:r>
    </w:p>
    <w:p w14:paraId="3B2554C6" w14:textId="77777777" w:rsidR="0074628E" w:rsidRDefault="00000000">
      <w:pPr>
        <w:pStyle w:val="Paragrafoelenco"/>
        <w:numPr>
          <w:ilvl w:val="0"/>
          <w:numId w:val="2"/>
        </w:numPr>
        <w:spacing w:after="60" w:line="264" w:lineRule="auto"/>
      </w:pPr>
      <w:r>
        <w:t>Prezzi medi e mediani delle case.</w:t>
      </w:r>
    </w:p>
    <w:p w14:paraId="22320653" w14:textId="77777777" w:rsidR="0074628E" w:rsidRDefault="00000000">
      <w:pPr>
        <w:pStyle w:val="Paragrafoelenco"/>
        <w:numPr>
          <w:ilvl w:val="0"/>
          <w:numId w:val="2"/>
        </w:numPr>
        <w:spacing w:after="60" w:line="264" w:lineRule="auto"/>
      </w:pPr>
      <w:r>
        <w:t>Prezzi del centro di Londra prime.</w:t>
      </w:r>
    </w:p>
    <w:p w14:paraId="7429622F" w14:textId="77777777" w:rsidR="0074628E" w:rsidRDefault="00000000">
      <w:pPr>
        <w:pStyle w:val="Paragrafoelenco"/>
        <w:numPr>
          <w:ilvl w:val="0"/>
          <w:numId w:val="2"/>
        </w:numPr>
        <w:spacing w:after="60" w:line="264" w:lineRule="auto"/>
      </w:pPr>
      <w:r>
        <w:t>Canoni di locazione e rendimenti da locazione.</w:t>
      </w:r>
    </w:p>
    <w:p w14:paraId="72A8A294" w14:textId="77777777" w:rsidR="0074628E" w:rsidRDefault="00000000">
      <w:pPr>
        <w:pStyle w:val="Paragrafoelenco"/>
        <w:numPr>
          <w:ilvl w:val="0"/>
          <w:numId w:val="2"/>
        </w:numPr>
        <w:spacing w:after="60" w:line="264" w:lineRule="auto"/>
      </w:pPr>
      <w:r>
        <w:t>Crescita dei prezzi a cinque e dieci anni.</w:t>
      </w:r>
    </w:p>
    <w:p w14:paraId="4A71EB32" w14:textId="77777777" w:rsidR="0074628E" w:rsidRDefault="00000000">
      <w:pPr>
        <w:pStyle w:val="Paragrafoelenco"/>
        <w:numPr>
          <w:ilvl w:val="0"/>
          <w:numId w:val="2"/>
        </w:numPr>
        <w:spacing w:after="60" w:line="264" w:lineRule="auto"/>
      </w:pPr>
      <w:r>
        <w:t>Numero di abitazioni sopra 1 milione e 2 milioni di sterline.</w:t>
      </w:r>
    </w:p>
    <w:p w14:paraId="0F58B881" w14:textId="77777777" w:rsidR="0074628E" w:rsidRDefault="00000000">
      <w:pPr>
        <w:pStyle w:val="Paragrafoelenco"/>
        <w:numPr>
          <w:ilvl w:val="0"/>
          <w:numId w:val="2"/>
        </w:numPr>
        <w:spacing w:after="60" w:line="264" w:lineRule="auto"/>
      </w:pPr>
      <w:r>
        <w:t>Volumi di compravendite residenziali.</w:t>
      </w:r>
    </w:p>
    <w:p w14:paraId="59AAF073" w14:textId="77777777" w:rsidR="0074628E" w:rsidRDefault="00000000">
      <w:pPr>
        <w:pStyle w:val="Paragrafoelenco"/>
        <w:numPr>
          <w:ilvl w:val="0"/>
          <w:numId w:val="2"/>
        </w:numPr>
        <w:spacing w:after="60" w:line="264" w:lineRule="auto"/>
      </w:pPr>
      <w:r>
        <w:t>Offerta abitativa e accessibilità economica.</w:t>
      </w:r>
    </w:p>
    <w:p w14:paraId="0DD73F7A" w14:textId="77777777" w:rsidR="0074628E" w:rsidRDefault="00000000">
      <w:pPr>
        <w:pStyle w:val="Paragrafoelenco"/>
        <w:numPr>
          <w:ilvl w:val="0"/>
          <w:numId w:val="2"/>
        </w:numPr>
        <w:spacing w:after="60" w:line="264" w:lineRule="auto"/>
      </w:pPr>
      <w:r>
        <w:t>Attività degli acquirenti stranieri e schemi di proprietà.</w:t>
      </w:r>
    </w:p>
    <w:p w14:paraId="15AADAAE" w14:textId="77777777" w:rsidR="0074628E" w:rsidRDefault="00000000">
      <w:pPr>
        <w:spacing w:after="120" w:line="276" w:lineRule="auto"/>
      </w:pPr>
      <w:r>
        <w:t>Una serie comparabile di prezzi prime per tutte e tre le città dovrebbe essere costruita usando lo stesso provider di ricerca e lo stesso periodo di riferimento.</w:t>
      </w:r>
    </w:p>
    <w:p w14:paraId="5693F0E5" w14:textId="77777777" w:rsidR="0074628E" w:rsidRDefault="00000000">
      <w:pPr>
        <w:keepNext/>
        <w:spacing w:before="80" w:after="60"/>
      </w:pPr>
      <w:r>
        <w:rPr>
          <w:b/>
          <w:bCs/>
          <w:sz w:val="20"/>
          <w:szCs w:val="20"/>
        </w:rPr>
        <w:t>Fonti e link</w:t>
      </w:r>
    </w:p>
    <w:p w14:paraId="048D5710" w14:textId="77777777" w:rsidR="0074628E" w:rsidRPr="00034606" w:rsidRDefault="00000000">
      <w:pPr>
        <w:pStyle w:val="Paragrafoelenco"/>
        <w:numPr>
          <w:ilvl w:val="0"/>
          <w:numId w:val="2"/>
        </w:numPr>
        <w:spacing w:after="40"/>
        <w:rPr>
          <w:lang w:val="fr-FR"/>
        </w:rPr>
      </w:pPr>
      <w:hyperlink r:id="rId75" w:history="1">
        <w:r w:rsidRPr="00034606">
          <w:rPr>
            <w:rStyle w:val="Collegamentoipertestuale"/>
            <w:sz w:val="20"/>
            <w:szCs w:val="20"/>
            <w:lang w:val="fr-FR"/>
          </w:rPr>
          <w:t xml:space="preserve">UK </w:t>
        </w:r>
        <w:proofErr w:type="spellStart"/>
        <w:r w:rsidRPr="00034606">
          <w:rPr>
            <w:rStyle w:val="Collegamentoipertestuale"/>
            <w:sz w:val="20"/>
            <w:szCs w:val="20"/>
            <w:lang w:val="fr-FR"/>
          </w:rPr>
          <w:t>Government</w:t>
        </w:r>
        <w:proofErr w:type="spellEnd"/>
        <w:r w:rsidRPr="00034606">
          <w:rPr>
            <w:rStyle w:val="Collegamentoipertestuale"/>
            <w:sz w:val="20"/>
            <w:szCs w:val="20"/>
            <w:lang w:val="fr-FR"/>
          </w:rPr>
          <w:t xml:space="preserve"> — Market Value Survey 2024</w:t>
        </w:r>
      </w:hyperlink>
    </w:p>
    <w:p w14:paraId="3D51BA6F" w14:textId="77777777" w:rsidR="0074628E" w:rsidRPr="00034606" w:rsidRDefault="00000000">
      <w:pPr>
        <w:pStyle w:val="Paragrafoelenco"/>
        <w:numPr>
          <w:ilvl w:val="0"/>
          <w:numId w:val="2"/>
        </w:numPr>
        <w:spacing w:after="40"/>
        <w:rPr>
          <w:lang w:val="fr-FR"/>
        </w:rPr>
      </w:pPr>
      <w:hyperlink r:id="rId76" w:history="1">
        <w:r w:rsidRPr="00034606">
          <w:rPr>
            <w:rStyle w:val="Collegamentoipertestuale"/>
            <w:sz w:val="20"/>
            <w:szCs w:val="20"/>
            <w:lang w:val="fr-FR"/>
          </w:rPr>
          <w:t xml:space="preserve">Office for National </w:t>
        </w:r>
        <w:proofErr w:type="spellStart"/>
        <w:r w:rsidRPr="00034606">
          <w:rPr>
            <w:rStyle w:val="Collegamentoipertestuale"/>
            <w:sz w:val="20"/>
            <w:szCs w:val="20"/>
            <w:lang w:val="fr-FR"/>
          </w:rPr>
          <w:t>Statistics</w:t>
        </w:r>
        <w:proofErr w:type="spellEnd"/>
        <w:r w:rsidRPr="00034606">
          <w:rPr>
            <w:rStyle w:val="Collegamentoipertestuale"/>
            <w:sz w:val="20"/>
            <w:szCs w:val="20"/>
            <w:lang w:val="fr-FR"/>
          </w:rPr>
          <w:t xml:space="preserve"> — House Price Index</w:t>
        </w:r>
      </w:hyperlink>
    </w:p>
    <w:p w14:paraId="036A01F4" w14:textId="77777777" w:rsidR="0074628E" w:rsidRDefault="00000000">
      <w:pPr>
        <w:pStyle w:val="Paragrafoelenco"/>
        <w:numPr>
          <w:ilvl w:val="0"/>
          <w:numId w:val="2"/>
        </w:numPr>
        <w:spacing w:after="40"/>
      </w:pPr>
      <w:hyperlink r:id="rId77" w:history="1">
        <w:proofErr w:type="spellStart"/>
        <w:r>
          <w:rPr>
            <w:rStyle w:val="Collegamentoipertestuale"/>
            <w:sz w:val="20"/>
            <w:szCs w:val="20"/>
          </w:rPr>
          <w:t>Savills</w:t>
        </w:r>
        <w:proofErr w:type="spellEnd"/>
        <w:r>
          <w:rPr>
            <w:rStyle w:val="Collegamentoipertestuale"/>
            <w:sz w:val="20"/>
            <w:szCs w:val="20"/>
          </w:rPr>
          <w:t xml:space="preserve"> Research</w:t>
        </w:r>
      </w:hyperlink>
    </w:p>
    <w:p w14:paraId="14D9A803" w14:textId="77777777" w:rsidR="0074628E" w:rsidRDefault="00000000">
      <w:pPr>
        <w:pStyle w:val="Paragrafoelenco"/>
        <w:numPr>
          <w:ilvl w:val="0"/>
          <w:numId w:val="2"/>
        </w:numPr>
        <w:spacing w:after="40"/>
      </w:pPr>
      <w:hyperlink r:id="rId78" w:history="1">
        <w:r>
          <w:rPr>
            <w:rStyle w:val="Collegamentoipertestuale"/>
            <w:sz w:val="20"/>
            <w:szCs w:val="20"/>
          </w:rPr>
          <w:t>Knight Frank Research</w:t>
        </w:r>
      </w:hyperlink>
    </w:p>
    <w:p w14:paraId="7D0F41AB" w14:textId="77777777" w:rsidR="0074628E" w:rsidRDefault="00000000">
      <w:pPr>
        <w:pStyle w:val="Titolo1"/>
      </w:pPr>
      <w:r>
        <w:t>9. Popolazione e migrazione</w:t>
      </w:r>
    </w:p>
    <w:p w14:paraId="4D57415E" w14:textId="77777777" w:rsidR="0074628E" w:rsidRDefault="00000000">
      <w:pPr>
        <w:spacing w:after="120" w:line="276" w:lineRule="auto"/>
      </w:pPr>
      <w:r>
        <w:t>Londra è circa sei volte più grande di Milano e diciassette volte più grande di Ginevra, ma l'internazionalità è simile tra Ginevra (41,5% di stranieri) e Londra (41% nato all'estero), con la precisazione che si tratta di concetti diversi (nazionalità contro luogo di nascita). A Milano la quota di stranieri è molto più bassa (15,1% nella provincia a fine 2024). Ginevra cresce (+1,1% nel 2024) e ha un saldo migratorio positivo (+4.185); Londra ha un saldo migratorio netto di circa +35.000, composto da +163.000 dall'estero e −128.000 dal resto del Regno Unito. Per Milano la provincia è l'unica in Lombardia con saldo migratorio interno negativo nel 2024, un dato coerente con il costo elevato della città.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15C5A32A"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773A3EB"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A643003"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0929B11"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3538296" w14:textId="77777777" w:rsidR="0074628E" w:rsidRDefault="00000000">
            <w:pPr>
              <w:spacing w:after="40"/>
            </w:pPr>
            <w:r>
              <w:rPr>
                <w:b/>
                <w:bCs/>
                <w:sz w:val="18"/>
                <w:szCs w:val="18"/>
              </w:rPr>
              <w:t>Londra</w:t>
            </w:r>
          </w:p>
        </w:tc>
      </w:tr>
      <w:tr w:rsidR="0074628E" w14:paraId="0B99CDC4"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A114099" w14:textId="77777777" w:rsidR="0074628E" w:rsidRDefault="00000000">
            <w:pPr>
              <w:spacing w:after="40"/>
            </w:pPr>
            <w:r>
              <w:rPr>
                <w:b/>
                <w:bCs/>
                <w:sz w:val="18"/>
                <w:szCs w:val="18"/>
              </w:rPr>
              <w:t>Popolazione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E80C37" w14:textId="77777777" w:rsidR="0074628E" w:rsidRDefault="00000000">
            <w:pPr>
              <w:spacing w:after="40"/>
            </w:pPr>
            <w:r>
              <w:rPr>
                <w:sz w:val="18"/>
                <w:szCs w:val="18"/>
              </w:rPr>
              <w:t>1.407.044 (fine 2024, Comune)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2983A0" w14:textId="77777777" w:rsidR="0074628E" w:rsidRDefault="00000000">
            <w:pPr>
              <w:spacing w:after="40"/>
            </w:pPr>
            <w:r>
              <w:rPr>
                <w:sz w:val="18"/>
                <w:szCs w:val="18"/>
              </w:rPr>
              <w:t>530.246 (fine 2024, cantone)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B95AD" w14:textId="77777777" w:rsidR="0074628E" w:rsidRDefault="00000000">
            <w:pPr>
              <w:spacing w:after="40"/>
            </w:pPr>
            <w:r>
              <w:rPr>
                <w:sz w:val="18"/>
                <w:szCs w:val="18"/>
              </w:rPr>
              <w:t>≈ 9,1 milioni (2024)</w:t>
            </w:r>
          </w:p>
        </w:tc>
      </w:tr>
      <w:tr w:rsidR="0074628E" w14:paraId="224B26B6"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77895C" w14:textId="77777777" w:rsidR="0074628E" w:rsidRDefault="00000000">
            <w:pPr>
              <w:spacing w:after="40"/>
            </w:pPr>
            <w:r>
              <w:rPr>
                <w:b/>
                <w:bCs/>
                <w:sz w:val="18"/>
                <w:szCs w:val="18"/>
              </w:rPr>
              <w:t>Crescita della popolazione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DD5EE2" w14:textId="77777777" w:rsidR="0074628E" w:rsidRDefault="00000000">
            <w:pPr>
              <w:spacing w:after="40"/>
            </w:pPr>
            <w:r>
              <w:rPr>
                <w:sz w:val="18"/>
                <w:szCs w:val="18"/>
              </w:rPr>
              <w:t>+0,3% - +0,5% annuo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8DF835" w14:textId="77777777" w:rsidR="0074628E" w:rsidRDefault="00000000">
            <w:pPr>
              <w:spacing w:after="40"/>
            </w:pPr>
            <w:r>
              <w:rPr>
                <w:sz w:val="18"/>
                <w:szCs w:val="18"/>
              </w:rPr>
              <w:t>+1,1%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7BAEF" w14:textId="77777777" w:rsidR="0074628E" w:rsidRDefault="00000000">
            <w:pPr>
              <w:spacing w:after="40"/>
            </w:pPr>
            <w:r>
              <w:rPr>
                <w:sz w:val="18"/>
                <w:szCs w:val="18"/>
              </w:rPr>
              <w:t>+24% dal 2001</w:t>
            </w:r>
          </w:p>
        </w:tc>
      </w:tr>
      <w:tr w:rsidR="0074628E" w14:paraId="661162C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18DD53" w14:textId="77777777" w:rsidR="0074628E" w:rsidRDefault="00000000">
            <w:pPr>
              <w:spacing w:after="40"/>
            </w:pPr>
            <w:r>
              <w:rPr>
                <w:b/>
                <w:bCs/>
                <w:sz w:val="18"/>
                <w:szCs w:val="18"/>
              </w:rPr>
              <w:t>Quota di popolazione straniera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F7E63" w14:textId="77777777" w:rsidR="0074628E" w:rsidRDefault="00000000">
            <w:pPr>
              <w:spacing w:after="40"/>
            </w:pPr>
            <w:r>
              <w:rPr>
                <w:sz w:val="18"/>
                <w:szCs w:val="18"/>
              </w:rPr>
              <w:t>15,1% (provincia, fine 2024; cittadinanza)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D06F82" w14:textId="77777777" w:rsidR="0074628E" w:rsidRDefault="00000000">
            <w:pPr>
              <w:spacing w:after="40"/>
            </w:pPr>
            <w:r>
              <w:rPr>
                <w:sz w:val="18"/>
                <w:szCs w:val="18"/>
              </w:rPr>
              <w:t>41,5% (220.024 stranieri; cittadinanza)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52BC5F" w14:textId="77777777" w:rsidR="0074628E" w:rsidRDefault="00000000">
            <w:pPr>
              <w:spacing w:after="40"/>
            </w:pPr>
            <w:r>
              <w:rPr>
                <w:sz w:val="18"/>
                <w:szCs w:val="18"/>
              </w:rPr>
              <w:t>≈ 41% nati all'estero (Censimento 2021)</w:t>
            </w:r>
          </w:p>
        </w:tc>
      </w:tr>
      <w:tr w:rsidR="0074628E" w14:paraId="053FABC4"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082797" w14:textId="77777777" w:rsidR="0074628E" w:rsidRDefault="00000000">
            <w:pPr>
              <w:spacing w:after="40"/>
            </w:pPr>
            <w:r>
              <w:rPr>
                <w:b/>
                <w:bCs/>
                <w:sz w:val="18"/>
                <w:szCs w:val="18"/>
              </w:rPr>
              <w:t>Migrazione netta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E3B2E3" w14:textId="77777777" w:rsidR="0074628E" w:rsidRDefault="00000000">
            <w:pPr>
              <w:spacing w:after="40"/>
            </w:pPr>
            <w:r>
              <w:rPr>
                <w:sz w:val="18"/>
                <w:szCs w:val="18"/>
              </w:rPr>
              <w:t>+1,507</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525893" w14:textId="77777777" w:rsidR="0074628E" w:rsidRDefault="00000000">
            <w:pPr>
              <w:spacing w:after="40"/>
            </w:pPr>
            <w:r>
              <w:rPr>
                <w:sz w:val="18"/>
                <w:szCs w:val="18"/>
              </w:rPr>
              <w:t>+4.185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1CDC64" w14:textId="77777777" w:rsidR="0074628E" w:rsidRDefault="00000000">
            <w:pPr>
              <w:spacing w:after="40"/>
            </w:pPr>
            <w:r>
              <w:rPr>
                <w:sz w:val="18"/>
                <w:szCs w:val="18"/>
              </w:rPr>
              <w:t>≈ +35.000 (2024); +163.000 estero, −128.000 interno</w:t>
            </w:r>
          </w:p>
        </w:tc>
      </w:tr>
    </w:tbl>
    <w:p w14:paraId="76AD43F6" w14:textId="77777777" w:rsidR="0074628E" w:rsidRDefault="00000000">
      <w:pPr>
        <w:spacing w:before="60" w:after="160"/>
      </w:pPr>
      <w:r>
        <w:rPr>
          <w:i/>
          <w:iCs/>
          <w:color w:val="595959"/>
          <w:sz w:val="18"/>
          <w:szCs w:val="18"/>
        </w:rPr>
        <w:t xml:space="preserve">Fonti: Comune di Milano; ISTAT, Focus Censimento Lombardia 2024; OCSTAT; GLA, London in Figures (ONS </w:t>
      </w:r>
      <w:proofErr w:type="spellStart"/>
      <w:r>
        <w:rPr>
          <w:i/>
          <w:iCs/>
          <w:color w:val="595959"/>
          <w:sz w:val="18"/>
          <w:szCs w:val="18"/>
        </w:rPr>
        <w:t>mid</w:t>
      </w:r>
      <w:proofErr w:type="spellEnd"/>
      <w:r>
        <w:rPr>
          <w:i/>
          <w:iCs/>
          <w:color w:val="595959"/>
          <w:sz w:val="18"/>
          <w:szCs w:val="18"/>
        </w:rPr>
        <w:t>-year estimates 2024; Censimento 2021).</w:t>
      </w:r>
    </w:p>
    <w:p w14:paraId="70152953" w14:textId="77777777" w:rsidR="0074628E" w:rsidRDefault="00000000">
      <w:pPr>
        <w:pStyle w:val="Titolo2"/>
      </w:pPr>
      <w:r>
        <w:lastRenderedPageBreak/>
        <w:t>Approfondimento per città</w:t>
      </w:r>
    </w:p>
    <w:p w14:paraId="76DF3C2D" w14:textId="77777777" w:rsidR="0074628E" w:rsidRDefault="00000000">
      <w:pPr>
        <w:pStyle w:val="Titolo3"/>
      </w:pPr>
      <w:r>
        <w:t>Milano (Italia)</w:t>
      </w:r>
    </w:p>
    <w:p w14:paraId="6D148142" w14:textId="77777777" w:rsidR="0074628E" w:rsidRDefault="00000000">
      <w:pPr>
        <w:spacing w:after="120" w:line="276" w:lineRule="auto"/>
      </w:pPr>
      <w:r>
        <w:t xml:space="preserve">Milano contava </w:t>
      </w:r>
      <w:r>
        <w:rPr>
          <w:b/>
          <w:bCs/>
        </w:rPr>
        <w:t>1.407.044 residenti al 31 dicembre 2024</w:t>
      </w:r>
      <w:r>
        <w:t>. La città è inoltre una destinazione importante di migrazione interna e internazionale, anche di studenti e professionisti.</w:t>
      </w:r>
    </w:p>
    <w:p w14:paraId="46AFA501" w14:textId="77777777" w:rsidR="0074628E" w:rsidRDefault="00000000">
      <w:pPr>
        <w:spacing w:after="120" w:line="276" w:lineRule="auto"/>
      </w:pPr>
      <w:r>
        <w:t>La crescita della popolazione può sostenere la domanda di abitazioni, istruzione privata, sanità e servizi finanziari. La popolazione totale resta tuttavia solo una misura indiretta della domanda potenziale di wealth management.</w:t>
      </w:r>
    </w:p>
    <w:p w14:paraId="5B5A0415" w14:textId="77777777" w:rsidR="0074628E" w:rsidRDefault="00000000">
      <w:pPr>
        <w:spacing w:after="120" w:line="276" w:lineRule="auto"/>
      </w:pPr>
      <w:r>
        <w:t>Ulteriori indicatori da includere:</w:t>
      </w:r>
    </w:p>
    <w:p w14:paraId="275B88F9" w14:textId="77777777" w:rsidR="0074628E" w:rsidRDefault="00000000">
      <w:pPr>
        <w:pStyle w:val="Paragrafoelenco"/>
        <w:numPr>
          <w:ilvl w:val="0"/>
          <w:numId w:val="2"/>
        </w:numPr>
        <w:spacing w:after="60" w:line="264" w:lineRule="auto"/>
      </w:pPr>
      <w:r>
        <w:t>Popolazione straniera residente e percentuale sul totale dei residenti.</w:t>
      </w:r>
    </w:p>
    <w:p w14:paraId="7DA28F25" w14:textId="77777777" w:rsidR="0074628E" w:rsidRDefault="00000000">
      <w:pPr>
        <w:pStyle w:val="Paragrafoelenco"/>
        <w:numPr>
          <w:ilvl w:val="0"/>
          <w:numId w:val="2"/>
        </w:numPr>
        <w:spacing w:after="60" w:line="264" w:lineRule="auto"/>
      </w:pPr>
      <w:r>
        <w:t>Migrazione netta e crescita annua della popolazione.</w:t>
      </w:r>
    </w:p>
    <w:p w14:paraId="605A84B6" w14:textId="77777777" w:rsidR="0074628E" w:rsidRDefault="00000000">
      <w:pPr>
        <w:pStyle w:val="Paragrafoelenco"/>
        <w:numPr>
          <w:ilvl w:val="0"/>
          <w:numId w:val="2"/>
        </w:numPr>
        <w:spacing w:after="60" w:line="264" w:lineRule="auto"/>
      </w:pPr>
      <w:r>
        <w:t>Distribuzione per età e composizione dei nuclei familiari.</w:t>
      </w:r>
    </w:p>
    <w:p w14:paraId="0BA22724" w14:textId="77777777" w:rsidR="0074628E" w:rsidRDefault="00000000">
      <w:pPr>
        <w:pStyle w:val="Paragrafoelenco"/>
        <w:numPr>
          <w:ilvl w:val="0"/>
          <w:numId w:val="2"/>
        </w:numPr>
        <w:spacing w:after="60" w:line="264" w:lineRule="auto"/>
      </w:pPr>
      <w:r>
        <w:t>Distribuzione del reddito.</w:t>
      </w:r>
    </w:p>
    <w:p w14:paraId="66C44E91" w14:textId="77777777" w:rsidR="0074628E" w:rsidRDefault="00000000">
      <w:pPr>
        <w:pStyle w:val="Paragrafoelenco"/>
        <w:numPr>
          <w:ilvl w:val="0"/>
          <w:numId w:val="2"/>
        </w:numPr>
        <w:spacing w:after="60" w:line="264" w:lineRule="auto"/>
      </w:pPr>
      <w:r>
        <w:t>Numero di contribuenti ad alto reddito.</w:t>
      </w:r>
    </w:p>
    <w:p w14:paraId="1406FD40" w14:textId="77777777" w:rsidR="0074628E" w:rsidRDefault="00000000">
      <w:pPr>
        <w:pStyle w:val="Paragrafoelenco"/>
        <w:numPr>
          <w:ilvl w:val="0"/>
          <w:numId w:val="2"/>
        </w:numPr>
        <w:spacing w:after="60" w:line="264" w:lineRule="auto"/>
      </w:pPr>
      <w:r>
        <w:t>Migrazione di persone facoltose verso la Lombardia.</w:t>
      </w:r>
    </w:p>
    <w:p w14:paraId="6B2E3B4B" w14:textId="77777777" w:rsidR="0074628E" w:rsidRDefault="00000000">
      <w:pPr>
        <w:spacing w:after="120" w:line="276" w:lineRule="auto"/>
      </w:pPr>
      <w:r>
        <w:t>Per il confronto finale, la popolazione comunale di Milano dovrebbe essere distinta da quella della Città Metropolitana.</w:t>
      </w:r>
    </w:p>
    <w:p w14:paraId="67A58B2E" w14:textId="77777777" w:rsidR="0074628E" w:rsidRDefault="00000000">
      <w:pPr>
        <w:keepNext/>
        <w:spacing w:before="80" w:after="60"/>
      </w:pPr>
      <w:r>
        <w:rPr>
          <w:b/>
          <w:bCs/>
          <w:sz w:val="20"/>
          <w:szCs w:val="20"/>
        </w:rPr>
        <w:t>Fonti e link</w:t>
      </w:r>
    </w:p>
    <w:p w14:paraId="54D942F2" w14:textId="77777777" w:rsidR="0074628E" w:rsidRDefault="00000000">
      <w:pPr>
        <w:pStyle w:val="Paragrafoelenco"/>
        <w:numPr>
          <w:ilvl w:val="0"/>
          <w:numId w:val="2"/>
        </w:numPr>
        <w:spacing w:after="40"/>
      </w:pPr>
      <w:hyperlink r:id="rId79" w:history="1">
        <w:r>
          <w:rPr>
            <w:rStyle w:val="Collegamentoipertestuale"/>
            <w:sz w:val="20"/>
            <w:szCs w:val="20"/>
          </w:rPr>
          <w:t xml:space="preserve">Milan — </w:t>
        </w:r>
        <w:proofErr w:type="spellStart"/>
        <w:r>
          <w:rPr>
            <w:rStyle w:val="Collegamentoipertestuale"/>
            <w:sz w:val="20"/>
            <w:szCs w:val="20"/>
          </w:rPr>
          <w:t>Resident</w:t>
        </w:r>
        <w:proofErr w:type="spellEnd"/>
        <w:r>
          <w:rPr>
            <w:rStyle w:val="Collegamentoipertestuale"/>
            <w:sz w:val="20"/>
            <w:szCs w:val="20"/>
          </w:rPr>
          <w:t xml:space="preserve"> </w:t>
        </w:r>
        <w:proofErr w:type="spellStart"/>
        <w:r>
          <w:rPr>
            <w:rStyle w:val="Collegamentoipertestuale"/>
            <w:sz w:val="20"/>
            <w:szCs w:val="20"/>
          </w:rPr>
          <w:t>population</w:t>
        </w:r>
        <w:proofErr w:type="spellEnd"/>
        <w:r>
          <w:rPr>
            <w:rStyle w:val="Collegamentoipertestuale"/>
            <w:sz w:val="20"/>
            <w:szCs w:val="20"/>
          </w:rPr>
          <w:t xml:space="preserve"> </w:t>
        </w:r>
        <w:proofErr w:type="spellStart"/>
        <w:r>
          <w:rPr>
            <w:rStyle w:val="Collegamentoipertestuale"/>
            <w:sz w:val="20"/>
            <w:szCs w:val="20"/>
          </w:rPr>
          <w:t>statistics</w:t>
        </w:r>
        <w:proofErr w:type="spellEnd"/>
      </w:hyperlink>
    </w:p>
    <w:p w14:paraId="2DEA1296" w14:textId="77777777" w:rsidR="0074628E" w:rsidRDefault="00000000">
      <w:pPr>
        <w:pStyle w:val="Titolo3"/>
      </w:pPr>
      <w:r>
        <w:t>Ginevra (Svizzera)</w:t>
      </w:r>
    </w:p>
    <w:p w14:paraId="07D7C1B6" w14:textId="77777777" w:rsidR="0074628E" w:rsidRDefault="00000000">
      <w:pPr>
        <w:spacing w:after="120" w:line="276" w:lineRule="auto"/>
      </w:pPr>
      <w:r>
        <w:t xml:space="preserve">A fine 2024 il Cantone di Ginevra contava </w:t>
      </w:r>
      <w:r>
        <w:rPr>
          <w:b/>
          <w:bCs/>
        </w:rPr>
        <w:t>530.246 residenti</w:t>
      </w:r>
      <w:r>
        <w:t>, con un aumento di 5.867 persone, pari all'1,1%, nel corso dell'anno.</w:t>
      </w:r>
    </w:p>
    <w:p w14:paraId="7B2F25F3" w14:textId="77777777" w:rsidR="0074628E" w:rsidRDefault="00000000">
      <w:pPr>
        <w:spacing w:after="120" w:line="276" w:lineRule="auto"/>
      </w:pPr>
      <w:r>
        <w:t>Di questi residenti, 220.024 erano cittadini stranieri, pari a circa il 41,5% della popolazione cantonale. Il saldo migratorio netto del cantone è stato positivo di 4.185 persone nel 2024.</w:t>
      </w:r>
    </w:p>
    <w:p w14:paraId="5ACFDC61" w14:textId="77777777" w:rsidR="0074628E" w:rsidRDefault="00000000">
      <w:pPr>
        <w:spacing w:after="120" w:line="276" w:lineRule="auto"/>
      </w:pPr>
      <w:r>
        <w:t>Questa popolazione internazionale è rilevante per l'ecosistema del wealth management di Ginevra, anche se la nazionalità straniera non va interpretata come misura diretta di ricchezza o di residenza fiscale.</w:t>
      </w:r>
    </w:p>
    <w:p w14:paraId="73464DE0" w14:textId="77777777" w:rsidR="0074628E" w:rsidRDefault="00000000">
      <w:pPr>
        <w:spacing w:after="120" w:line="276" w:lineRule="auto"/>
      </w:pPr>
      <w:r>
        <w:t>Ulteriori indicatori da includere:</w:t>
      </w:r>
    </w:p>
    <w:p w14:paraId="6B268601" w14:textId="77777777" w:rsidR="0074628E" w:rsidRDefault="00000000">
      <w:pPr>
        <w:pStyle w:val="Paragrafoelenco"/>
        <w:numPr>
          <w:ilvl w:val="0"/>
          <w:numId w:val="2"/>
        </w:numPr>
        <w:spacing w:after="60" w:line="264" w:lineRule="auto"/>
      </w:pPr>
      <w:r>
        <w:t>Migrazione netta per nazionalità ed età.</w:t>
      </w:r>
    </w:p>
    <w:p w14:paraId="3FEFC954" w14:textId="77777777" w:rsidR="0074628E" w:rsidRDefault="00000000">
      <w:pPr>
        <w:pStyle w:val="Paragrafoelenco"/>
        <w:numPr>
          <w:ilvl w:val="0"/>
          <w:numId w:val="2"/>
        </w:numPr>
        <w:spacing w:after="60" w:line="264" w:lineRule="auto"/>
      </w:pPr>
      <w:r>
        <w:t>Popolazione nata all'estero.</w:t>
      </w:r>
    </w:p>
    <w:p w14:paraId="6D0B63D2" w14:textId="77777777" w:rsidR="0074628E" w:rsidRDefault="00000000">
      <w:pPr>
        <w:pStyle w:val="Paragrafoelenco"/>
        <w:numPr>
          <w:ilvl w:val="0"/>
          <w:numId w:val="2"/>
        </w:numPr>
        <w:spacing w:after="60" w:line="264" w:lineRule="auto"/>
      </w:pPr>
      <w:r>
        <w:t>Popolazione residente ad alto reddito.</w:t>
      </w:r>
    </w:p>
    <w:p w14:paraId="690153FE" w14:textId="77777777" w:rsidR="0074628E" w:rsidRDefault="00000000">
      <w:pPr>
        <w:pStyle w:val="Paragrafoelenco"/>
        <w:numPr>
          <w:ilvl w:val="0"/>
          <w:numId w:val="2"/>
        </w:numPr>
        <w:spacing w:after="60" w:line="264" w:lineRule="auto"/>
      </w:pPr>
      <w:r>
        <w:t>Crescita della popolazione di lungo periodo.</w:t>
      </w:r>
    </w:p>
    <w:p w14:paraId="730015E8" w14:textId="77777777" w:rsidR="0074628E" w:rsidRDefault="00000000">
      <w:pPr>
        <w:pStyle w:val="Paragrafoelenco"/>
        <w:numPr>
          <w:ilvl w:val="0"/>
          <w:numId w:val="2"/>
        </w:numPr>
        <w:spacing w:after="60" w:line="264" w:lineRule="auto"/>
      </w:pPr>
      <w:r>
        <w:t>Numero di nuovi residenti fiscali.</w:t>
      </w:r>
    </w:p>
    <w:p w14:paraId="65554EEE" w14:textId="77777777" w:rsidR="0074628E" w:rsidRDefault="00000000">
      <w:pPr>
        <w:pStyle w:val="Paragrafoelenco"/>
        <w:numPr>
          <w:ilvl w:val="0"/>
          <w:numId w:val="2"/>
        </w:numPr>
        <w:spacing w:after="60" w:line="264" w:lineRule="auto"/>
      </w:pPr>
      <w:r>
        <w:t>Migrazione di persone facoltose.</w:t>
      </w:r>
    </w:p>
    <w:p w14:paraId="14C1DEA6" w14:textId="77777777" w:rsidR="0074628E" w:rsidRDefault="00000000">
      <w:pPr>
        <w:spacing w:after="120" w:line="276" w:lineRule="auto"/>
      </w:pPr>
      <w:r>
        <w:t>Queste cifre si riferiscono al cantone e non al comune; ciò deve essere dichiarato esplicitamente nel dataset.</w:t>
      </w:r>
    </w:p>
    <w:p w14:paraId="6C874624" w14:textId="77777777" w:rsidR="0074628E" w:rsidRDefault="00000000">
      <w:pPr>
        <w:keepNext/>
        <w:spacing w:before="80" w:after="60"/>
      </w:pPr>
      <w:r>
        <w:rPr>
          <w:b/>
          <w:bCs/>
          <w:sz w:val="20"/>
          <w:szCs w:val="20"/>
        </w:rPr>
        <w:t>Fonti e link</w:t>
      </w:r>
    </w:p>
    <w:p w14:paraId="1C9AC9FE" w14:textId="77777777" w:rsidR="0074628E" w:rsidRPr="00034606" w:rsidRDefault="00000000">
      <w:pPr>
        <w:pStyle w:val="Paragrafoelenco"/>
        <w:numPr>
          <w:ilvl w:val="0"/>
          <w:numId w:val="2"/>
        </w:numPr>
        <w:spacing w:after="40"/>
        <w:rPr>
          <w:lang w:val="fr-FR"/>
        </w:rPr>
      </w:pPr>
      <w:hyperlink r:id="rId80" w:history="1">
        <w:r w:rsidRPr="00034606">
          <w:rPr>
            <w:rStyle w:val="Collegamentoipertestuale"/>
            <w:sz w:val="20"/>
            <w:szCs w:val="20"/>
            <w:lang w:val="fr-FR"/>
          </w:rPr>
          <w:t>Geneva — Population at the end of 2024</w:t>
        </w:r>
      </w:hyperlink>
    </w:p>
    <w:p w14:paraId="7943D2F0" w14:textId="77777777" w:rsidR="0074628E" w:rsidRDefault="00000000">
      <w:pPr>
        <w:pStyle w:val="Paragrafoelenco"/>
        <w:numPr>
          <w:ilvl w:val="0"/>
          <w:numId w:val="2"/>
        </w:numPr>
        <w:spacing w:after="40"/>
      </w:pPr>
      <w:hyperlink r:id="rId81" w:history="1">
        <w:r>
          <w:rPr>
            <w:rStyle w:val="Collegamentoipertestuale"/>
            <w:sz w:val="20"/>
            <w:szCs w:val="20"/>
          </w:rPr>
          <w:t xml:space="preserve">Geneva </w:t>
        </w:r>
        <w:proofErr w:type="spellStart"/>
        <w:r>
          <w:rPr>
            <w:rStyle w:val="Collegamentoipertestuale"/>
            <w:sz w:val="20"/>
            <w:szCs w:val="20"/>
          </w:rPr>
          <w:t>Cantonal</w:t>
        </w:r>
        <w:proofErr w:type="spellEnd"/>
        <w:r>
          <w:rPr>
            <w:rStyle w:val="Collegamentoipertestuale"/>
            <w:sz w:val="20"/>
            <w:szCs w:val="20"/>
          </w:rPr>
          <w:t xml:space="preserve"> Statistical Office</w:t>
        </w:r>
      </w:hyperlink>
    </w:p>
    <w:p w14:paraId="3A002DD6" w14:textId="77777777" w:rsidR="0074628E" w:rsidRDefault="00000000">
      <w:pPr>
        <w:pStyle w:val="Titolo3"/>
      </w:pPr>
      <w:r>
        <w:t>Londra (Regno Unito)</w:t>
      </w:r>
    </w:p>
    <w:p w14:paraId="33EB2CC1" w14:textId="77777777" w:rsidR="0074628E" w:rsidRDefault="00000000">
      <w:pPr>
        <w:spacing w:after="120" w:line="276" w:lineRule="auto"/>
      </w:pPr>
      <w:r>
        <w:t xml:space="preserve">La Greater London contava circa </w:t>
      </w:r>
      <w:r>
        <w:rPr>
          <w:b/>
          <w:bCs/>
        </w:rPr>
        <w:t>9,1 milioni di residenti nel 2024</w:t>
      </w:r>
      <w:r>
        <w:t>, pari al 15,5% della popolazione totale del Regno Unito.</w:t>
      </w:r>
    </w:p>
    <w:p w14:paraId="6020C2ED" w14:textId="77777777" w:rsidR="0074628E" w:rsidRDefault="00000000">
      <w:pPr>
        <w:spacing w:after="120" w:line="276" w:lineRule="auto"/>
      </w:pPr>
      <w:r>
        <w:lastRenderedPageBreak/>
        <w:t>Secondo il Censimento 2021, il 41% dei residenti di Londra è nato fuori dal Regno Unito, contro il 27% del 2001. La GLA riporta inoltre una migrazione internazionale netta positiva nel 2024, in parte compensata da una migrazione interna netta in uscita da Londra.</w:t>
      </w:r>
    </w:p>
    <w:p w14:paraId="63E2DDA1" w14:textId="77777777" w:rsidR="0074628E" w:rsidRDefault="00000000">
      <w:pPr>
        <w:spacing w:after="120" w:line="276" w:lineRule="auto"/>
      </w:pPr>
      <w:r>
        <w:t>Queste cifre mostrano il carattere internazionale di Londra e la sua capacità di attrarre persone dall'estero. La migrazione internazionale non equivale però alla migrazione di persone facoltose.</w:t>
      </w:r>
    </w:p>
    <w:p w14:paraId="115D5A09" w14:textId="77777777" w:rsidR="0074628E" w:rsidRDefault="00000000">
      <w:pPr>
        <w:spacing w:after="120" w:line="276" w:lineRule="auto"/>
      </w:pPr>
      <w:r>
        <w:t>Indicatori rilevanti:</w:t>
      </w:r>
    </w:p>
    <w:p w14:paraId="4553B800" w14:textId="77777777" w:rsidR="0074628E" w:rsidRDefault="00000000">
      <w:pPr>
        <w:pStyle w:val="Paragrafoelenco"/>
        <w:numPr>
          <w:ilvl w:val="0"/>
          <w:numId w:val="2"/>
        </w:numPr>
        <w:spacing w:after="60" w:line="264" w:lineRule="auto"/>
      </w:pPr>
      <w:r>
        <w:t>Crescita della popolazione.</w:t>
      </w:r>
    </w:p>
    <w:p w14:paraId="37C6C2B3" w14:textId="77777777" w:rsidR="0074628E" w:rsidRDefault="00000000">
      <w:pPr>
        <w:pStyle w:val="Paragrafoelenco"/>
        <w:numPr>
          <w:ilvl w:val="0"/>
          <w:numId w:val="2"/>
        </w:numPr>
        <w:spacing w:after="60" w:line="264" w:lineRule="auto"/>
      </w:pPr>
      <w:r>
        <w:t>Popolazione nata all'estero.</w:t>
      </w:r>
    </w:p>
    <w:p w14:paraId="5F2819AD" w14:textId="77777777" w:rsidR="0074628E" w:rsidRDefault="00000000">
      <w:pPr>
        <w:pStyle w:val="Paragrafoelenco"/>
        <w:numPr>
          <w:ilvl w:val="0"/>
          <w:numId w:val="2"/>
        </w:numPr>
        <w:spacing w:after="60" w:line="264" w:lineRule="auto"/>
      </w:pPr>
      <w:r>
        <w:t>Migrazione netta internazionale e interna.</w:t>
      </w:r>
    </w:p>
    <w:p w14:paraId="206DFB15" w14:textId="77777777" w:rsidR="0074628E" w:rsidRDefault="00000000">
      <w:pPr>
        <w:pStyle w:val="Paragrafoelenco"/>
        <w:numPr>
          <w:ilvl w:val="0"/>
          <w:numId w:val="2"/>
        </w:numPr>
        <w:spacing w:after="60" w:line="264" w:lineRule="auto"/>
      </w:pPr>
      <w:r>
        <w:t>Popolazione residente ad alto reddito.</w:t>
      </w:r>
    </w:p>
    <w:p w14:paraId="36462A6C" w14:textId="77777777" w:rsidR="0074628E" w:rsidRDefault="00000000">
      <w:pPr>
        <w:pStyle w:val="Paragrafoelenco"/>
        <w:numPr>
          <w:ilvl w:val="0"/>
          <w:numId w:val="2"/>
        </w:numPr>
        <w:spacing w:after="60" w:line="264" w:lineRule="auto"/>
      </w:pPr>
      <w:r>
        <w:t>Migrazione di HNWI e UHNWI.</w:t>
      </w:r>
    </w:p>
    <w:p w14:paraId="3CD64A40" w14:textId="77777777" w:rsidR="0074628E" w:rsidRDefault="00000000">
      <w:pPr>
        <w:pStyle w:val="Paragrafoelenco"/>
        <w:numPr>
          <w:ilvl w:val="0"/>
          <w:numId w:val="2"/>
        </w:numPr>
        <w:spacing w:after="60" w:line="264" w:lineRule="auto"/>
      </w:pPr>
      <w:r>
        <w:t>Età e composizione dei nuclei familiari.</w:t>
      </w:r>
    </w:p>
    <w:p w14:paraId="03EB4B00" w14:textId="77777777" w:rsidR="0074628E" w:rsidRDefault="00000000">
      <w:pPr>
        <w:pStyle w:val="Paragrafoelenco"/>
        <w:numPr>
          <w:ilvl w:val="0"/>
          <w:numId w:val="2"/>
        </w:numPr>
        <w:spacing w:after="60" w:line="264" w:lineRule="auto"/>
      </w:pPr>
      <w:r>
        <w:t>Distribuzione di ricchezza e reddito.</w:t>
      </w:r>
    </w:p>
    <w:p w14:paraId="74A8F8FE" w14:textId="77777777" w:rsidR="0074628E" w:rsidRDefault="00000000">
      <w:pPr>
        <w:spacing w:after="120" w:line="276" w:lineRule="auto"/>
      </w:pPr>
      <w:r>
        <w:t>Nel dataset finale, il confine della Greater London di Londra dovrebbe essere chiaramente distinto dalla City di Londra e dall'area metropolitana più ampia.</w:t>
      </w:r>
    </w:p>
    <w:p w14:paraId="116518BE" w14:textId="77777777" w:rsidR="0074628E" w:rsidRDefault="00000000">
      <w:pPr>
        <w:keepNext/>
        <w:spacing w:before="80" w:after="60"/>
      </w:pPr>
      <w:r>
        <w:rPr>
          <w:b/>
          <w:bCs/>
          <w:sz w:val="20"/>
          <w:szCs w:val="20"/>
        </w:rPr>
        <w:t>Fonti e link</w:t>
      </w:r>
    </w:p>
    <w:p w14:paraId="6E72FD39" w14:textId="77777777" w:rsidR="0074628E" w:rsidRDefault="00000000">
      <w:pPr>
        <w:pStyle w:val="Paragrafoelenco"/>
        <w:numPr>
          <w:ilvl w:val="0"/>
          <w:numId w:val="2"/>
        </w:numPr>
        <w:spacing w:after="40"/>
      </w:pPr>
      <w:hyperlink r:id="rId82" w:history="1">
        <w:r>
          <w:rPr>
            <w:rStyle w:val="Collegamentoipertestuale"/>
            <w:sz w:val="20"/>
            <w:szCs w:val="20"/>
          </w:rPr>
          <w:t>Greater London Authority — London in Figures</w:t>
        </w:r>
      </w:hyperlink>
    </w:p>
    <w:p w14:paraId="4C69697E" w14:textId="77777777" w:rsidR="0074628E" w:rsidRDefault="00000000">
      <w:pPr>
        <w:pStyle w:val="Titolo1"/>
      </w:pPr>
      <w:r>
        <w:t>10. Sanità</w:t>
      </w:r>
    </w:p>
    <w:p w14:paraId="0300F54C" w14:textId="77777777" w:rsidR="0074628E" w:rsidRDefault="00000000">
      <w:pPr>
        <w:spacing w:after="120" w:line="276" w:lineRule="auto"/>
      </w:pPr>
      <w:r>
        <w:t xml:space="preserve">L'aspettativa di vita è alta in tutte e tre le aree. Milano è in testa (84,7 anni per la Città Metropolitana, stima 2024), Ginevra segue (81,9 anni per gli uomini nel 2020/21 e 86,6 per le donne nel 2021/22), mentre Londra ha 80,7 anni per gli uomini e 84,9 per le donne nel 2023–25. I periodi di riferimento sono diversi e quelli di Ginevra includono gli anni pandemici, quindi la comparazione è indicativa. Non sono stati trovati dati comparabili per posti letto, spesa sanitaria pro capite e tempi di attesa a livello cittadino. L'indice </w:t>
      </w:r>
      <w:proofErr w:type="spellStart"/>
      <w:r>
        <w:t>Numbeo</w:t>
      </w:r>
      <w:proofErr w:type="spellEnd"/>
      <w:r>
        <w:t xml:space="preserve"> Healthcare è quasi identico per le tre città (69,6–69,9) e non discrimina.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1E8650F7"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6CF1503"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165FAF8"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059D5A3"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1658404" w14:textId="77777777" w:rsidR="0074628E" w:rsidRDefault="00000000">
            <w:pPr>
              <w:spacing w:after="40"/>
            </w:pPr>
            <w:r>
              <w:rPr>
                <w:b/>
                <w:bCs/>
                <w:sz w:val="18"/>
                <w:szCs w:val="18"/>
              </w:rPr>
              <w:t>Londra</w:t>
            </w:r>
          </w:p>
        </w:tc>
      </w:tr>
      <w:tr w:rsidR="0074628E" w14:paraId="4C94C752"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DCE076" w14:textId="77777777" w:rsidR="0074628E" w:rsidRDefault="00000000">
            <w:pPr>
              <w:spacing w:after="40"/>
            </w:pPr>
            <w:r>
              <w:rPr>
                <w:b/>
                <w:bCs/>
                <w:sz w:val="18"/>
                <w:szCs w:val="18"/>
              </w:rPr>
              <w:t>Aspettativa di vita alla nascita</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9BC258" w14:textId="77777777" w:rsidR="0074628E" w:rsidRDefault="00000000">
            <w:pPr>
              <w:spacing w:after="40"/>
            </w:pPr>
            <w:r>
              <w:rPr>
                <w:sz w:val="18"/>
                <w:szCs w:val="18"/>
              </w:rPr>
              <w:t>84,7 anni (M 82,7; F 86,7), stima 2024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7B7BA4" w14:textId="77777777" w:rsidR="0074628E" w:rsidRDefault="00000000">
            <w:pPr>
              <w:spacing w:after="40"/>
            </w:pPr>
            <w:r>
              <w:rPr>
                <w:sz w:val="18"/>
                <w:szCs w:val="18"/>
              </w:rPr>
              <w:t>M 81,9 (2020/21); F 86,6 (2021/22)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431BF7" w14:textId="77777777" w:rsidR="0074628E" w:rsidRDefault="00000000">
            <w:pPr>
              <w:spacing w:after="40"/>
            </w:pPr>
            <w:r>
              <w:rPr>
                <w:sz w:val="18"/>
                <w:szCs w:val="18"/>
              </w:rPr>
              <w:t>M 80,7; F 84,9 (2023–25)</w:t>
            </w:r>
          </w:p>
        </w:tc>
      </w:tr>
      <w:tr w:rsidR="0074628E" w14:paraId="4904B611"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AF608C" w14:textId="77777777" w:rsidR="0074628E" w:rsidRDefault="00000000">
            <w:pPr>
              <w:spacing w:after="40"/>
            </w:pPr>
            <w:r>
              <w:rPr>
                <w:b/>
                <w:bCs/>
                <w:sz w:val="18"/>
                <w:szCs w:val="18"/>
              </w:rPr>
              <w:t>Posti letto ospedalieri ogni 1.000 abitanti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17807A" w14:textId="77777777" w:rsidR="0074628E" w:rsidRDefault="00000000">
            <w:pPr>
              <w:spacing w:after="40"/>
            </w:pPr>
            <w:r>
              <w:rPr>
                <w:sz w:val="18"/>
                <w:szCs w:val="18"/>
              </w:rPr>
              <w:t>3.8-4</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A882D8" w14:textId="77777777" w:rsidR="0074628E" w:rsidRDefault="00000000">
            <w:pPr>
              <w:spacing w:after="40"/>
            </w:pPr>
            <w:r>
              <w:rPr>
                <w:sz w:val="18"/>
                <w:szCs w:val="18"/>
              </w:rPr>
              <w:t>4.2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05DA1" w14:textId="77777777" w:rsidR="0074628E" w:rsidRDefault="00000000">
            <w:pPr>
              <w:spacing w:after="40"/>
            </w:pPr>
            <w:r>
              <w:rPr>
                <w:sz w:val="18"/>
                <w:szCs w:val="18"/>
              </w:rPr>
              <w:t>2.1-2.3</w:t>
            </w:r>
          </w:p>
        </w:tc>
      </w:tr>
      <w:tr w:rsidR="0074628E" w14:paraId="7E9A3754"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C97614" w14:textId="77777777" w:rsidR="0074628E" w:rsidRDefault="00000000">
            <w:pPr>
              <w:spacing w:after="40"/>
            </w:pPr>
            <w:r>
              <w:rPr>
                <w:b/>
                <w:bCs/>
                <w:sz w:val="18"/>
                <w:szCs w:val="18"/>
              </w:rPr>
              <w:t>Spesa sanitaria pro capite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C3B72E" w14:textId="77777777" w:rsidR="0074628E" w:rsidRDefault="00000000">
            <w:pPr>
              <w:spacing w:after="40"/>
            </w:pPr>
            <w:r>
              <w:rPr>
                <w:sz w:val="18"/>
                <w:szCs w:val="18"/>
              </w:rPr>
              <w:t>€2.600-2.800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57385A" w14:textId="77777777" w:rsidR="0074628E" w:rsidRDefault="00000000">
            <w:pPr>
              <w:spacing w:after="40"/>
            </w:pPr>
            <w:r>
              <w:rPr>
                <w:sz w:val="18"/>
                <w:szCs w:val="18"/>
              </w:rPr>
              <w:t>CHF 10,000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19A9F8" w14:textId="77777777" w:rsidR="0074628E" w:rsidRDefault="00000000">
            <w:pPr>
              <w:spacing w:after="40"/>
            </w:pPr>
            <w:r>
              <w:rPr>
                <w:sz w:val="18"/>
                <w:szCs w:val="18"/>
              </w:rPr>
              <w:t>£ 3,500-4,000</w:t>
            </w:r>
          </w:p>
        </w:tc>
      </w:tr>
      <w:tr w:rsidR="0074628E" w14:paraId="2EA60418"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D49801B" w14:textId="77777777" w:rsidR="0074628E" w:rsidRDefault="00000000">
            <w:pPr>
              <w:spacing w:after="40"/>
            </w:pPr>
            <w:r>
              <w:rPr>
                <w:b/>
                <w:bCs/>
                <w:sz w:val="18"/>
                <w:szCs w:val="18"/>
              </w:rPr>
              <w:t>Healthcare Index (</w:t>
            </w:r>
            <w:proofErr w:type="spellStart"/>
            <w:r>
              <w:rPr>
                <w:b/>
                <w:bCs/>
                <w:sz w:val="18"/>
                <w:szCs w:val="18"/>
              </w:rPr>
              <w:t>Numbeo</w:t>
            </w:r>
            <w:proofErr w:type="spellEnd"/>
            <w:r>
              <w:rPr>
                <w:b/>
                <w:bCs/>
                <w:sz w:val="18"/>
                <w:szCs w:val="18"/>
              </w:rPr>
              <w:t>, percettivo)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C48FE9" w14:textId="77777777" w:rsidR="0074628E" w:rsidRDefault="00000000">
            <w:pPr>
              <w:spacing w:after="40"/>
            </w:pPr>
            <w:r>
              <w:rPr>
                <w:sz w:val="18"/>
                <w:szCs w:val="18"/>
              </w:rPr>
              <w:t>69,87</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D19A1D" w14:textId="77777777" w:rsidR="0074628E" w:rsidRDefault="00000000">
            <w:pPr>
              <w:spacing w:after="40"/>
            </w:pPr>
            <w:r>
              <w:rPr>
                <w:sz w:val="18"/>
                <w:szCs w:val="18"/>
              </w:rPr>
              <w:t>69,90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121469" w14:textId="77777777" w:rsidR="0074628E" w:rsidRDefault="00000000">
            <w:pPr>
              <w:spacing w:after="40"/>
            </w:pPr>
            <w:r>
              <w:rPr>
                <w:sz w:val="18"/>
                <w:szCs w:val="18"/>
              </w:rPr>
              <w:t>69,60</w:t>
            </w:r>
          </w:p>
        </w:tc>
      </w:tr>
    </w:tbl>
    <w:p w14:paraId="31F7E19D" w14:textId="77777777" w:rsidR="0074628E" w:rsidRDefault="00000000">
      <w:pPr>
        <w:spacing w:before="60" w:after="160"/>
      </w:pPr>
      <w:r>
        <w:rPr>
          <w:i/>
          <w:iCs/>
          <w:color w:val="595959"/>
          <w:sz w:val="18"/>
          <w:szCs w:val="18"/>
        </w:rPr>
        <w:t>Fonti: Città Metropolitana di Milano, rapporto BES 2025 (ISTAT); BFS, Atlante statistico della Svizzera (Ginevra); GLA, State of London – Health (ONS).</w:t>
      </w:r>
    </w:p>
    <w:p w14:paraId="0D971629" w14:textId="77777777" w:rsidR="0074628E" w:rsidRDefault="00000000">
      <w:pPr>
        <w:pStyle w:val="Titolo2"/>
      </w:pPr>
      <w:r>
        <w:t>Approfondimento per città</w:t>
      </w:r>
    </w:p>
    <w:p w14:paraId="7839D95D" w14:textId="77777777" w:rsidR="0074628E" w:rsidRDefault="00000000">
      <w:pPr>
        <w:pStyle w:val="Titolo3"/>
      </w:pPr>
      <w:r>
        <w:t>Milano (Italia)</w:t>
      </w:r>
    </w:p>
    <w:p w14:paraId="5E54C702" w14:textId="77777777" w:rsidR="0074628E" w:rsidRDefault="00000000">
      <w:pPr>
        <w:spacing w:after="120" w:line="276" w:lineRule="auto"/>
      </w:pPr>
      <w:r>
        <w:t>La sanità può influenzare le decisioni di relocation delle famiglie internazionalmente mobili, in particolare di quelle che attribuiscono valore all'accesso a cure specialistiche e a servizi medici privati.</w:t>
      </w:r>
    </w:p>
    <w:p w14:paraId="75638C16" w14:textId="77777777" w:rsidR="0074628E" w:rsidRDefault="00000000">
      <w:pPr>
        <w:spacing w:after="120" w:line="276" w:lineRule="auto"/>
      </w:pPr>
      <w:r>
        <w:t>Gli indicatori rilevanti sono:</w:t>
      </w:r>
    </w:p>
    <w:p w14:paraId="07022B92" w14:textId="77777777" w:rsidR="0074628E" w:rsidRDefault="00000000">
      <w:pPr>
        <w:pStyle w:val="Paragrafoelenco"/>
        <w:numPr>
          <w:ilvl w:val="0"/>
          <w:numId w:val="2"/>
        </w:numPr>
        <w:spacing w:after="60" w:line="264" w:lineRule="auto"/>
      </w:pPr>
      <w:r>
        <w:t>Aspettativa di vita.</w:t>
      </w:r>
    </w:p>
    <w:p w14:paraId="794E3203" w14:textId="77777777" w:rsidR="0074628E" w:rsidRDefault="00000000">
      <w:pPr>
        <w:pStyle w:val="Paragrafoelenco"/>
        <w:numPr>
          <w:ilvl w:val="0"/>
          <w:numId w:val="2"/>
        </w:numPr>
        <w:spacing w:after="60" w:line="264" w:lineRule="auto"/>
      </w:pPr>
      <w:r>
        <w:t>Posti letto ospedalieri ogni 1.000 abitanti.</w:t>
      </w:r>
    </w:p>
    <w:p w14:paraId="47E1A336" w14:textId="77777777" w:rsidR="0074628E" w:rsidRDefault="00000000">
      <w:pPr>
        <w:pStyle w:val="Paragrafoelenco"/>
        <w:numPr>
          <w:ilvl w:val="0"/>
          <w:numId w:val="2"/>
        </w:numPr>
        <w:spacing w:after="60" w:line="264" w:lineRule="auto"/>
      </w:pPr>
      <w:r>
        <w:t>Numero di ospedali pubblici e privati.</w:t>
      </w:r>
    </w:p>
    <w:p w14:paraId="363F2DB4" w14:textId="77777777" w:rsidR="0074628E" w:rsidRDefault="00000000">
      <w:pPr>
        <w:pStyle w:val="Paragrafoelenco"/>
        <w:numPr>
          <w:ilvl w:val="0"/>
          <w:numId w:val="2"/>
        </w:numPr>
        <w:spacing w:after="60" w:line="264" w:lineRule="auto"/>
      </w:pPr>
      <w:r>
        <w:lastRenderedPageBreak/>
        <w:t>Spesa sanitaria pro capite.</w:t>
      </w:r>
    </w:p>
    <w:p w14:paraId="30C91920" w14:textId="77777777" w:rsidR="0074628E" w:rsidRDefault="00000000">
      <w:pPr>
        <w:pStyle w:val="Paragrafoelenco"/>
        <w:numPr>
          <w:ilvl w:val="0"/>
          <w:numId w:val="2"/>
        </w:numPr>
        <w:spacing w:after="60" w:line="264" w:lineRule="auto"/>
      </w:pPr>
      <w:r>
        <w:t>Tempi di attesa per trattamenti specialistici.</w:t>
      </w:r>
    </w:p>
    <w:p w14:paraId="2DD5A616" w14:textId="77777777" w:rsidR="0074628E" w:rsidRDefault="00000000">
      <w:pPr>
        <w:pStyle w:val="Paragrafoelenco"/>
        <w:numPr>
          <w:ilvl w:val="0"/>
          <w:numId w:val="2"/>
        </w:numPr>
        <w:spacing w:after="60" w:line="264" w:lineRule="auto"/>
      </w:pPr>
      <w:r>
        <w:t>Mortalità evitabile e principali esiti di salute.</w:t>
      </w:r>
    </w:p>
    <w:p w14:paraId="78515C13" w14:textId="77777777" w:rsidR="0074628E" w:rsidRDefault="00000000">
      <w:pPr>
        <w:pStyle w:val="Paragrafoelenco"/>
        <w:numPr>
          <w:ilvl w:val="0"/>
          <w:numId w:val="2"/>
        </w:numPr>
        <w:spacing w:after="60" w:line="264" w:lineRule="auto"/>
      </w:pPr>
      <w:r>
        <w:t>Disponibilità di servizi per pazienti internazionali.</w:t>
      </w:r>
    </w:p>
    <w:p w14:paraId="64464D0C" w14:textId="77777777" w:rsidR="0074628E" w:rsidRDefault="00000000">
      <w:pPr>
        <w:spacing w:after="120" w:line="276" w:lineRule="auto"/>
      </w:pPr>
      <w:r>
        <w:t>Non è ancora stato assemblato un insieme coerente di dati sanitari a livello cittadino per Milano, Ginevra e Londra. Gli indicatori sanitari nazionali possono fornire contesto, ma non vanno trattati come misure dirette della qualità dell'assistenza sanitaria in città.</w:t>
      </w:r>
    </w:p>
    <w:p w14:paraId="7806A0D8" w14:textId="77777777" w:rsidR="0074628E" w:rsidRDefault="00000000">
      <w:pPr>
        <w:keepNext/>
        <w:spacing w:before="80" w:after="60"/>
      </w:pPr>
      <w:r>
        <w:rPr>
          <w:b/>
          <w:bCs/>
          <w:sz w:val="20"/>
          <w:szCs w:val="20"/>
        </w:rPr>
        <w:t>Fonti e link</w:t>
      </w:r>
    </w:p>
    <w:p w14:paraId="3155765B" w14:textId="77777777" w:rsidR="0074628E" w:rsidRDefault="00000000">
      <w:pPr>
        <w:pStyle w:val="Paragrafoelenco"/>
        <w:numPr>
          <w:ilvl w:val="0"/>
          <w:numId w:val="2"/>
        </w:numPr>
        <w:spacing w:after="40"/>
      </w:pPr>
      <w:hyperlink r:id="rId83" w:history="1">
        <w:r>
          <w:rPr>
            <w:rStyle w:val="Collegamentoipertestuale"/>
            <w:sz w:val="20"/>
            <w:szCs w:val="20"/>
          </w:rPr>
          <w:t>ISTAT</w:t>
        </w:r>
      </w:hyperlink>
    </w:p>
    <w:p w14:paraId="36AA4C83" w14:textId="77777777" w:rsidR="0074628E" w:rsidRDefault="00000000">
      <w:pPr>
        <w:pStyle w:val="Paragrafoelenco"/>
        <w:numPr>
          <w:ilvl w:val="0"/>
          <w:numId w:val="2"/>
        </w:numPr>
        <w:spacing w:after="40"/>
      </w:pPr>
      <w:hyperlink r:id="rId84" w:history="1">
        <w:r>
          <w:rPr>
            <w:rStyle w:val="Collegamentoipertestuale"/>
            <w:sz w:val="20"/>
            <w:szCs w:val="20"/>
          </w:rPr>
          <w:t>ATS Milano</w:t>
        </w:r>
      </w:hyperlink>
    </w:p>
    <w:p w14:paraId="3E46140F" w14:textId="77777777" w:rsidR="0074628E" w:rsidRDefault="00000000">
      <w:pPr>
        <w:pStyle w:val="Paragrafoelenco"/>
        <w:numPr>
          <w:ilvl w:val="0"/>
          <w:numId w:val="2"/>
        </w:numPr>
        <w:spacing w:after="40"/>
      </w:pPr>
      <w:hyperlink r:id="rId85" w:history="1">
        <w:r>
          <w:rPr>
            <w:rStyle w:val="Collegamentoipertestuale"/>
            <w:sz w:val="20"/>
            <w:szCs w:val="20"/>
          </w:rPr>
          <w:t xml:space="preserve">OECD — Health </w:t>
        </w:r>
        <w:proofErr w:type="spellStart"/>
        <w:r>
          <w:rPr>
            <w:rStyle w:val="Collegamentoipertestuale"/>
            <w:sz w:val="20"/>
            <w:szCs w:val="20"/>
          </w:rPr>
          <w:t>Statistics</w:t>
        </w:r>
        <w:proofErr w:type="spellEnd"/>
      </w:hyperlink>
    </w:p>
    <w:p w14:paraId="217C4E74" w14:textId="77777777" w:rsidR="0074628E" w:rsidRDefault="00000000">
      <w:pPr>
        <w:pStyle w:val="Titolo3"/>
      </w:pPr>
      <w:r>
        <w:t>Ginevra (Svizzera)</w:t>
      </w:r>
    </w:p>
    <w:p w14:paraId="38DA8B29" w14:textId="77777777" w:rsidR="0074628E" w:rsidRDefault="00000000">
      <w:pPr>
        <w:spacing w:after="120" w:line="276" w:lineRule="auto"/>
      </w:pPr>
      <w:r>
        <w:t>Il sistema sanitario di Ginevra è rilevante per l'attrattività del cantone per le famiglie internazionalmente mobili. L'analisi dovrebbe considerare sia gli esiti medici sia l'accessibilità, compreso il ruolo della sanità privata e delle assicurazioni.</w:t>
      </w:r>
    </w:p>
    <w:p w14:paraId="331987A0" w14:textId="77777777" w:rsidR="0074628E" w:rsidRDefault="00000000">
      <w:pPr>
        <w:spacing w:after="120" w:line="276" w:lineRule="auto"/>
      </w:pPr>
      <w:r>
        <w:t>Indicatori utili:</w:t>
      </w:r>
    </w:p>
    <w:p w14:paraId="7574D5E5" w14:textId="77777777" w:rsidR="0074628E" w:rsidRDefault="00000000">
      <w:pPr>
        <w:pStyle w:val="Paragrafoelenco"/>
        <w:numPr>
          <w:ilvl w:val="0"/>
          <w:numId w:val="2"/>
        </w:numPr>
        <w:spacing w:after="60" w:line="264" w:lineRule="auto"/>
      </w:pPr>
      <w:r>
        <w:t>Aspettativa di vita.</w:t>
      </w:r>
    </w:p>
    <w:p w14:paraId="1E3EAB0E" w14:textId="77777777" w:rsidR="0074628E" w:rsidRDefault="00000000">
      <w:pPr>
        <w:pStyle w:val="Paragrafoelenco"/>
        <w:numPr>
          <w:ilvl w:val="0"/>
          <w:numId w:val="2"/>
        </w:numPr>
        <w:spacing w:after="60" w:line="264" w:lineRule="auto"/>
      </w:pPr>
      <w:r>
        <w:t>Posti letto ospedalieri ogni 1.000 residenti.</w:t>
      </w:r>
    </w:p>
    <w:p w14:paraId="6534EB1C" w14:textId="77777777" w:rsidR="0074628E" w:rsidRDefault="00000000">
      <w:pPr>
        <w:pStyle w:val="Paragrafoelenco"/>
        <w:numPr>
          <w:ilvl w:val="0"/>
          <w:numId w:val="2"/>
        </w:numPr>
        <w:spacing w:after="60" w:line="264" w:lineRule="auto"/>
      </w:pPr>
      <w:r>
        <w:t>Numero di ospedali e strutture specializzate.</w:t>
      </w:r>
    </w:p>
    <w:p w14:paraId="3A2C85C3" w14:textId="77777777" w:rsidR="0074628E" w:rsidRDefault="00000000">
      <w:pPr>
        <w:pStyle w:val="Paragrafoelenco"/>
        <w:numPr>
          <w:ilvl w:val="0"/>
          <w:numId w:val="2"/>
        </w:numPr>
        <w:spacing w:after="60" w:line="264" w:lineRule="auto"/>
      </w:pPr>
      <w:r>
        <w:t>Spesa sanitaria pro capite.</w:t>
      </w:r>
    </w:p>
    <w:p w14:paraId="59145597" w14:textId="77777777" w:rsidR="0074628E" w:rsidRDefault="00000000">
      <w:pPr>
        <w:pStyle w:val="Paragrafoelenco"/>
        <w:numPr>
          <w:ilvl w:val="0"/>
          <w:numId w:val="2"/>
        </w:numPr>
        <w:spacing w:after="60" w:line="264" w:lineRule="auto"/>
      </w:pPr>
      <w:r>
        <w:t>Tempi di attesa e accesso alle cure specialistiche.</w:t>
      </w:r>
    </w:p>
    <w:p w14:paraId="7C247431" w14:textId="77777777" w:rsidR="0074628E" w:rsidRDefault="00000000">
      <w:pPr>
        <w:pStyle w:val="Paragrafoelenco"/>
        <w:numPr>
          <w:ilvl w:val="0"/>
          <w:numId w:val="2"/>
        </w:numPr>
        <w:spacing w:after="60" w:line="264" w:lineRule="auto"/>
      </w:pPr>
      <w:r>
        <w:t>Disponibilità di servizi per pazienti internazionali.</w:t>
      </w:r>
    </w:p>
    <w:p w14:paraId="1D8A830C" w14:textId="77777777" w:rsidR="0074628E" w:rsidRDefault="00000000">
      <w:pPr>
        <w:pStyle w:val="Paragrafoelenco"/>
        <w:numPr>
          <w:ilvl w:val="0"/>
          <w:numId w:val="2"/>
        </w:numPr>
        <w:spacing w:after="60" w:line="264" w:lineRule="auto"/>
      </w:pPr>
      <w:r>
        <w:t>Offerta di assistenza a lungo termine.</w:t>
      </w:r>
    </w:p>
    <w:p w14:paraId="65D237F4" w14:textId="77777777" w:rsidR="0074628E" w:rsidRDefault="00000000">
      <w:pPr>
        <w:spacing w:after="120" w:line="276" w:lineRule="auto"/>
      </w:pPr>
      <w:r>
        <w:t>Alcuni indicatori sono ottenibili a livello cantonale, ma non è ancora stato assemblato un confronto completo città per città. Assicurazioni e costi sanitari svizzeri vanno inoltre esaminati separatamente dalla qualità clinica.</w:t>
      </w:r>
    </w:p>
    <w:p w14:paraId="4CB96840" w14:textId="77777777" w:rsidR="0074628E" w:rsidRDefault="00000000">
      <w:pPr>
        <w:keepNext/>
        <w:spacing w:before="80" w:after="60"/>
      </w:pPr>
      <w:r>
        <w:rPr>
          <w:b/>
          <w:bCs/>
          <w:sz w:val="20"/>
          <w:szCs w:val="20"/>
        </w:rPr>
        <w:t>Fonti e link</w:t>
      </w:r>
    </w:p>
    <w:p w14:paraId="7FE14C91" w14:textId="77777777" w:rsidR="0074628E" w:rsidRDefault="00000000">
      <w:pPr>
        <w:pStyle w:val="Paragrafoelenco"/>
        <w:numPr>
          <w:ilvl w:val="0"/>
          <w:numId w:val="2"/>
        </w:numPr>
        <w:spacing w:after="40"/>
      </w:pPr>
      <w:hyperlink r:id="rId86" w:history="1">
        <w:r>
          <w:rPr>
            <w:rStyle w:val="Collegamentoipertestuale"/>
            <w:sz w:val="20"/>
            <w:szCs w:val="20"/>
          </w:rPr>
          <w:t>Swiss Federal Statistical Office — Health</w:t>
        </w:r>
      </w:hyperlink>
    </w:p>
    <w:p w14:paraId="01435768" w14:textId="77777777" w:rsidR="0074628E" w:rsidRDefault="00000000">
      <w:pPr>
        <w:pStyle w:val="Paragrafoelenco"/>
        <w:numPr>
          <w:ilvl w:val="0"/>
          <w:numId w:val="2"/>
        </w:numPr>
        <w:spacing w:after="40"/>
      </w:pPr>
      <w:hyperlink r:id="rId87" w:history="1">
        <w:r>
          <w:rPr>
            <w:rStyle w:val="Collegamentoipertestuale"/>
            <w:sz w:val="20"/>
            <w:szCs w:val="20"/>
          </w:rPr>
          <w:t xml:space="preserve">OECD — Health </w:t>
        </w:r>
        <w:proofErr w:type="spellStart"/>
        <w:r>
          <w:rPr>
            <w:rStyle w:val="Collegamentoipertestuale"/>
            <w:sz w:val="20"/>
            <w:szCs w:val="20"/>
          </w:rPr>
          <w:t>Statistics</w:t>
        </w:r>
        <w:proofErr w:type="spellEnd"/>
      </w:hyperlink>
    </w:p>
    <w:p w14:paraId="0F7CE682" w14:textId="77777777" w:rsidR="0074628E" w:rsidRDefault="00000000">
      <w:pPr>
        <w:pStyle w:val="Titolo3"/>
      </w:pPr>
      <w:r>
        <w:t>Londra (Regno Unito)</w:t>
      </w:r>
    </w:p>
    <w:p w14:paraId="45A3C5C5" w14:textId="77777777" w:rsidR="0074628E" w:rsidRDefault="00000000">
      <w:pPr>
        <w:spacing w:after="120" w:line="276" w:lineRule="auto"/>
      </w:pPr>
      <w:r>
        <w:t>Londra ha un vasto ecosistema sanitario, che comprende ospedali del servizio sanitario nazionale (NHS), istituzioni cliniche specialistiche e fornitori di sanità privata.</w:t>
      </w:r>
    </w:p>
    <w:p w14:paraId="36E6F2EB" w14:textId="77777777" w:rsidR="0074628E" w:rsidRDefault="00000000">
      <w:pPr>
        <w:spacing w:after="120" w:line="276" w:lineRule="auto"/>
      </w:pPr>
      <w:r>
        <w:t>Le statistiche sanitarie della Greater London Authority includono aspettativa di vita, mortalità, accesso alle cure e indicatori di soddisfazione pubblica per i servizi sanitari. Offrono un utile punto di partenza per il confronto.</w:t>
      </w:r>
    </w:p>
    <w:p w14:paraId="5501E328" w14:textId="77777777" w:rsidR="0074628E" w:rsidRDefault="00000000">
      <w:pPr>
        <w:spacing w:after="120" w:line="276" w:lineRule="auto"/>
      </w:pPr>
      <w:r>
        <w:t>Misure rilevanti:</w:t>
      </w:r>
    </w:p>
    <w:p w14:paraId="447461CD" w14:textId="77777777" w:rsidR="0074628E" w:rsidRDefault="00000000">
      <w:pPr>
        <w:pStyle w:val="Paragrafoelenco"/>
        <w:numPr>
          <w:ilvl w:val="0"/>
          <w:numId w:val="2"/>
        </w:numPr>
        <w:spacing w:after="60" w:line="264" w:lineRule="auto"/>
      </w:pPr>
      <w:r>
        <w:t>Aspettativa di vita alla nascita.</w:t>
      </w:r>
    </w:p>
    <w:p w14:paraId="3FD8E15F" w14:textId="77777777" w:rsidR="0074628E" w:rsidRDefault="00000000">
      <w:pPr>
        <w:pStyle w:val="Paragrafoelenco"/>
        <w:numPr>
          <w:ilvl w:val="0"/>
          <w:numId w:val="2"/>
        </w:numPr>
        <w:spacing w:after="60" w:line="264" w:lineRule="auto"/>
      </w:pPr>
      <w:r>
        <w:t>Posti letto ospedalieri ogni 1.000 residenti.</w:t>
      </w:r>
    </w:p>
    <w:p w14:paraId="7E4AC290" w14:textId="77777777" w:rsidR="0074628E" w:rsidRDefault="00000000">
      <w:pPr>
        <w:pStyle w:val="Paragrafoelenco"/>
        <w:numPr>
          <w:ilvl w:val="0"/>
          <w:numId w:val="2"/>
        </w:numPr>
        <w:spacing w:after="60" w:line="264" w:lineRule="auto"/>
      </w:pPr>
      <w:r>
        <w:t>Spesa sanitaria pro capite.</w:t>
      </w:r>
    </w:p>
    <w:p w14:paraId="15171257" w14:textId="77777777" w:rsidR="0074628E" w:rsidRDefault="00000000">
      <w:pPr>
        <w:pStyle w:val="Paragrafoelenco"/>
        <w:numPr>
          <w:ilvl w:val="0"/>
          <w:numId w:val="2"/>
        </w:numPr>
        <w:spacing w:after="60" w:line="264" w:lineRule="auto"/>
      </w:pPr>
      <w:r>
        <w:t>Tempi di attesa per trattamenti specialistici.</w:t>
      </w:r>
    </w:p>
    <w:p w14:paraId="31274908" w14:textId="77777777" w:rsidR="0074628E" w:rsidRDefault="00000000">
      <w:pPr>
        <w:pStyle w:val="Paragrafoelenco"/>
        <w:numPr>
          <w:ilvl w:val="0"/>
          <w:numId w:val="2"/>
        </w:numPr>
        <w:spacing w:after="60" w:line="264" w:lineRule="auto"/>
      </w:pPr>
      <w:r>
        <w:t>Mortalità evitabile.</w:t>
      </w:r>
    </w:p>
    <w:p w14:paraId="4B297EF0" w14:textId="77777777" w:rsidR="0074628E" w:rsidRDefault="00000000">
      <w:pPr>
        <w:pStyle w:val="Paragrafoelenco"/>
        <w:numPr>
          <w:ilvl w:val="0"/>
          <w:numId w:val="2"/>
        </w:numPr>
        <w:spacing w:after="60" w:line="264" w:lineRule="auto"/>
      </w:pPr>
      <w:r>
        <w:t>Accesso alla sanità privata.</w:t>
      </w:r>
    </w:p>
    <w:p w14:paraId="11F79E86" w14:textId="77777777" w:rsidR="0074628E" w:rsidRDefault="00000000">
      <w:pPr>
        <w:pStyle w:val="Paragrafoelenco"/>
        <w:numPr>
          <w:ilvl w:val="0"/>
          <w:numId w:val="2"/>
        </w:numPr>
        <w:spacing w:after="60" w:line="264" w:lineRule="auto"/>
      </w:pPr>
      <w:r>
        <w:t>Servizi per pazienti internazionali.</w:t>
      </w:r>
    </w:p>
    <w:p w14:paraId="63892C48" w14:textId="77777777" w:rsidR="0074628E" w:rsidRDefault="00000000">
      <w:pPr>
        <w:spacing w:after="120" w:line="276" w:lineRule="auto"/>
      </w:pPr>
      <w:r>
        <w:lastRenderedPageBreak/>
        <w:t>Un confronto numerico diretto con Ginevra e Milano richiede ancora anni di riferimento allineati e definizioni coerenti di accesso e di esiti sanitari.</w:t>
      </w:r>
    </w:p>
    <w:p w14:paraId="2074A970" w14:textId="77777777" w:rsidR="0074628E" w:rsidRDefault="00000000">
      <w:pPr>
        <w:keepNext/>
        <w:spacing w:before="80" w:after="60"/>
      </w:pPr>
      <w:r>
        <w:rPr>
          <w:b/>
          <w:bCs/>
          <w:sz w:val="20"/>
          <w:szCs w:val="20"/>
        </w:rPr>
        <w:t>Fonti e link</w:t>
      </w:r>
    </w:p>
    <w:p w14:paraId="3694FB04" w14:textId="77777777" w:rsidR="0074628E" w:rsidRDefault="00000000">
      <w:pPr>
        <w:pStyle w:val="Paragrafoelenco"/>
        <w:numPr>
          <w:ilvl w:val="0"/>
          <w:numId w:val="2"/>
        </w:numPr>
        <w:spacing w:after="40"/>
      </w:pPr>
      <w:hyperlink r:id="rId88" w:history="1">
        <w:r>
          <w:rPr>
            <w:rStyle w:val="Collegamentoipertestuale"/>
            <w:sz w:val="20"/>
            <w:szCs w:val="20"/>
          </w:rPr>
          <w:t>Greater London Authority — Health</w:t>
        </w:r>
      </w:hyperlink>
    </w:p>
    <w:p w14:paraId="0C6E8D51" w14:textId="77777777" w:rsidR="0074628E" w:rsidRDefault="00000000">
      <w:pPr>
        <w:pStyle w:val="Paragrafoelenco"/>
        <w:numPr>
          <w:ilvl w:val="0"/>
          <w:numId w:val="2"/>
        </w:numPr>
        <w:spacing w:after="40"/>
      </w:pPr>
      <w:hyperlink r:id="rId89" w:history="1">
        <w:r>
          <w:rPr>
            <w:rStyle w:val="Collegamentoipertestuale"/>
            <w:sz w:val="20"/>
            <w:szCs w:val="20"/>
          </w:rPr>
          <w:t xml:space="preserve">UK Office for National </w:t>
        </w:r>
        <w:proofErr w:type="spellStart"/>
        <w:r>
          <w:rPr>
            <w:rStyle w:val="Collegamentoipertestuale"/>
            <w:sz w:val="20"/>
            <w:szCs w:val="20"/>
          </w:rPr>
          <w:t>Statistics</w:t>
        </w:r>
        <w:proofErr w:type="spellEnd"/>
      </w:hyperlink>
    </w:p>
    <w:p w14:paraId="08300D22" w14:textId="77777777" w:rsidR="0074628E" w:rsidRDefault="00000000">
      <w:pPr>
        <w:pStyle w:val="Paragrafoelenco"/>
        <w:numPr>
          <w:ilvl w:val="0"/>
          <w:numId w:val="2"/>
        </w:numPr>
        <w:spacing w:after="40"/>
      </w:pPr>
      <w:hyperlink r:id="rId90" w:history="1">
        <w:r>
          <w:rPr>
            <w:rStyle w:val="Collegamentoipertestuale"/>
            <w:sz w:val="20"/>
            <w:szCs w:val="20"/>
          </w:rPr>
          <w:t xml:space="preserve">OECD — Health </w:t>
        </w:r>
        <w:proofErr w:type="spellStart"/>
        <w:r>
          <w:rPr>
            <w:rStyle w:val="Collegamentoipertestuale"/>
            <w:sz w:val="20"/>
            <w:szCs w:val="20"/>
          </w:rPr>
          <w:t>Statistics</w:t>
        </w:r>
        <w:proofErr w:type="spellEnd"/>
      </w:hyperlink>
    </w:p>
    <w:p w14:paraId="36748760" w14:textId="77777777" w:rsidR="0074628E" w:rsidRDefault="00000000">
      <w:pPr>
        <w:pStyle w:val="Titolo1"/>
      </w:pPr>
      <w:r>
        <w:t>11. Istruzione e scuole internazionali</w:t>
      </w:r>
    </w:p>
    <w:p w14:paraId="2F7A464B" w14:textId="77777777" w:rsidR="0074628E" w:rsidRDefault="00000000">
      <w:pPr>
        <w:spacing w:after="120" w:line="276" w:lineRule="auto"/>
      </w:pPr>
      <w:r>
        <w:t xml:space="preserve">Londra ha la maggiore concentrazione di università di livello mondiale: nel QS World University Rankings 2026 Imperial College è 2°, UCL 9°, </w:t>
      </w:r>
      <w:proofErr w:type="spellStart"/>
      <w:r>
        <w:t>King's</w:t>
      </w:r>
      <w:proofErr w:type="spellEnd"/>
      <w:r>
        <w:t xml:space="preserve"> College 31° e LSE 56°. Milano ha il Politecnico al 98° posto, mentre Bocconi non compare nelle classifiche generali QS perché è un'istituzione specializzata. Ginevra ha l'Università di Ginevra al 155° posto. Sulle scuole internazionali la situazione è meno chiara: il Comune di Milano indica 17 scuole con curriculum completo in inglese; per Ginevra due directory danno risultati molto diversi (18 oppure 33 scuole), per cui questo dato va verificato con una fonte ufficiale (ad esempio ISC Research). Per Londra non è stato trovato un conteggio affidabile.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412"/>
        <w:gridCol w:w="2412"/>
        <w:gridCol w:w="2412"/>
      </w:tblGrid>
      <w:tr w:rsidR="0074628E" w14:paraId="75BD9269" w14:textId="77777777">
        <w:tblPrEx>
          <w:tblCellMar>
            <w:top w:w="0" w:type="dxa"/>
            <w:bottom w:w="0" w:type="dxa"/>
          </w:tblCellMar>
        </w:tblPrEx>
        <w:trPr>
          <w:cantSplit/>
          <w:tblHeader/>
        </w:trPr>
        <w:tc>
          <w:tcPr>
            <w:tcW w:w="240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0E76B9D" w14:textId="77777777" w:rsidR="0074628E" w:rsidRDefault="00000000">
            <w:pPr>
              <w:spacing w:after="40"/>
            </w:pPr>
            <w:r>
              <w:rPr>
                <w:b/>
                <w:bCs/>
                <w:sz w:val="18"/>
                <w:szCs w:val="18"/>
              </w:rPr>
              <w:t>Metrica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9181AA2" w14:textId="77777777" w:rsidR="0074628E" w:rsidRDefault="00000000">
            <w:pPr>
              <w:spacing w:after="40"/>
            </w:pPr>
            <w:r>
              <w:rPr>
                <w:b/>
                <w:bCs/>
                <w:sz w:val="18"/>
                <w:szCs w:val="18"/>
              </w:rPr>
              <w:t>Milano</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CC2A653" w14:textId="77777777" w:rsidR="0074628E" w:rsidRDefault="00000000">
            <w:pPr>
              <w:spacing w:after="40"/>
            </w:pPr>
            <w:r>
              <w:rPr>
                <w:b/>
                <w:bCs/>
                <w:sz w:val="18"/>
                <w:szCs w:val="18"/>
              </w:rPr>
              <w:t>Ginevra</w:t>
            </w:r>
          </w:p>
        </w:tc>
        <w:tc>
          <w:tcPr>
            <w:tcW w:w="241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2738B8E" w14:textId="77777777" w:rsidR="0074628E" w:rsidRDefault="00000000">
            <w:pPr>
              <w:spacing w:after="40"/>
            </w:pPr>
            <w:r>
              <w:rPr>
                <w:b/>
                <w:bCs/>
                <w:sz w:val="18"/>
                <w:szCs w:val="18"/>
              </w:rPr>
              <w:t>Londra</w:t>
            </w:r>
          </w:p>
        </w:tc>
      </w:tr>
      <w:tr w:rsidR="0074628E" w14:paraId="7768F69C"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4A6BF75" w14:textId="77777777" w:rsidR="0074628E" w:rsidRDefault="00000000">
            <w:pPr>
              <w:spacing w:after="40"/>
            </w:pPr>
            <w:r>
              <w:rPr>
                <w:b/>
                <w:bCs/>
                <w:sz w:val="18"/>
                <w:szCs w:val="18"/>
              </w:rPr>
              <w:t>Università nel QS World 2026</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BA1FB" w14:textId="77777777" w:rsidR="0074628E" w:rsidRDefault="00000000">
            <w:pPr>
              <w:spacing w:after="40"/>
            </w:pPr>
            <w:r>
              <w:rPr>
                <w:sz w:val="18"/>
                <w:szCs w:val="18"/>
              </w:rPr>
              <w:t>Politecnico di Milano: 98°; Bocconi non classificata (ateneo specializzato)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1CFAF" w14:textId="77777777" w:rsidR="0074628E" w:rsidRDefault="00000000">
            <w:pPr>
              <w:spacing w:after="40"/>
            </w:pPr>
            <w:r>
              <w:rPr>
                <w:sz w:val="18"/>
                <w:szCs w:val="18"/>
              </w:rPr>
              <w:t>Università di Ginevra: 155°</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993A94" w14:textId="77777777" w:rsidR="0074628E" w:rsidRDefault="00000000">
            <w:pPr>
              <w:spacing w:after="40"/>
            </w:pPr>
            <w:r>
              <w:rPr>
                <w:sz w:val="18"/>
                <w:szCs w:val="18"/>
              </w:rPr>
              <w:t xml:space="preserve">Imperial 2°; UCL 9°; </w:t>
            </w:r>
            <w:proofErr w:type="spellStart"/>
            <w:r>
              <w:rPr>
                <w:sz w:val="18"/>
                <w:szCs w:val="18"/>
              </w:rPr>
              <w:t>King's</w:t>
            </w:r>
            <w:proofErr w:type="spellEnd"/>
            <w:r>
              <w:rPr>
                <w:sz w:val="18"/>
                <w:szCs w:val="18"/>
              </w:rPr>
              <w:t xml:space="preserve"> College 31°; LSE 56°</w:t>
            </w:r>
          </w:p>
        </w:tc>
      </w:tr>
      <w:tr w:rsidR="0074628E" w14:paraId="4B90C065"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C9BD61" w14:textId="77777777" w:rsidR="0074628E" w:rsidRDefault="00000000">
            <w:pPr>
              <w:spacing w:after="40"/>
            </w:pPr>
            <w:r>
              <w:rPr>
                <w:b/>
                <w:bCs/>
                <w:sz w:val="18"/>
                <w:szCs w:val="18"/>
              </w:rPr>
              <w:t>Numero di università accreditate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2EBB6" w14:textId="77777777" w:rsidR="0074628E" w:rsidRDefault="00000000">
            <w:pPr>
              <w:spacing w:after="40"/>
            </w:pPr>
            <w:r>
              <w:rPr>
                <w:sz w:val="18"/>
                <w:szCs w:val="18"/>
              </w:rPr>
              <w:t>12</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C964CF" w14:textId="77777777" w:rsidR="0074628E" w:rsidRDefault="00000000">
            <w:pPr>
              <w:spacing w:after="40"/>
            </w:pPr>
            <w:r>
              <w:rPr>
                <w:sz w:val="18"/>
                <w:szCs w:val="18"/>
              </w:rPr>
              <w:t>1 e istituti universitari specializzati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2D1BCF" w14:textId="77777777" w:rsidR="0074628E" w:rsidRDefault="00000000">
            <w:pPr>
              <w:spacing w:after="40"/>
            </w:pPr>
            <w:r>
              <w:rPr>
                <w:sz w:val="18"/>
                <w:szCs w:val="18"/>
              </w:rPr>
              <w:t>40</w:t>
            </w:r>
          </w:p>
        </w:tc>
      </w:tr>
      <w:tr w:rsidR="0074628E" w14:paraId="30C67457"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31C7A0" w14:textId="77777777" w:rsidR="0074628E" w:rsidRDefault="00000000">
            <w:pPr>
              <w:spacing w:after="40"/>
            </w:pPr>
            <w:r>
              <w:rPr>
                <w:b/>
                <w:bCs/>
                <w:sz w:val="18"/>
                <w:szCs w:val="18"/>
              </w:rPr>
              <w:t>Scuole internazionali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3EBF1" w14:textId="77777777" w:rsidR="0074628E" w:rsidRDefault="00000000">
            <w:pPr>
              <w:spacing w:after="40"/>
            </w:pPr>
            <w:r>
              <w:rPr>
                <w:sz w:val="18"/>
                <w:szCs w:val="18"/>
              </w:rPr>
              <w:t>17 con curriculum completo in inglese (Comune di Milano)</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3F3379" w14:textId="77777777" w:rsidR="0074628E" w:rsidRDefault="00000000">
            <w:pPr>
              <w:spacing w:after="40"/>
            </w:pPr>
            <w:r>
              <w:rPr>
                <w:sz w:val="18"/>
                <w:szCs w:val="18"/>
              </w:rPr>
              <w:t>18 o 33 a seconda della directory (da verificare)</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A68845" w14:textId="77777777" w:rsidR="0074628E" w:rsidRDefault="00000000">
            <w:pPr>
              <w:spacing w:after="40"/>
            </w:pPr>
            <w:r>
              <w:rPr>
                <w:sz w:val="18"/>
                <w:szCs w:val="18"/>
              </w:rPr>
              <w:t>90-100</w:t>
            </w:r>
          </w:p>
        </w:tc>
      </w:tr>
      <w:tr w:rsidR="0074628E" w14:paraId="30425972" w14:textId="77777777">
        <w:tblPrEx>
          <w:tblCellMar>
            <w:top w:w="0" w:type="dxa"/>
            <w:bottom w:w="0" w:type="dxa"/>
          </w:tblCellMar>
        </w:tblPrEx>
        <w:trPr>
          <w:cantSplit/>
        </w:trPr>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6A0D10" w14:textId="77777777" w:rsidR="0074628E" w:rsidRDefault="00000000">
            <w:pPr>
              <w:spacing w:after="40"/>
            </w:pPr>
            <w:r>
              <w:rPr>
                <w:b/>
                <w:bCs/>
                <w:sz w:val="18"/>
                <w:szCs w:val="18"/>
              </w:rPr>
              <w:t>Studenti internazionali</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840863" w14:textId="77777777" w:rsidR="0074628E" w:rsidRDefault="00000000">
            <w:pPr>
              <w:spacing w:after="40"/>
            </w:pPr>
            <w:r>
              <w:rPr>
                <w:sz w:val="18"/>
                <w:szCs w:val="18"/>
              </w:rPr>
              <w:t>20,000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42952F" w14:textId="77777777" w:rsidR="0074628E" w:rsidRDefault="00000000">
            <w:pPr>
              <w:spacing w:after="40"/>
            </w:pPr>
            <w:r>
              <w:rPr>
                <w:sz w:val="18"/>
                <w:szCs w:val="18"/>
              </w:rPr>
              <w:t>7,000</w:t>
            </w:r>
          </w:p>
        </w:tc>
        <w:tc>
          <w:tcPr>
            <w:tcW w:w="24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61F00A" w14:textId="77777777" w:rsidR="0074628E" w:rsidRDefault="00000000">
            <w:pPr>
              <w:spacing w:after="40"/>
            </w:pPr>
            <w:r>
              <w:rPr>
                <w:sz w:val="18"/>
                <w:szCs w:val="18"/>
              </w:rPr>
              <w:t>600,000-700,000</w:t>
            </w:r>
          </w:p>
        </w:tc>
      </w:tr>
    </w:tbl>
    <w:p w14:paraId="7C6E2B86" w14:textId="77777777" w:rsidR="0074628E" w:rsidRDefault="00000000">
      <w:pPr>
        <w:spacing w:before="60" w:after="160"/>
      </w:pPr>
      <w:r>
        <w:rPr>
          <w:i/>
          <w:iCs/>
          <w:color w:val="595959"/>
          <w:sz w:val="18"/>
          <w:szCs w:val="18"/>
        </w:rPr>
        <w:t xml:space="preserve">Fonti: QS World University Rankings 2026 (topuniversities.com); Comune di Milano; Doris e </w:t>
      </w:r>
      <w:proofErr w:type="spellStart"/>
      <w:r>
        <w:rPr>
          <w:i/>
          <w:iCs/>
          <w:color w:val="595959"/>
          <w:sz w:val="18"/>
          <w:szCs w:val="18"/>
        </w:rPr>
        <w:t>WhereNext</w:t>
      </w:r>
      <w:proofErr w:type="spellEnd"/>
      <w:r>
        <w:rPr>
          <w:i/>
          <w:iCs/>
          <w:color w:val="595959"/>
          <w:sz w:val="18"/>
          <w:szCs w:val="18"/>
        </w:rPr>
        <w:t xml:space="preserve"> (directory di scuole, fonti non ufficiali); GLA, London in Figures.</w:t>
      </w:r>
    </w:p>
    <w:p w14:paraId="2988ADF7" w14:textId="77777777" w:rsidR="0074628E" w:rsidRDefault="00000000">
      <w:pPr>
        <w:pStyle w:val="Titolo2"/>
      </w:pPr>
      <w:r>
        <w:t>Approfondimento per città</w:t>
      </w:r>
    </w:p>
    <w:p w14:paraId="7B86A0FD" w14:textId="77777777" w:rsidR="0074628E" w:rsidRDefault="00000000">
      <w:pPr>
        <w:pStyle w:val="Titolo3"/>
      </w:pPr>
      <w:r>
        <w:t>Milano (Italia)</w:t>
      </w:r>
    </w:p>
    <w:p w14:paraId="76DAF5F4" w14:textId="77777777" w:rsidR="0074628E" w:rsidRDefault="00000000">
      <w:pPr>
        <w:spacing w:after="120" w:line="276" w:lineRule="auto"/>
      </w:pPr>
      <w:r>
        <w:t>Milano ospita diverse istituzioni di istruzione superiore di rilievo, tra cui l'Università Bocconi, il Politecnico di Milano, l'Università degli Studi di Milano e l'Università Cattolica del Sacro Cuore.</w:t>
      </w:r>
    </w:p>
    <w:p w14:paraId="491A8EFF" w14:textId="77777777" w:rsidR="0074628E" w:rsidRDefault="00000000">
      <w:pPr>
        <w:spacing w:after="120" w:line="276" w:lineRule="auto"/>
      </w:pPr>
      <w:r>
        <w:t>Queste istituzioni sostengono l'offerta locale di laureati in finanza, economia, ingegneria, matematica, diritto e management. Le scuole internazionali sono inoltre rilevanti per le famiglie facoltose che valutano il trasferimento.</w:t>
      </w:r>
    </w:p>
    <w:p w14:paraId="1AECA222" w14:textId="77777777" w:rsidR="0074628E" w:rsidRDefault="00000000">
      <w:pPr>
        <w:spacing w:after="120" w:line="276" w:lineRule="auto"/>
      </w:pPr>
      <w:r>
        <w:t>La ricerca dovrebbe misurare:</w:t>
      </w:r>
    </w:p>
    <w:p w14:paraId="0314AF7F" w14:textId="77777777" w:rsidR="0074628E" w:rsidRDefault="00000000">
      <w:pPr>
        <w:pStyle w:val="Paragrafoelenco"/>
        <w:numPr>
          <w:ilvl w:val="0"/>
          <w:numId w:val="2"/>
        </w:numPr>
        <w:spacing w:after="60" w:line="264" w:lineRule="auto"/>
      </w:pPr>
      <w:r>
        <w:t>Numero di università e istituzioni classificate a livello internazionale.</w:t>
      </w:r>
    </w:p>
    <w:p w14:paraId="4B9D5701" w14:textId="77777777" w:rsidR="0074628E" w:rsidRDefault="00000000">
      <w:pPr>
        <w:pStyle w:val="Paragrafoelenco"/>
        <w:numPr>
          <w:ilvl w:val="0"/>
          <w:numId w:val="2"/>
        </w:numPr>
        <w:spacing w:after="60" w:line="264" w:lineRule="auto"/>
      </w:pPr>
      <w:r>
        <w:t xml:space="preserve">Classifiche universitarie in finanza, economia </w:t>
      </w:r>
      <w:proofErr w:type="gramStart"/>
      <w:r>
        <w:t>e business</w:t>
      </w:r>
      <w:proofErr w:type="gramEnd"/>
      <w:r>
        <w:t>.</w:t>
      </w:r>
    </w:p>
    <w:p w14:paraId="6E1FA039" w14:textId="77777777" w:rsidR="0074628E" w:rsidRDefault="00000000">
      <w:pPr>
        <w:pStyle w:val="Paragrafoelenco"/>
        <w:numPr>
          <w:ilvl w:val="0"/>
          <w:numId w:val="2"/>
        </w:numPr>
        <w:spacing w:after="60" w:line="264" w:lineRule="auto"/>
      </w:pPr>
      <w:r>
        <w:t>Studenti internazionali come quota del totale degli iscritti.</w:t>
      </w:r>
    </w:p>
    <w:p w14:paraId="4E5299E6" w14:textId="77777777" w:rsidR="0074628E" w:rsidRDefault="00000000">
      <w:pPr>
        <w:pStyle w:val="Paragrafoelenco"/>
        <w:numPr>
          <w:ilvl w:val="0"/>
          <w:numId w:val="2"/>
        </w:numPr>
        <w:spacing w:after="60" w:line="264" w:lineRule="auto"/>
      </w:pPr>
      <w:r>
        <w:t>Numero di corsi di laurea in lingua inglese.</w:t>
      </w:r>
    </w:p>
    <w:p w14:paraId="51E6FBAC" w14:textId="77777777" w:rsidR="0074628E" w:rsidRDefault="00000000">
      <w:pPr>
        <w:pStyle w:val="Paragrafoelenco"/>
        <w:numPr>
          <w:ilvl w:val="0"/>
          <w:numId w:val="2"/>
        </w:numPr>
        <w:spacing w:after="60" w:line="264" w:lineRule="auto"/>
      </w:pPr>
      <w:r>
        <w:t>Laureati in finanza e discipline quantitative.</w:t>
      </w:r>
    </w:p>
    <w:p w14:paraId="2551DDA3" w14:textId="77777777" w:rsidR="0074628E" w:rsidRDefault="00000000">
      <w:pPr>
        <w:pStyle w:val="Paragrafoelenco"/>
        <w:numPr>
          <w:ilvl w:val="0"/>
          <w:numId w:val="2"/>
        </w:numPr>
        <w:spacing w:after="60" w:line="264" w:lineRule="auto"/>
      </w:pPr>
      <w:r>
        <w:t>Numero di scuole internazionali e rette annuali.</w:t>
      </w:r>
    </w:p>
    <w:p w14:paraId="50B07C1F" w14:textId="77777777" w:rsidR="0074628E" w:rsidRDefault="00000000">
      <w:pPr>
        <w:spacing w:after="120" w:line="276" w:lineRule="auto"/>
      </w:pPr>
      <w:r>
        <w:t>L'ecosistema formativo è chiaramente identificabile, ma resta da completare un confronto quantitativo su iscritti internazionali, classifiche e rette scolastiche.</w:t>
      </w:r>
    </w:p>
    <w:p w14:paraId="1D969D29" w14:textId="77777777" w:rsidR="0074628E" w:rsidRDefault="00000000">
      <w:pPr>
        <w:keepNext/>
        <w:spacing w:before="80" w:after="60"/>
      </w:pPr>
      <w:r>
        <w:rPr>
          <w:b/>
          <w:bCs/>
          <w:sz w:val="20"/>
          <w:szCs w:val="20"/>
        </w:rPr>
        <w:t>Fonti e link</w:t>
      </w:r>
    </w:p>
    <w:p w14:paraId="3617F6F3" w14:textId="77777777" w:rsidR="0074628E" w:rsidRDefault="00000000">
      <w:pPr>
        <w:pStyle w:val="Paragrafoelenco"/>
        <w:numPr>
          <w:ilvl w:val="0"/>
          <w:numId w:val="2"/>
        </w:numPr>
        <w:spacing w:after="40"/>
      </w:pPr>
      <w:hyperlink r:id="rId91" w:history="1">
        <w:proofErr w:type="spellStart"/>
        <w:r>
          <w:rPr>
            <w:rStyle w:val="Collegamentoipertestuale"/>
            <w:sz w:val="20"/>
            <w:szCs w:val="20"/>
          </w:rPr>
          <w:t>Italian</w:t>
        </w:r>
        <w:proofErr w:type="spellEnd"/>
        <w:r>
          <w:rPr>
            <w:rStyle w:val="Collegamentoipertestuale"/>
            <w:sz w:val="20"/>
            <w:szCs w:val="20"/>
          </w:rPr>
          <w:t xml:space="preserve"> </w:t>
        </w:r>
        <w:proofErr w:type="spellStart"/>
        <w:r>
          <w:rPr>
            <w:rStyle w:val="Collegamentoipertestuale"/>
            <w:sz w:val="20"/>
            <w:szCs w:val="20"/>
          </w:rPr>
          <w:t>Ministry</w:t>
        </w:r>
        <w:proofErr w:type="spellEnd"/>
        <w:r>
          <w:rPr>
            <w:rStyle w:val="Collegamentoipertestuale"/>
            <w:sz w:val="20"/>
            <w:szCs w:val="20"/>
          </w:rPr>
          <w:t xml:space="preserve"> of University and Research</w:t>
        </w:r>
      </w:hyperlink>
    </w:p>
    <w:p w14:paraId="5069A5F0" w14:textId="77777777" w:rsidR="0074628E" w:rsidRDefault="00000000">
      <w:pPr>
        <w:pStyle w:val="Paragrafoelenco"/>
        <w:numPr>
          <w:ilvl w:val="0"/>
          <w:numId w:val="2"/>
        </w:numPr>
        <w:spacing w:after="40"/>
      </w:pPr>
      <w:hyperlink r:id="rId92" w:history="1">
        <w:r>
          <w:rPr>
            <w:rStyle w:val="Collegamentoipertestuale"/>
            <w:sz w:val="20"/>
            <w:szCs w:val="20"/>
          </w:rPr>
          <w:t>Bocconi University</w:t>
        </w:r>
      </w:hyperlink>
    </w:p>
    <w:p w14:paraId="000FC3FB" w14:textId="77777777" w:rsidR="0074628E" w:rsidRDefault="00000000">
      <w:pPr>
        <w:pStyle w:val="Paragrafoelenco"/>
        <w:numPr>
          <w:ilvl w:val="0"/>
          <w:numId w:val="2"/>
        </w:numPr>
        <w:spacing w:after="40"/>
      </w:pPr>
      <w:hyperlink r:id="rId93" w:history="1">
        <w:r>
          <w:rPr>
            <w:rStyle w:val="Collegamentoipertestuale"/>
            <w:sz w:val="20"/>
            <w:szCs w:val="20"/>
          </w:rPr>
          <w:t>Politecnico di Milano</w:t>
        </w:r>
      </w:hyperlink>
    </w:p>
    <w:p w14:paraId="77DE14D9" w14:textId="77777777" w:rsidR="0074628E" w:rsidRDefault="00000000">
      <w:pPr>
        <w:pStyle w:val="Paragrafoelenco"/>
        <w:numPr>
          <w:ilvl w:val="0"/>
          <w:numId w:val="2"/>
        </w:numPr>
        <w:spacing w:after="40"/>
      </w:pPr>
      <w:hyperlink r:id="rId94" w:history="1">
        <w:r>
          <w:rPr>
            <w:rStyle w:val="Collegamentoipertestuale"/>
            <w:sz w:val="20"/>
            <w:szCs w:val="20"/>
          </w:rPr>
          <w:t>QS World University Rankings</w:t>
        </w:r>
      </w:hyperlink>
    </w:p>
    <w:p w14:paraId="1DD2D088" w14:textId="77777777" w:rsidR="0074628E" w:rsidRDefault="00000000">
      <w:pPr>
        <w:pStyle w:val="Paragrafoelenco"/>
        <w:numPr>
          <w:ilvl w:val="0"/>
          <w:numId w:val="2"/>
        </w:numPr>
        <w:spacing w:after="40"/>
      </w:pPr>
      <w:hyperlink r:id="rId95" w:history="1">
        <w:r>
          <w:rPr>
            <w:rStyle w:val="Collegamentoipertestuale"/>
            <w:sz w:val="20"/>
            <w:szCs w:val="20"/>
          </w:rPr>
          <w:t xml:space="preserve">Times </w:t>
        </w:r>
        <w:proofErr w:type="spellStart"/>
        <w:r>
          <w:rPr>
            <w:rStyle w:val="Collegamentoipertestuale"/>
            <w:sz w:val="20"/>
            <w:szCs w:val="20"/>
          </w:rPr>
          <w:t>Higher</w:t>
        </w:r>
        <w:proofErr w:type="spellEnd"/>
        <w:r>
          <w:rPr>
            <w:rStyle w:val="Collegamentoipertestuale"/>
            <w:sz w:val="20"/>
            <w:szCs w:val="20"/>
          </w:rPr>
          <w:t xml:space="preserve"> </w:t>
        </w:r>
        <w:proofErr w:type="spellStart"/>
        <w:r>
          <w:rPr>
            <w:rStyle w:val="Collegamentoipertestuale"/>
            <w:sz w:val="20"/>
            <w:szCs w:val="20"/>
          </w:rPr>
          <w:t>Education</w:t>
        </w:r>
        <w:proofErr w:type="spellEnd"/>
      </w:hyperlink>
    </w:p>
    <w:p w14:paraId="3B96B0B9" w14:textId="77777777" w:rsidR="0074628E" w:rsidRDefault="00000000">
      <w:pPr>
        <w:pStyle w:val="Titolo3"/>
      </w:pPr>
      <w:r>
        <w:t>Ginevra (Svizzera)</w:t>
      </w:r>
    </w:p>
    <w:p w14:paraId="1F066F58" w14:textId="77777777" w:rsidR="0074628E" w:rsidRDefault="00000000">
      <w:pPr>
        <w:spacing w:after="120" w:line="276" w:lineRule="auto"/>
      </w:pPr>
      <w:r>
        <w:t>Ginevra offre un ambiente educativo internazionale, sostenuto dall'Università di Ginevra, dal Geneva Graduate Institute e da una gamma di scuole internazionali.</w:t>
      </w:r>
    </w:p>
    <w:p w14:paraId="54EA370B" w14:textId="77777777" w:rsidR="0074628E" w:rsidRDefault="00000000">
      <w:pPr>
        <w:spacing w:after="120" w:line="276" w:lineRule="auto"/>
      </w:pPr>
      <w:r>
        <w:t>Il suo carattere internazionale può essere particolarmente rilevante per le famiglie che si trasferiscono per lavoro nella finanza, nelle organizzazioni internazionali e nelle società multinazionali.</w:t>
      </w:r>
    </w:p>
    <w:p w14:paraId="384E840D" w14:textId="77777777" w:rsidR="0074628E" w:rsidRDefault="00000000">
      <w:pPr>
        <w:spacing w:after="120" w:line="276" w:lineRule="auto"/>
      </w:pPr>
      <w:r>
        <w:t>Indicatori rilevanti:</w:t>
      </w:r>
    </w:p>
    <w:p w14:paraId="372CC582" w14:textId="77777777" w:rsidR="0074628E" w:rsidRDefault="00000000">
      <w:pPr>
        <w:pStyle w:val="Paragrafoelenco"/>
        <w:numPr>
          <w:ilvl w:val="0"/>
          <w:numId w:val="2"/>
        </w:numPr>
        <w:spacing w:after="60" w:line="264" w:lineRule="auto"/>
      </w:pPr>
      <w:r>
        <w:t>Numero di università e istituzioni internazionali.</w:t>
      </w:r>
    </w:p>
    <w:p w14:paraId="4BA1DD73" w14:textId="77777777" w:rsidR="0074628E" w:rsidRDefault="00000000">
      <w:pPr>
        <w:pStyle w:val="Paragrafoelenco"/>
        <w:numPr>
          <w:ilvl w:val="0"/>
          <w:numId w:val="2"/>
        </w:numPr>
        <w:spacing w:after="60" w:line="264" w:lineRule="auto"/>
      </w:pPr>
      <w:r>
        <w:t>Classifiche universitarie.</w:t>
      </w:r>
    </w:p>
    <w:p w14:paraId="1BB95AB9" w14:textId="77777777" w:rsidR="0074628E" w:rsidRDefault="00000000">
      <w:pPr>
        <w:pStyle w:val="Paragrafoelenco"/>
        <w:numPr>
          <w:ilvl w:val="0"/>
          <w:numId w:val="2"/>
        </w:numPr>
        <w:spacing w:after="60" w:line="264" w:lineRule="auto"/>
      </w:pPr>
      <w:r>
        <w:t>Studenti internazionali in percentuale degli iscritti.</w:t>
      </w:r>
    </w:p>
    <w:p w14:paraId="30DA2BCC" w14:textId="77777777" w:rsidR="0074628E" w:rsidRDefault="00000000">
      <w:pPr>
        <w:pStyle w:val="Paragrafoelenco"/>
        <w:numPr>
          <w:ilvl w:val="0"/>
          <w:numId w:val="2"/>
        </w:numPr>
        <w:spacing w:after="60" w:line="264" w:lineRule="auto"/>
      </w:pPr>
      <w:r>
        <w:t>Corsi di laurea in lingua inglese.</w:t>
      </w:r>
    </w:p>
    <w:p w14:paraId="3CCEFA9D" w14:textId="77777777" w:rsidR="0074628E" w:rsidRDefault="00000000">
      <w:pPr>
        <w:pStyle w:val="Paragrafoelenco"/>
        <w:numPr>
          <w:ilvl w:val="0"/>
          <w:numId w:val="2"/>
        </w:numPr>
        <w:spacing w:after="60" w:line="264" w:lineRule="auto"/>
      </w:pPr>
      <w:r>
        <w:t>Laureati in economia, finanza e discipline quantitative.</w:t>
      </w:r>
    </w:p>
    <w:p w14:paraId="6B713A24" w14:textId="77777777" w:rsidR="0074628E" w:rsidRDefault="00000000">
      <w:pPr>
        <w:pStyle w:val="Paragrafoelenco"/>
        <w:numPr>
          <w:ilvl w:val="0"/>
          <w:numId w:val="2"/>
        </w:numPr>
        <w:spacing w:after="60" w:line="264" w:lineRule="auto"/>
      </w:pPr>
      <w:r>
        <w:t>Numero di scuole internazionali.</w:t>
      </w:r>
    </w:p>
    <w:p w14:paraId="71D06080" w14:textId="77777777" w:rsidR="0074628E" w:rsidRDefault="00000000">
      <w:pPr>
        <w:pStyle w:val="Paragrafoelenco"/>
        <w:numPr>
          <w:ilvl w:val="0"/>
          <w:numId w:val="2"/>
        </w:numPr>
        <w:spacing w:after="60" w:line="264" w:lineRule="auto"/>
      </w:pPr>
      <w:r>
        <w:t>Rette annuali delle scuole private.</w:t>
      </w:r>
    </w:p>
    <w:p w14:paraId="6212FE37" w14:textId="77777777" w:rsidR="0074628E" w:rsidRDefault="00000000">
      <w:pPr>
        <w:spacing w:after="120" w:line="276" w:lineRule="auto"/>
      </w:pPr>
      <w:r>
        <w:t>Resta da completare un confronto quantitativo su numero di studenti internazionali, disponibilità di scuole e rette.</w:t>
      </w:r>
    </w:p>
    <w:p w14:paraId="0DAF7D98" w14:textId="77777777" w:rsidR="0074628E" w:rsidRDefault="00000000">
      <w:pPr>
        <w:keepNext/>
        <w:spacing w:before="80" w:after="60"/>
      </w:pPr>
      <w:r>
        <w:rPr>
          <w:b/>
          <w:bCs/>
          <w:sz w:val="20"/>
          <w:szCs w:val="20"/>
        </w:rPr>
        <w:t>Fonti e link</w:t>
      </w:r>
    </w:p>
    <w:p w14:paraId="2071DC21" w14:textId="77777777" w:rsidR="0074628E" w:rsidRDefault="00000000">
      <w:pPr>
        <w:pStyle w:val="Paragrafoelenco"/>
        <w:numPr>
          <w:ilvl w:val="0"/>
          <w:numId w:val="2"/>
        </w:numPr>
        <w:spacing w:after="40"/>
      </w:pPr>
      <w:hyperlink r:id="rId96" w:history="1">
        <w:r>
          <w:rPr>
            <w:rStyle w:val="Collegamentoipertestuale"/>
            <w:sz w:val="20"/>
            <w:szCs w:val="20"/>
          </w:rPr>
          <w:t>University of Geneva</w:t>
        </w:r>
      </w:hyperlink>
    </w:p>
    <w:p w14:paraId="4B16A266" w14:textId="77777777" w:rsidR="0074628E" w:rsidRDefault="00000000">
      <w:pPr>
        <w:pStyle w:val="Paragrafoelenco"/>
        <w:numPr>
          <w:ilvl w:val="0"/>
          <w:numId w:val="2"/>
        </w:numPr>
        <w:spacing w:after="40"/>
      </w:pPr>
      <w:hyperlink r:id="rId97" w:history="1">
        <w:r>
          <w:rPr>
            <w:rStyle w:val="Collegamentoipertestuale"/>
            <w:sz w:val="20"/>
            <w:szCs w:val="20"/>
          </w:rPr>
          <w:t>Geneva Graduate Institute</w:t>
        </w:r>
      </w:hyperlink>
    </w:p>
    <w:p w14:paraId="3E60F6AD" w14:textId="77777777" w:rsidR="0074628E" w:rsidRDefault="00000000">
      <w:pPr>
        <w:pStyle w:val="Paragrafoelenco"/>
        <w:numPr>
          <w:ilvl w:val="0"/>
          <w:numId w:val="2"/>
        </w:numPr>
        <w:spacing w:after="40"/>
      </w:pPr>
      <w:hyperlink r:id="rId98" w:history="1">
        <w:r>
          <w:rPr>
            <w:rStyle w:val="Collegamentoipertestuale"/>
            <w:sz w:val="20"/>
            <w:szCs w:val="20"/>
          </w:rPr>
          <w:t xml:space="preserve">Geneva </w:t>
        </w:r>
        <w:proofErr w:type="spellStart"/>
        <w:r>
          <w:rPr>
            <w:rStyle w:val="Collegamentoipertestuale"/>
            <w:sz w:val="20"/>
            <w:szCs w:val="20"/>
          </w:rPr>
          <w:t>Cantonal</w:t>
        </w:r>
        <w:proofErr w:type="spellEnd"/>
        <w:r>
          <w:rPr>
            <w:rStyle w:val="Collegamentoipertestuale"/>
            <w:sz w:val="20"/>
            <w:szCs w:val="20"/>
          </w:rPr>
          <w:t xml:space="preserve"> Statistical Office</w:t>
        </w:r>
      </w:hyperlink>
    </w:p>
    <w:p w14:paraId="28E41999" w14:textId="77777777" w:rsidR="0074628E" w:rsidRDefault="00000000">
      <w:pPr>
        <w:pStyle w:val="Paragrafoelenco"/>
        <w:numPr>
          <w:ilvl w:val="0"/>
          <w:numId w:val="2"/>
        </w:numPr>
        <w:spacing w:after="40"/>
      </w:pPr>
      <w:hyperlink r:id="rId99" w:history="1">
        <w:r>
          <w:rPr>
            <w:rStyle w:val="Collegamentoipertestuale"/>
            <w:sz w:val="20"/>
            <w:szCs w:val="20"/>
          </w:rPr>
          <w:t>QS World University Rankings</w:t>
        </w:r>
      </w:hyperlink>
    </w:p>
    <w:p w14:paraId="51B6D8C0" w14:textId="77777777" w:rsidR="0074628E" w:rsidRDefault="00000000">
      <w:pPr>
        <w:pStyle w:val="Paragrafoelenco"/>
        <w:numPr>
          <w:ilvl w:val="0"/>
          <w:numId w:val="2"/>
        </w:numPr>
        <w:spacing w:after="40"/>
      </w:pPr>
      <w:hyperlink r:id="rId100" w:history="1">
        <w:r>
          <w:rPr>
            <w:rStyle w:val="Collegamentoipertestuale"/>
            <w:sz w:val="20"/>
            <w:szCs w:val="20"/>
          </w:rPr>
          <w:t xml:space="preserve">Times </w:t>
        </w:r>
        <w:proofErr w:type="spellStart"/>
        <w:r>
          <w:rPr>
            <w:rStyle w:val="Collegamentoipertestuale"/>
            <w:sz w:val="20"/>
            <w:szCs w:val="20"/>
          </w:rPr>
          <w:t>Higher</w:t>
        </w:r>
        <w:proofErr w:type="spellEnd"/>
        <w:r>
          <w:rPr>
            <w:rStyle w:val="Collegamentoipertestuale"/>
            <w:sz w:val="20"/>
            <w:szCs w:val="20"/>
          </w:rPr>
          <w:t xml:space="preserve"> </w:t>
        </w:r>
        <w:proofErr w:type="spellStart"/>
        <w:r>
          <w:rPr>
            <w:rStyle w:val="Collegamentoipertestuale"/>
            <w:sz w:val="20"/>
            <w:szCs w:val="20"/>
          </w:rPr>
          <w:t>Education</w:t>
        </w:r>
        <w:proofErr w:type="spellEnd"/>
      </w:hyperlink>
    </w:p>
    <w:p w14:paraId="6EA6133E" w14:textId="77777777" w:rsidR="0074628E" w:rsidRDefault="00000000">
      <w:pPr>
        <w:pStyle w:val="Titolo3"/>
      </w:pPr>
      <w:r>
        <w:t>Londra (Regno Unito)</w:t>
      </w:r>
    </w:p>
    <w:p w14:paraId="743D1506" w14:textId="77777777" w:rsidR="0074628E" w:rsidRDefault="00000000">
      <w:pPr>
        <w:spacing w:after="120" w:line="276" w:lineRule="auto"/>
      </w:pPr>
      <w:r>
        <w:t xml:space="preserve">Londra ha un vasto ecosistema di istruzione superiore, che comprende la London School of Economics, lo University College London, l'Imperial College London e il </w:t>
      </w:r>
      <w:proofErr w:type="spellStart"/>
      <w:r>
        <w:t>King's</w:t>
      </w:r>
      <w:proofErr w:type="spellEnd"/>
      <w:r>
        <w:t xml:space="preserve"> College London.</w:t>
      </w:r>
    </w:p>
    <w:p w14:paraId="665C8FC6" w14:textId="77777777" w:rsidR="0074628E" w:rsidRDefault="00000000">
      <w:pPr>
        <w:spacing w:after="120" w:line="276" w:lineRule="auto"/>
      </w:pPr>
      <w:r>
        <w:t>Le università della città sostengono una forte offerta di laureati in finanza, economia, diritto, tecnologia, matematica e management. Le scuole internazionali sono inoltre rilevanti per le decisioni di relocation delle famiglie facoltose.</w:t>
      </w:r>
    </w:p>
    <w:p w14:paraId="08047DDE" w14:textId="77777777" w:rsidR="0074628E" w:rsidRDefault="00000000">
      <w:pPr>
        <w:spacing w:after="120" w:line="276" w:lineRule="auto"/>
      </w:pPr>
      <w:r>
        <w:t>Indicatori rilevanti:</w:t>
      </w:r>
    </w:p>
    <w:p w14:paraId="2F5D6672" w14:textId="77777777" w:rsidR="0074628E" w:rsidRDefault="00000000">
      <w:pPr>
        <w:pStyle w:val="Paragrafoelenco"/>
        <w:numPr>
          <w:ilvl w:val="0"/>
          <w:numId w:val="2"/>
        </w:numPr>
        <w:spacing w:after="60" w:line="264" w:lineRule="auto"/>
      </w:pPr>
      <w:r>
        <w:t>Numero di università.</w:t>
      </w:r>
    </w:p>
    <w:p w14:paraId="2D2FF11E" w14:textId="77777777" w:rsidR="0074628E" w:rsidRDefault="00000000">
      <w:pPr>
        <w:pStyle w:val="Paragrafoelenco"/>
        <w:numPr>
          <w:ilvl w:val="0"/>
          <w:numId w:val="2"/>
        </w:numPr>
        <w:spacing w:after="60" w:line="264" w:lineRule="auto"/>
      </w:pPr>
      <w:r>
        <w:t>Classifiche universitarie globali e per materia.</w:t>
      </w:r>
    </w:p>
    <w:p w14:paraId="2341CD3D" w14:textId="77777777" w:rsidR="0074628E" w:rsidRDefault="00000000">
      <w:pPr>
        <w:pStyle w:val="Paragrafoelenco"/>
        <w:numPr>
          <w:ilvl w:val="0"/>
          <w:numId w:val="2"/>
        </w:numPr>
        <w:spacing w:after="60" w:line="264" w:lineRule="auto"/>
      </w:pPr>
      <w:r>
        <w:t>Studenti internazionali.</w:t>
      </w:r>
    </w:p>
    <w:p w14:paraId="2E6B5F9F" w14:textId="77777777" w:rsidR="0074628E" w:rsidRDefault="00000000">
      <w:pPr>
        <w:pStyle w:val="Paragrafoelenco"/>
        <w:numPr>
          <w:ilvl w:val="0"/>
          <w:numId w:val="2"/>
        </w:numPr>
        <w:spacing w:after="60" w:line="264" w:lineRule="auto"/>
      </w:pPr>
      <w:r>
        <w:t>Corsi di laurea in lingua inglese.</w:t>
      </w:r>
    </w:p>
    <w:p w14:paraId="68403505" w14:textId="77777777" w:rsidR="0074628E" w:rsidRDefault="00000000">
      <w:pPr>
        <w:pStyle w:val="Paragrafoelenco"/>
        <w:numPr>
          <w:ilvl w:val="0"/>
          <w:numId w:val="2"/>
        </w:numPr>
        <w:spacing w:after="60" w:line="264" w:lineRule="auto"/>
      </w:pPr>
      <w:r>
        <w:t>Laureati in finanza e discipline quantitative.</w:t>
      </w:r>
    </w:p>
    <w:p w14:paraId="023EEDFE" w14:textId="77777777" w:rsidR="0074628E" w:rsidRDefault="00000000">
      <w:pPr>
        <w:pStyle w:val="Paragrafoelenco"/>
        <w:numPr>
          <w:ilvl w:val="0"/>
          <w:numId w:val="2"/>
        </w:numPr>
        <w:spacing w:after="60" w:line="264" w:lineRule="auto"/>
      </w:pPr>
      <w:r>
        <w:t>Numero di scuole internazionali.</w:t>
      </w:r>
    </w:p>
    <w:p w14:paraId="433CCF56" w14:textId="77777777" w:rsidR="0074628E" w:rsidRDefault="00000000">
      <w:pPr>
        <w:pStyle w:val="Paragrafoelenco"/>
        <w:numPr>
          <w:ilvl w:val="0"/>
          <w:numId w:val="2"/>
        </w:numPr>
        <w:spacing w:after="60" w:line="264" w:lineRule="auto"/>
      </w:pPr>
      <w:r>
        <w:t>Rette annuali delle scuole private.</w:t>
      </w:r>
    </w:p>
    <w:p w14:paraId="0EEAFA94" w14:textId="77777777" w:rsidR="0074628E" w:rsidRDefault="00000000">
      <w:pPr>
        <w:spacing w:after="120" w:line="276" w:lineRule="auto"/>
      </w:pPr>
      <w:r>
        <w:t>L'ecosistema universitario è ben documentato, ma le stesse definizioni di iscritti internazionali, classifiche e rette scolastiche dovrebbero essere applicate a tutte e tre le città.</w:t>
      </w:r>
    </w:p>
    <w:p w14:paraId="679BAC32" w14:textId="77777777" w:rsidR="0074628E" w:rsidRDefault="00000000">
      <w:pPr>
        <w:keepNext/>
        <w:spacing w:before="80" w:after="60"/>
      </w:pPr>
      <w:r>
        <w:rPr>
          <w:b/>
          <w:bCs/>
          <w:sz w:val="20"/>
          <w:szCs w:val="20"/>
        </w:rPr>
        <w:t>Fonti e link</w:t>
      </w:r>
    </w:p>
    <w:p w14:paraId="5A29EF5A" w14:textId="77777777" w:rsidR="0074628E" w:rsidRDefault="00000000">
      <w:pPr>
        <w:pStyle w:val="Paragrafoelenco"/>
        <w:numPr>
          <w:ilvl w:val="0"/>
          <w:numId w:val="2"/>
        </w:numPr>
        <w:spacing w:after="40"/>
      </w:pPr>
      <w:hyperlink r:id="rId101" w:history="1">
        <w:r>
          <w:rPr>
            <w:rStyle w:val="Collegamentoipertestuale"/>
            <w:sz w:val="20"/>
            <w:szCs w:val="20"/>
          </w:rPr>
          <w:t>Greater London Authority — London in Figures</w:t>
        </w:r>
      </w:hyperlink>
    </w:p>
    <w:p w14:paraId="15D02CD6" w14:textId="77777777" w:rsidR="0074628E" w:rsidRDefault="00000000">
      <w:pPr>
        <w:pStyle w:val="Paragrafoelenco"/>
        <w:numPr>
          <w:ilvl w:val="0"/>
          <w:numId w:val="2"/>
        </w:numPr>
        <w:spacing w:after="40"/>
      </w:pPr>
      <w:hyperlink r:id="rId102" w:history="1">
        <w:r>
          <w:rPr>
            <w:rStyle w:val="Collegamentoipertestuale"/>
            <w:sz w:val="20"/>
            <w:szCs w:val="20"/>
          </w:rPr>
          <w:t>London School of Economics</w:t>
        </w:r>
      </w:hyperlink>
    </w:p>
    <w:p w14:paraId="6E54B8C0" w14:textId="77777777" w:rsidR="0074628E" w:rsidRDefault="00000000">
      <w:pPr>
        <w:pStyle w:val="Paragrafoelenco"/>
        <w:numPr>
          <w:ilvl w:val="0"/>
          <w:numId w:val="2"/>
        </w:numPr>
        <w:spacing w:after="40"/>
      </w:pPr>
      <w:hyperlink r:id="rId103" w:history="1">
        <w:r>
          <w:rPr>
            <w:rStyle w:val="Collegamentoipertestuale"/>
            <w:sz w:val="20"/>
            <w:szCs w:val="20"/>
          </w:rPr>
          <w:t>University College London</w:t>
        </w:r>
      </w:hyperlink>
    </w:p>
    <w:p w14:paraId="434081A1" w14:textId="77777777" w:rsidR="0074628E" w:rsidRDefault="00000000">
      <w:pPr>
        <w:pStyle w:val="Paragrafoelenco"/>
        <w:numPr>
          <w:ilvl w:val="0"/>
          <w:numId w:val="2"/>
        </w:numPr>
        <w:spacing w:after="40"/>
      </w:pPr>
      <w:hyperlink r:id="rId104" w:history="1">
        <w:r>
          <w:rPr>
            <w:rStyle w:val="Collegamentoipertestuale"/>
            <w:sz w:val="20"/>
            <w:szCs w:val="20"/>
          </w:rPr>
          <w:t>Imperial College London</w:t>
        </w:r>
      </w:hyperlink>
    </w:p>
    <w:p w14:paraId="1CB9DC46" w14:textId="77777777" w:rsidR="0074628E" w:rsidRDefault="00000000">
      <w:pPr>
        <w:pStyle w:val="Paragrafoelenco"/>
        <w:numPr>
          <w:ilvl w:val="0"/>
          <w:numId w:val="2"/>
        </w:numPr>
        <w:spacing w:after="40"/>
      </w:pPr>
      <w:hyperlink r:id="rId105" w:history="1">
        <w:proofErr w:type="spellStart"/>
        <w:r>
          <w:rPr>
            <w:rStyle w:val="Collegamentoipertestuale"/>
            <w:sz w:val="20"/>
            <w:szCs w:val="20"/>
          </w:rPr>
          <w:t>King's</w:t>
        </w:r>
        <w:proofErr w:type="spellEnd"/>
        <w:r>
          <w:rPr>
            <w:rStyle w:val="Collegamentoipertestuale"/>
            <w:sz w:val="20"/>
            <w:szCs w:val="20"/>
          </w:rPr>
          <w:t xml:space="preserve"> College London</w:t>
        </w:r>
      </w:hyperlink>
    </w:p>
    <w:p w14:paraId="21443AA7" w14:textId="77777777" w:rsidR="0074628E" w:rsidRDefault="00000000">
      <w:pPr>
        <w:pStyle w:val="Paragrafoelenco"/>
        <w:numPr>
          <w:ilvl w:val="0"/>
          <w:numId w:val="2"/>
        </w:numPr>
        <w:spacing w:after="40"/>
      </w:pPr>
      <w:hyperlink r:id="rId106" w:history="1">
        <w:r>
          <w:rPr>
            <w:rStyle w:val="Collegamentoipertestuale"/>
            <w:sz w:val="20"/>
            <w:szCs w:val="20"/>
          </w:rPr>
          <w:t>QS World University Rankings</w:t>
        </w:r>
      </w:hyperlink>
    </w:p>
    <w:p w14:paraId="518AEE9C" w14:textId="77777777" w:rsidR="0074628E" w:rsidRDefault="00000000">
      <w:pPr>
        <w:pStyle w:val="Titolo1"/>
      </w:pPr>
      <w:r>
        <w:t>Interpretazione comparativa</w:t>
      </w:r>
    </w:p>
    <w:p w14:paraId="59F0BD9F" w14:textId="77777777" w:rsidR="0074628E" w:rsidRDefault="00000000">
      <w:pPr>
        <w:spacing w:after="120" w:line="276" w:lineRule="auto"/>
      </w:pPr>
      <w:r>
        <w:t>Le evidenze raccolte finora suggeriscono che le tre destinazioni abbiano punti di forza diversi.</w:t>
      </w:r>
    </w:p>
    <w:p w14:paraId="03A76CA2" w14:textId="77777777" w:rsidR="0074628E" w:rsidRDefault="00000000">
      <w:pPr>
        <w:spacing w:after="120" w:line="276" w:lineRule="auto"/>
      </w:pPr>
      <w:r>
        <w:rPr>
          <w:b/>
          <w:bCs/>
        </w:rPr>
        <w:t>Milano</w:t>
      </w:r>
      <w:r>
        <w:t xml:space="preserve"> combina una consistente popolazione di milionari con un ampio ecosistema imprenditoriale e di imprese. Il regime fiscale speciale per i nuovi residenti qualificati è un elemento importante della sua potenziale attrattività, mentre la disponibilità di dati comparabili su AUM e private banking resta una priorità di ricerca.</w:t>
      </w:r>
    </w:p>
    <w:p w14:paraId="48FF3D98" w14:textId="77777777" w:rsidR="0074628E" w:rsidRDefault="00000000">
      <w:pPr>
        <w:spacing w:after="120" w:line="276" w:lineRule="auto"/>
      </w:pPr>
      <w:r>
        <w:rPr>
          <w:b/>
          <w:bCs/>
        </w:rPr>
        <w:t>Ginevra</w:t>
      </w:r>
      <w:r>
        <w:t xml:space="preserve"> ha la più chiara concentrazione di servizi finanziari specializzati in rapporto alla popolazione. La presenza di 80 banche, di oltre 4.600 gestori patrimoniali e altri intermediari finanziari e di circa 38.000 posti di lavoro nella finanza e nei servizi professionali collegati evidenzia l'importanza del wealth management per l'economia cantonale.</w:t>
      </w:r>
    </w:p>
    <w:p w14:paraId="02EAD9A6" w14:textId="77777777" w:rsidR="0074628E" w:rsidRDefault="00000000">
      <w:pPr>
        <w:spacing w:after="120" w:line="276" w:lineRule="auto"/>
      </w:pPr>
      <w:r>
        <w:rPr>
          <w:b/>
          <w:bCs/>
        </w:rPr>
        <w:t>Londra</w:t>
      </w:r>
      <w:r>
        <w:t xml:space="preserve"> ha la popolazione più numerosa e l'ecosistema economico più ampio delle tre. Ha inoltre una consistente popolazione di milionari e un settore del wealth management profondo. Tuttavia, gli alti costi abitativi e le modifiche al trattamento fiscale dei residenti internazionalmente mobili vanno considerati nel valutare la sua capacità di attrarre e trattenere famiglie facoltose.</w:t>
      </w:r>
    </w:p>
    <w:p w14:paraId="06AC583A" w14:textId="77777777" w:rsidR="0074628E" w:rsidRDefault="00000000">
      <w:pPr>
        <w:spacing w:after="120" w:line="276" w:lineRule="auto"/>
      </w:pPr>
      <w:r>
        <w:t>Queste conclusioni sono preliminari. Dovrebbero essere verificate su un dataset più completo di indicatori comparabili su ricchezza, AUM, fiscalità, immobiliare e migrazione.</w:t>
      </w:r>
    </w:p>
    <w:sectPr w:rsidR="0074628E">
      <w:footerReference w:type="default" r:id="rId10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FE9BD" w14:textId="77777777" w:rsidR="00F24E50" w:rsidRDefault="00F24E50">
      <w:r>
        <w:separator/>
      </w:r>
    </w:p>
  </w:endnote>
  <w:endnote w:type="continuationSeparator" w:id="0">
    <w:p w14:paraId="4F1B606D" w14:textId="77777777" w:rsidR="00F24E50" w:rsidRDefault="00F24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66539" w14:textId="77777777" w:rsidR="0074628E" w:rsidRDefault="00000000">
    <w:pPr>
      <w:jc w:val="center"/>
    </w:pPr>
    <w:r>
      <w:rPr>
        <w:color w:val="7F7F7F"/>
        <w:sz w:val="16"/>
        <w:szCs w:val="16"/>
      </w:rPr>
      <w:t xml:space="preserve">Benchmark Milano – Ginevra – </w:t>
    </w:r>
    <w:proofErr w:type="gramStart"/>
    <w:r>
      <w:rPr>
        <w:color w:val="7F7F7F"/>
        <w:sz w:val="16"/>
        <w:szCs w:val="16"/>
      </w:rPr>
      <w:t>Londra  |</w:t>
    </w:r>
    <w:proofErr w:type="gramEnd"/>
    <w:r>
      <w:rPr>
        <w:color w:val="7F7F7F"/>
        <w:sz w:val="16"/>
        <w:szCs w:val="16"/>
      </w:rPr>
      <w:t xml:space="preserve">  pagina </w:t>
    </w:r>
    <w:r>
      <w:rPr>
        <w:color w:val="7F7F7F"/>
        <w:sz w:val="16"/>
        <w:szCs w:val="16"/>
      </w:rPr>
      <w:fldChar w:fldCharType="begin"/>
    </w:r>
    <w:r>
      <w:rPr>
        <w:color w:val="7F7F7F"/>
        <w:sz w:val="16"/>
        <w:szCs w:val="16"/>
      </w:rPr>
      <w:instrText>PAGE</w:instrText>
    </w:r>
    <w:r>
      <w:rPr>
        <w:color w:val="7F7F7F"/>
        <w:sz w:val="16"/>
        <w:szCs w:val="16"/>
      </w:rPr>
      <w:fldChar w:fldCharType="separate"/>
    </w:r>
    <w:r w:rsidR="00034606">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EF62F3" w14:textId="77777777" w:rsidR="00F24E50" w:rsidRDefault="00F24E50">
      <w:r>
        <w:separator/>
      </w:r>
    </w:p>
  </w:footnote>
  <w:footnote w:type="continuationSeparator" w:id="0">
    <w:p w14:paraId="33B18364" w14:textId="77777777" w:rsidR="00F24E50" w:rsidRDefault="00F24E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82549"/>
    <w:multiLevelType w:val="hybridMultilevel"/>
    <w:tmpl w:val="388849D6"/>
    <w:lvl w:ilvl="0" w:tplc="F1A61C62">
      <w:start w:val="1"/>
      <w:numFmt w:val="decimal"/>
      <w:lvlText w:val="%1."/>
      <w:lvlJc w:val="left"/>
      <w:pPr>
        <w:ind w:left="540" w:hanging="360"/>
      </w:pPr>
    </w:lvl>
    <w:lvl w:ilvl="1" w:tplc="66461B88">
      <w:numFmt w:val="decimal"/>
      <w:lvlText w:val=""/>
      <w:lvlJc w:val="left"/>
    </w:lvl>
    <w:lvl w:ilvl="2" w:tplc="9B5A7B3C">
      <w:numFmt w:val="decimal"/>
      <w:lvlText w:val=""/>
      <w:lvlJc w:val="left"/>
    </w:lvl>
    <w:lvl w:ilvl="3" w:tplc="2F842F36">
      <w:numFmt w:val="decimal"/>
      <w:lvlText w:val=""/>
      <w:lvlJc w:val="left"/>
    </w:lvl>
    <w:lvl w:ilvl="4" w:tplc="8E9EE216">
      <w:numFmt w:val="decimal"/>
      <w:lvlText w:val=""/>
      <w:lvlJc w:val="left"/>
    </w:lvl>
    <w:lvl w:ilvl="5" w:tplc="FEDE2996">
      <w:numFmt w:val="decimal"/>
      <w:lvlText w:val=""/>
      <w:lvlJc w:val="left"/>
    </w:lvl>
    <w:lvl w:ilvl="6" w:tplc="BBA40F12">
      <w:numFmt w:val="decimal"/>
      <w:lvlText w:val=""/>
      <w:lvlJc w:val="left"/>
    </w:lvl>
    <w:lvl w:ilvl="7" w:tplc="612EA8E6">
      <w:numFmt w:val="decimal"/>
      <w:lvlText w:val=""/>
      <w:lvlJc w:val="left"/>
    </w:lvl>
    <w:lvl w:ilvl="8" w:tplc="F3A482D4">
      <w:numFmt w:val="decimal"/>
      <w:lvlText w:val=""/>
      <w:lvlJc w:val="left"/>
    </w:lvl>
  </w:abstractNum>
  <w:abstractNum w:abstractNumId="1" w15:restartNumberingAfterBreak="0">
    <w:nsid w:val="3E5514D2"/>
    <w:multiLevelType w:val="hybridMultilevel"/>
    <w:tmpl w:val="D904F8E0"/>
    <w:lvl w:ilvl="0" w:tplc="695C5BA6">
      <w:start w:val="1"/>
      <w:numFmt w:val="bullet"/>
      <w:lvlText w:val="•"/>
      <w:lvlJc w:val="left"/>
      <w:pPr>
        <w:ind w:left="540" w:hanging="270"/>
      </w:pPr>
    </w:lvl>
    <w:lvl w:ilvl="1" w:tplc="87BA82B8">
      <w:numFmt w:val="decimal"/>
      <w:lvlText w:val=""/>
      <w:lvlJc w:val="left"/>
    </w:lvl>
    <w:lvl w:ilvl="2" w:tplc="468AA6B2">
      <w:numFmt w:val="decimal"/>
      <w:lvlText w:val=""/>
      <w:lvlJc w:val="left"/>
    </w:lvl>
    <w:lvl w:ilvl="3" w:tplc="92AE8714">
      <w:numFmt w:val="decimal"/>
      <w:lvlText w:val=""/>
      <w:lvlJc w:val="left"/>
    </w:lvl>
    <w:lvl w:ilvl="4" w:tplc="9A6EE87A">
      <w:numFmt w:val="decimal"/>
      <w:lvlText w:val=""/>
      <w:lvlJc w:val="left"/>
    </w:lvl>
    <w:lvl w:ilvl="5" w:tplc="208CFAB8">
      <w:numFmt w:val="decimal"/>
      <w:lvlText w:val=""/>
      <w:lvlJc w:val="left"/>
    </w:lvl>
    <w:lvl w:ilvl="6" w:tplc="1EA0392E">
      <w:numFmt w:val="decimal"/>
      <w:lvlText w:val=""/>
      <w:lvlJc w:val="left"/>
    </w:lvl>
    <w:lvl w:ilvl="7" w:tplc="206654A0">
      <w:numFmt w:val="decimal"/>
      <w:lvlText w:val=""/>
      <w:lvlJc w:val="left"/>
    </w:lvl>
    <w:lvl w:ilvl="8" w:tplc="D26613BC">
      <w:numFmt w:val="decimal"/>
      <w:lvlText w:val=""/>
      <w:lvlJc w:val="left"/>
    </w:lvl>
  </w:abstractNum>
  <w:abstractNum w:abstractNumId="2" w15:restartNumberingAfterBreak="0">
    <w:nsid w:val="7CD003F6"/>
    <w:multiLevelType w:val="hybridMultilevel"/>
    <w:tmpl w:val="33C0AAA0"/>
    <w:lvl w:ilvl="0" w:tplc="507AE0EC">
      <w:start w:val="1"/>
      <w:numFmt w:val="bullet"/>
      <w:lvlText w:val="●"/>
      <w:lvlJc w:val="left"/>
      <w:pPr>
        <w:ind w:left="720" w:hanging="360"/>
      </w:pPr>
    </w:lvl>
    <w:lvl w:ilvl="1" w:tplc="482E6F4C">
      <w:start w:val="1"/>
      <w:numFmt w:val="bullet"/>
      <w:lvlText w:val="○"/>
      <w:lvlJc w:val="left"/>
      <w:pPr>
        <w:ind w:left="1440" w:hanging="360"/>
      </w:pPr>
    </w:lvl>
    <w:lvl w:ilvl="2" w:tplc="4DE8221A">
      <w:start w:val="1"/>
      <w:numFmt w:val="bullet"/>
      <w:lvlText w:val="■"/>
      <w:lvlJc w:val="left"/>
      <w:pPr>
        <w:ind w:left="2160" w:hanging="360"/>
      </w:pPr>
    </w:lvl>
    <w:lvl w:ilvl="3" w:tplc="C854C50E">
      <w:start w:val="1"/>
      <w:numFmt w:val="bullet"/>
      <w:lvlText w:val="●"/>
      <w:lvlJc w:val="left"/>
      <w:pPr>
        <w:ind w:left="2880" w:hanging="360"/>
      </w:pPr>
    </w:lvl>
    <w:lvl w:ilvl="4" w:tplc="55B68CE0">
      <w:start w:val="1"/>
      <w:numFmt w:val="bullet"/>
      <w:lvlText w:val="○"/>
      <w:lvlJc w:val="left"/>
      <w:pPr>
        <w:ind w:left="3600" w:hanging="360"/>
      </w:pPr>
    </w:lvl>
    <w:lvl w:ilvl="5" w:tplc="17F20886">
      <w:start w:val="1"/>
      <w:numFmt w:val="bullet"/>
      <w:lvlText w:val="■"/>
      <w:lvlJc w:val="left"/>
      <w:pPr>
        <w:ind w:left="4320" w:hanging="360"/>
      </w:pPr>
    </w:lvl>
    <w:lvl w:ilvl="6" w:tplc="416E8C24">
      <w:start w:val="1"/>
      <w:numFmt w:val="bullet"/>
      <w:lvlText w:val="●"/>
      <w:lvlJc w:val="left"/>
      <w:pPr>
        <w:ind w:left="5040" w:hanging="360"/>
      </w:pPr>
    </w:lvl>
    <w:lvl w:ilvl="7" w:tplc="A6F0EB10">
      <w:start w:val="1"/>
      <w:numFmt w:val="bullet"/>
      <w:lvlText w:val="●"/>
      <w:lvlJc w:val="left"/>
      <w:pPr>
        <w:ind w:left="5760" w:hanging="360"/>
      </w:pPr>
    </w:lvl>
    <w:lvl w:ilvl="8" w:tplc="6B3A0158">
      <w:start w:val="1"/>
      <w:numFmt w:val="bullet"/>
      <w:lvlText w:val="●"/>
      <w:lvlJc w:val="left"/>
      <w:pPr>
        <w:ind w:left="6480" w:hanging="360"/>
      </w:pPr>
    </w:lvl>
  </w:abstractNum>
  <w:num w:numId="1" w16cid:durableId="287201933">
    <w:abstractNumId w:val="2"/>
    <w:lvlOverride w:ilvl="0">
      <w:startOverride w:val="1"/>
    </w:lvlOverride>
  </w:num>
  <w:num w:numId="2" w16cid:durableId="569190806">
    <w:abstractNumId w:val="1"/>
    <w:lvlOverride w:ilvl="0">
      <w:startOverride w:val="1"/>
    </w:lvlOverride>
  </w:num>
  <w:num w:numId="3" w16cid:durableId="19145119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28E"/>
    <w:rsid w:val="00034606"/>
    <w:rsid w:val="004478AA"/>
    <w:rsid w:val="0074628E"/>
    <w:rsid w:val="00BF09CF"/>
    <w:rsid w:val="00F24E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3B8E808"/>
  <w15:docId w15:val="{EA83B0A8-C401-8244-A3FE-47BDCE2C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keepNext/>
      <w:spacing w:before="360" w:after="160"/>
      <w:outlineLvl w:val="0"/>
    </w:pPr>
    <w:rPr>
      <w:b/>
      <w:bCs/>
      <w:color w:val="1F3864"/>
      <w:sz w:val="30"/>
      <w:szCs w:val="30"/>
    </w:rPr>
  </w:style>
  <w:style w:type="paragraph" w:styleId="Titolo2">
    <w:name w:val="heading 2"/>
    <w:uiPriority w:val="9"/>
    <w:unhideWhenUsed/>
    <w:qFormat/>
    <w:pPr>
      <w:keepNext/>
      <w:spacing w:before="240" w:after="120"/>
      <w:outlineLvl w:val="1"/>
    </w:pPr>
    <w:rPr>
      <w:b/>
      <w:bCs/>
      <w:color w:val="2F5496"/>
      <w:sz w:val="25"/>
      <w:szCs w:val="25"/>
    </w:rPr>
  </w:style>
  <w:style w:type="paragraph" w:styleId="Titolo3">
    <w:name w:val="heading 3"/>
    <w:uiPriority w:val="9"/>
    <w:unhideWhenUsed/>
    <w:qFormat/>
    <w:pPr>
      <w:keepNext/>
      <w:spacing w:before="200" w:after="100"/>
      <w:outlineLvl w:val="2"/>
    </w:pPr>
    <w:rPr>
      <w:b/>
      <w:bCs/>
      <w:color w:val="404040"/>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ti.comune.milano.it/" TargetMode="External"/><Relationship Id="rId21" Type="http://schemas.openxmlformats.org/officeDocument/2006/relationships/hyperlink" Target="https://www.fca.org.uk/data/wealth-management-survey-report-2026" TargetMode="External"/><Relationship Id="rId42" Type="http://schemas.openxmlformats.org/officeDocument/2006/relationships/hyperlink" Target="https://www.finma.ch/" TargetMode="External"/><Relationship Id="rId47" Type="http://schemas.openxmlformats.org/officeDocument/2006/relationships/hyperlink" Target="https://www.bankofengland.co.uk/prudential-regulation" TargetMode="External"/><Relationship Id="rId63" Type="http://schemas.openxmlformats.org/officeDocument/2006/relationships/hyperlink" Target="https://www.ge.ch/organisation/administration-fiscale-cantonale" TargetMode="External"/><Relationship Id="rId68" Type="http://schemas.openxmlformats.org/officeDocument/2006/relationships/hyperlink" Target="https://www.savills.com/research/" TargetMode="External"/><Relationship Id="rId84" Type="http://schemas.openxmlformats.org/officeDocument/2006/relationships/hyperlink" Target="https://www.ats-milano.it/" TargetMode="External"/><Relationship Id="rId89" Type="http://schemas.openxmlformats.org/officeDocument/2006/relationships/hyperlink" Target="https://www.ons.gov.uk/peoplepopulationandcommunity/healthandsocialcare" TargetMode="External"/><Relationship Id="rId16" Type="http://schemas.openxmlformats.org/officeDocument/2006/relationships/hyperlink" Target="https://www.abi.it/" TargetMode="External"/><Relationship Id="rId107" Type="http://schemas.openxmlformats.org/officeDocument/2006/relationships/footer" Target="footer1.xml"/><Relationship Id="rId11" Type="http://schemas.openxmlformats.org/officeDocument/2006/relationships/hyperlink" Target="https://www.henleyglobal.com/newsroom/press-releases/wealthiest-cities-report-2025" TargetMode="External"/><Relationship Id="rId32" Type="http://schemas.openxmlformats.org/officeDocument/2006/relationships/hyperlink" Target="https://dati.comune.milano.it/en/web/portale-del-dato/indicatori-economia-e-finanze" TargetMode="External"/><Relationship Id="rId37" Type="http://schemas.openxmlformats.org/officeDocument/2006/relationships/hyperlink" Target="https://www.ons.gov.uk/employmentandlabourmarket" TargetMode="External"/><Relationship Id="rId53" Type="http://schemas.openxmlformats.org/officeDocument/2006/relationships/hyperlink" Target="https://www.oecdregionalwellbeing.org/" TargetMode="External"/><Relationship Id="rId58" Type="http://schemas.openxmlformats.org/officeDocument/2006/relationships/hyperlink" Target="https://www.oecdregionalwellbeing.org/" TargetMode="External"/><Relationship Id="rId74" Type="http://schemas.openxmlformats.org/officeDocument/2006/relationships/hyperlink" Target="https://www.bfs.admin.ch/bfs/en/home/statistics/construction-housing.html" TargetMode="External"/><Relationship Id="rId79" Type="http://schemas.openxmlformats.org/officeDocument/2006/relationships/hyperlink" Target="https://www2.comune.milano.it/aree-tematiche/dati-statistici/pubblicazioni/popolazione-residente" TargetMode="External"/><Relationship Id="rId102" Type="http://schemas.openxmlformats.org/officeDocument/2006/relationships/hyperlink" Target="https://www.lse.ac.uk/" TargetMode="External"/><Relationship Id="rId5" Type="http://schemas.openxmlformats.org/officeDocument/2006/relationships/footnotes" Target="footnotes.xml"/><Relationship Id="rId90" Type="http://schemas.openxmlformats.org/officeDocument/2006/relationships/hyperlink" Target="https://www.oecd.org/en/topics/health.html" TargetMode="External"/><Relationship Id="rId95" Type="http://schemas.openxmlformats.org/officeDocument/2006/relationships/hyperlink" Target="https://www.timeshighereducation.com/world-university-rankings" TargetMode="External"/><Relationship Id="rId22" Type="http://schemas.openxmlformats.org/officeDocument/2006/relationships/hyperlink" Target="https://www.cityoflondon.gov.uk/supporting-businesses/economic-research/research-publications/city-statistics-briefing" TargetMode="External"/><Relationship Id="rId27" Type="http://schemas.openxmlformats.org/officeDocument/2006/relationships/hyperlink" Target="https://statistique.ge.ch/" TargetMode="External"/><Relationship Id="rId43" Type="http://schemas.openxmlformats.org/officeDocument/2006/relationships/hyperlink" Target="https://www.snb.ch/" TargetMode="External"/><Relationship Id="rId48" Type="http://schemas.openxmlformats.org/officeDocument/2006/relationships/hyperlink" Target="https://www.gov.uk/" TargetMode="External"/><Relationship Id="rId64" Type="http://schemas.openxmlformats.org/officeDocument/2006/relationships/hyperlink" Target="https://www.estv.admin.ch/" TargetMode="External"/><Relationship Id="rId69" Type="http://schemas.openxmlformats.org/officeDocument/2006/relationships/hyperlink" Target="https://www.knightfrank.com/research" TargetMode="External"/><Relationship Id="rId80" Type="http://schemas.openxmlformats.org/officeDocument/2006/relationships/hyperlink" Target="https://statistique.ge.ch/actualites/welcome.asp?Actudomaine=01_02&amp;aaaa1=2025&amp;aaaa2=2026&amp;actu=5575&amp;mm1=01%2F01&amp;mm2=12%2F31&amp;num=0" TargetMode="External"/><Relationship Id="rId85" Type="http://schemas.openxmlformats.org/officeDocument/2006/relationships/hyperlink" Target="https://www.oecd.org/en/topics/health.html" TargetMode="External"/><Relationship Id="rId12" Type="http://schemas.openxmlformats.org/officeDocument/2006/relationships/hyperlink" Target="https://www.henleyglobal.com/publications/wealthiest-cities-2025/top-50-cities-millionaires" TargetMode="External"/><Relationship Id="rId17" Type="http://schemas.openxmlformats.org/officeDocument/2006/relationships/hyperlink" Target="https://dati.comune.milano.it/en/web/portale-del-dato/indicatori-economia-e-finanze" TargetMode="External"/><Relationship Id="rId33" Type="http://schemas.openxmlformats.org/officeDocument/2006/relationships/hyperlink" Target="https://www.istat.it/" TargetMode="External"/><Relationship Id="rId38" Type="http://schemas.openxmlformats.org/officeDocument/2006/relationships/hyperlink" Target="https://www.worldbank.org/en/publication/worldwide-governance-indicators" TargetMode="External"/><Relationship Id="rId59" Type="http://schemas.openxmlformats.org/officeDocument/2006/relationships/hyperlink" Target="https://www.numbeo.com/quality-of-life/in/London" TargetMode="External"/><Relationship Id="rId103" Type="http://schemas.openxmlformats.org/officeDocument/2006/relationships/hyperlink" Target="https://www.ucl.ac.uk/" TargetMode="External"/><Relationship Id="rId108" Type="http://schemas.openxmlformats.org/officeDocument/2006/relationships/fontTable" Target="fontTable.xml"/><Relationship Id="rId54" Type="http://schemas.openxmlformats.org/officeDocument/2006/relationships/hyperlink" Target="https://www.numbeo.com/quality-of-life/in/Geneva" TargetMode="External"/><Relationship Id="rId70" Type="http://schemas.openxmlformats.org/officeDocument/2006/relationships/hyperlink" Target="https://www.agenziaentrate.gov.it/portale/web/guest/schede/fabbricatiterreni/omi" TargetMode="External"/><Relationship Id="rId75" Type="http://schemas.openxmlformats.org/officeDocument/2006/relationships/hyperlink" Target="https://www.gov.uk/government/publications/market-value-survey-2024/market-value-survey-2024-main-report" TargetMode="External"/><Relationship Id="rId91" Type="http://schemas.openxmlformats.org/officeDocument/2006/relationships/hyperlink" Target="https://www.mur.gov.it/" TargetMode="External"/><Relationship Id="rId96" Type="http://schemas.openxmlformats.org/officeDocument/2006/relationships/hyperlink" Target="https://www.unige.ch/"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ancaditalia.it/compiti/vigilanza/albi-elenchi/index.html" TargetMode="External"/><Relationship Id="rId23" Type="http://schemas.openxmlformats.org/officeDocument/2006/relationships/hyperlink" Target="https://www.bankofengland.co.uk/" TargetMode="External"/><Relationship Id="rId28" Type="http://schemas.openxmlformats.org/officeDocument/2006/relationships/hyperlink" Target="https://www.geneve-int.ch/" TargetMode="External"/><Relationship Id="rId36" Type="http://schemas.openxmlformats.org/officeDocument/2006/relationships/hyperlink" Target="https://apps.london.gov.uk/state-of-london/report/london-in-figures" TargetMode="External"/><Relationship Id="rId49" Type="http://schemas.openxmlformats.org/officeDocument/2006/relationships/hyperlink" Target="https://www.oecdregionalwellbeing.org/" TargetMode="External"/><Relationship Id="rId57" Type="http://schemas.openxmlformats.org/officeDocument/2006/relationships/hyperlink" Target="https://apps.london.gov.uk/state-of-london/report/london-in-figures" TargetMode="External"/><Relationship Id="rId106" Type="http://schemas.openxmlformats.org/officeDocument/2006/relationships/hyperlink" Target="https://www.topuniversities.com/" TargetMode="External"/><Relationship Id="rId10" Type="http://schemas.openxmlformats.org/officeDocument/2006/relationships/hyperlink" Target="https://www.henleyglobal.com/publications/wealthiest-cities-2025/centi-millionaire-hotspots" TargetMode="External"/><Relationship Id="rId31" Type="http://schemas.openxmlformats.org/officeDocument/2006/relationships/hyperlink" Target="https://www.cityoflondon.gov.uk/supporting-businesses/economic-research/research-publications/city-statistics-briefing" TargetMode="External"/><Relationship Id="rId44" Type="http://schemas.openxmlformats.org/officeDocument/2006/relationships/hyperlink" Target="https://www.bfs.admin.ch/" TargetMode="External"/><Relationship Id="rId52" Type="http://schemas.openxmlformats.org/officeDocument/2006/relationships/hyperlink" Target="https://www.eea.europa.eu/" TargetMode="External"/><Relationship Id="rId60" Type="http://schemas.openxmlformats.org/officeDocument/2006/relationships/hyperlink" Target="https://www.investinitaly.gov.it/en/doing-business/taxation" TargetMode="External"/><Relationship Id="rId65" Type="http://schemas.openxmlformats.org/officeDocument/2006/relationships/hyperlink" Target="https://www.gov.uk/government/publications/changes-to-the-taxation-of-non-uk-domiciled-individuals" TargetMode="External"/><Relationship Id="rId73" Type="http://schemas.openxmlformats.org/officeDocument/2006/relationships/hyperlink" Target="https://www.knightfrank.com/research" TargetMode="External"/><Relationship Id="rId78" Type="http://schemas.openxmlformats.org/officeDocument/2006/relationships/hyperlink" Target="https://www.knightfrank.com/research" TargetMode="External"/><Relationship Id="rId81" Type="http://schemas.openxmlformats.org/officeDocument/2006/relationships/hyperlink" Target="https://statistique.ge.ch/" TargetMode="External"/><Relationship Id="rId86" Type="http://schemas.openxmlformats.org/officeDocument/2006/relationships/hyperlink" Target="https://www.bfs.admin.ch/bfs/en/home/statistics/health.html" TargetMode="External"/><Relationship Id="rId94" Type="http://schemas.openxmlformats.org/officeDocument/2006/relationships/hyperlink" Target="https://www.topuniversities.com/" TargetMode="External"/><Relationship Id="rId99" Type="http://schemas.openxmlformats.org/officeDocument/2006/relationships/hyperlink" Target="https://www.topuniversities.com/" TargetMode="External"/><Relationship Id="rId101" Type="http://schemas.openxmlformats.org/officeDocument/2006/relationships/hyperlink" Target="https://apps.london.gov.uk/state-of-london/report/london-in-figures" TargetMode="External"/><Relationship Id="rId4" Type="http://schemas.openxmlformats.org/officeDocument/2006/relationships/webSettings" Target="webSettings.xml"/><Relationship Id="rId9" Type="http://schemas.openxmlformats.org/officeDocument/2006/relationships/hyperlink" Target="https://www.henleyglobal.com/publications/wealthiest-cities-2025" TargetMode="External"/><Relationship Id="rId13" Type="http://schemas.openxmlformats.org/officeDocument/2006/relationships/hyperlink" Target="https://www.henleyglobal.com/publications/wealthiest-cities-2025/centi-millionaire-hotspots" TargetMode="External"/><Relationship Id="rId18" Type="http://schemas.openxmlformats.org/officeDocument/2006/relationships/hyperlink" Target="https://www.geneve-finance.ch/en-ch/overview/institutions" TargetMode="External"/><Relationship Id="rId39" Type="http://schemas.openxmlformats.org/officeDocument/2006/relationships/hyperlink" Target="https://www.bancaditalia.it/" TargetMode="External"/><Relationship Id="rId109" Type="http://schemas.openxmlformats.org/officeDocument/2006/relationships/theme" Target="theme/theme1.xml"/><Relationship Id="rId34" Type="http://schemas.openxmlformats.org/officeDocument/2006/relationships/hyperlink" Target="https://statistique.ge.ch/domaines/apercu.asp?dom=03_02" TargetMode="External"/><Relationship Id="rId50" Type="http://schemas.openxmlformats.org/officeDocument/2006/relationships/hyperlink" Target="https://www.numbeo.com/quality-of-life/in/Milan" TargetMode="External"/><Relationship Id="rId55" Type="http://schemas.openxmlformats.org/officeDocument/2006/relationships/hyperlink" Target="https://statistique.ge.ch/" TargetMode="External"/><Relationship Id="rId76" Type="http://schemas.openxmlformats.org/officeDocument/2006/relationships/hyperlink" Target="https://www.ons.gov.uk/economy/inflationandpriceindices/bulletins/housepriceindex" TargetMode="External"/><Relationship Id="rId97" Type="http://schemas.openxmlformats.org/officeDocument/2006/relationships/hyperlink" Target="https://www.graduateinstitute.ch/" TargetMode="External"/><Relationship Id="rId104" Type="http://schemas.openxmlformats.org/officeDocument/2006/relationships/hyperlink" Target="https://www.imperial.ac.uk/" TargetMode="External"/><Relationship Id="rId7" Type="http://schemas.openxmlformats.org/officeDocument/2006/relationships/hyperlink" Target="https://www.henleyglobal.com/publications/wealthiest-cities-2025" TargetMode="External"/><Relationship Id="rId71" Type="http://schemas.openxmlformats.org/officeDocument/2006/relationships/hyperlink" Target="https://statistique.ge.ch/" TargetMode="External"/><Relationship Id="rId92" Type="http://schemas.openxmlformats.org/officeDocument/2006/relationships/hyperlink" Target="https://www.unibocconi.it/" TargetMode="External"/><Relationship Id="rId2" Type="http://schemas.openxmlformats.org/officeDocument/2006/relationships/styles" Target="styles.xml"/><Relationship Id="rId29" Type="http://schemas.openxmlformats.org/officeDocument/2006/relationships/hyperlink" Target="https://apps.london.gov.uk/state-of-london/report/london-in-figures" TargetMode="External"/><Relationship Id="rId24" Type="http://schemas.openxmlformats.org/officeDocument/2006/relationships/hyperlink" Target="https://sni.unioncamere.it/" TargetMode="External"/><Relationship Id="rId40" Type="http://schemas.openxmlformats.org/officeDocument/2006/relationships/hyperlink" Target="https://economy-finance.ec.europa.eu/" TargetMode="External"/><Relationship Id="rId45" Type="http://schemas.openxmlformats.org/officeDocument/2006/relationships/hyperlink" Target="https://www.worldbank.org/en/publication/worldwide-governance-indicators" TargetMode="External"/><Relationship Id="rId66" Type="http://schemas.openxmlformats.org/officeDocument/2006/relationships/hyperlink" Target="https://www.gov.uk/government/organisations/hm-revenue-customs" TargetMode="External"/><Relationship Id="rId87" Type="http://schemas.openxmlformats.org/officeDocument/2006/relationships/hyperlink" Target="https://www.oecd.org/en/topics/health.html" TargetMode="External"/><Relationship Id="rId61" Type="http://schemas.openxmlformats.org/officeDocument/2006/relationships/hyperlink" Target="https://www.agenziaentrate.gov.it/" TargetMode="External"/><Relationship Id="rId82" Type="http://schemas.openxmlformats.org/officeDocument/2006/relationships/hyperlink" Target="https://apps.london.gov.uk/state-of-london/report/london-in-figures" TargetMode="External"/><Relationship Id="rId19" Type="http://schemas.openxmlformats.org/officeDocument/2006/relationships/hyperlink" Target="https://www.geneve-finance.ch/en-ch/overview" TargetMode="External"/><Relationship Id="rId14" Type="http://schemas.openxmlformats.org/officeDocument/2006/relationships/hyperlink" Target="https://www.bancaditalia.it/statistiche/" TargetMode="External"/><Relationship Id="rId30" Type="http://schemas.openxmlformats.org/officeDocument/2006/relationships/hyperlink" Target="https://www.ons.gov.uk/businessindustryandtrade/business/activitysizeandlocation" TargetMode="External"/><Relationship Id="rId35" Type="http://schemas.openxmlformats.org/officeDocument/2006/relationships/hyperlink" Target="https://www.geneve-finance.ch/en-ch/overview" TargetMode="External"/><Relationship Id="rId56" Type="http://schemas.openxmlformats.org/officeDocument/2006/relationships/hyperlink" Target="https://www.geneve.ch/" TargetMode="External"/><Relationship Id="rId77" Type="http://schemas.openxmlformats.org/officeDocument/2006/relationships/hyperlink" Target="https://www.savills.com/research/" TargetMode="External"/><Relationship Id="rId100" Type="http://schemas.openxmlformats.org/officeDocument/2006/relationships/hyperlink" Target="https://www.timeshighereducation.com/world-university-rankings" TargetMode="External"/><Relationship Id="rId105" Type="http://schemas.openxmlformats.org/officeDocument/2006/relationships/hyperlink" Target="https://www.kcl.ac.uk/" TargetMode="External"/><Relationship Id="rId8" Type="http://schemas.openxmlformats.org/officeDocument/2006/relationships/hyperlink" Target="https://www.henleyglobal.com/publications/wealthiest-cities-2025/top-50-cities-millionaires" TargetMode="External"/><Relationship Id="rId51" Type="http://schemas.openxmlformats.org/officeDocument/2006/relationships/hyperlink" Target="https://www2.comune.milano.it/aree-tematiche/dati-statistici" TargetMode="External"/><Relationship Id="rId72" Type="http://schemas.openxmlformats.org/officeDocument/2006/relationships/hyperlink" Target="https://www.savills.com/research/" TargetMode="External"/><Relationship Id="rId93" Type="http://schemas.openxmlformats.org/officeDocument/2006/relationships/hyperlink" Target="https://www.polimi.it/" TargetMode="External"/><Relationship Id="rId98" Type="http://schemas.openxmlformats.org/officeDocument/2006/relationships/hyperlink" Target="https://statistique.ge.ch/" TargetMode="External"/><Relationship Id="rId3" Type="http://schemas.openxmlformats.org/officeDocument/2006/relationships/settings" Target="settings.xml"/><Relationship Id="rId25" Type="http://schemas.openxmlformats.org/officeDocument/2006/relationships/hyperlink" Target="https://www.milomb.camcom.it/" TargetMode="External"/><Relationship Id="rId46" Type="http://schemas.openxmlformats.org/officeDocument/2006/relationships/hyperlink" Target="https://www.fca.org.uk/" TargetMode="External"/><Relationship Id="rId67" Type="http://schemas.openxmlformats.org/officeDocument/2006/relationships/hyperlink" Target="https://www.henleyglobal.com/publications/wealthiest-cities-2025" TargetMode="External"/><Relationship Id="rId20" Type="http://schemas.openxmlformats.org/officeDocument/2006/relationships/hyperlink" Target="https://www.geneve-finance.ch/en-ch/news/2025-06-17-annual-report-2024" TargetMode="External"/><Relationship Id="rId41" Type="http://schemas.openxmlformats.org/officeDocument/2006/relationships/hyperlink" Target="https://www.worldbank.org/en/publication/worldwide-governance-indicators" TargetMode="External"/><Relationship Id="rId62" Type="http://schemas.openxmlformats.org/officeDocument/2006/relationships/hyperlink" Target="https://www.ge.ch/" TargetMode="External"/><Relationship Id="rId83" Type="http://schemas.openxmlformats.org/officeDocument/2006/relationships/hyperlink" Target="https://www.istat.it/" TargetMode="External"/><Relationship Id="rId88" Type="http://schemas.openxmlformats.org/officeDocument/2006/relationships/hyperlink" Target="https://apps.london.gov.uk/state-of-london/report/health"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10009</Words>
  <Characters>57057</Characters>
  <Application>Microsoft Office Word</Application>
  <DocSecurity>0</DocSecurity>
  <Lines>475</Lines>
  <Paragraphs>133</Paragraphs>
  <ScaleCrop>false</ScaleCrop>
  <Company/>
  <LinksUpToDate>false</LinksUpToDate>
  <CharactersWithSpaces>66933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UBS – Milano, Ginevra, Londra (documento unificato)</dc:title>
  <dc:creator>Claude</dc:creator>
  <cp:lastModifiedBy>Abbate Nicole</cp:lastModifiedBy>
  <cp:revision>2</cp:revision>
  <dcterms:created xsi:type="dcterms:W3CDTF">2026-10-19T14:30:00Z</dcterms:created>
  <dcterms:modified xsi:type="dcterms:W3CDTF">2026-10-19T14:30:00Z</dcterms:modified>
</cp:coreProperties>
</file>