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312DD" w14:textId="77777777" w:rsidR="006E1890" w:rsidRDefault="00581A20">
      <w:pPr>
        <w:jc w:val="center"/>
      </w:pPr>
      <w:r>
        <w:rPr>
          <w:b/>
          <w:bCs/>
          <w:color w:val="1F3864"/>
          <w:sz w:val="32"/>
          <w:szCs w:val="32"/>
        </w:rPr>
        <w:t>Telecom Subscriber Trends — Insight Summary</w:t>
      </w:r>
    </w:p>
    <w:p w14:paraId="69A79B5F" w14:textId="686E7986" w:rsidR="006E1890" w:rsidRDefault="00581A2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3MTT Capstone Project · NCC Subscriber &amp; Market Data, </w:t>
      </w:r>
      <w:r w:rsidR="00956D25">
        <w:rPr>
          <w:i/>
          <w:iCs/>
          <w:color w:val="555555"/>
          <w:sz w:val="18"/>
          <w:szCs w:val="18"/>
        </w:rPr>
        <w:t>2020 - 2025</w:t>
      </w:r>
    </w:p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2488"/>
        <w:gridCol w:w="2488"/>
        <w:gridCol w:w="2488"/>
      </w:tblGrid>
      <w:tr w:rsidR="006E1890" w14:paraId="3DE40A84" w14:textId="77777777" w:rsidTr="00956D25">
        <w:trPr>
          <w:trHeight w:val="378"/>
        </w:trPr>
        <w:tc>
          <w:tcPr>
            <w:tcW w:w="248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8BB6" w14:textId="77777777" w:rsidR="006E1890" w:rsidRDefault="00581A2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96.4M</w:t>
            </w:r>
          </w:p>
          <w:p w14:paraId="55FCBD27" w14:textId="0E8F082F" w:rsidR="006E1890" w:rsidRDefault="00581A20">
            <w:pPr>
              <w:jc w:val="center"/>
            </w:pPr>
            <w:r>
              <w:rPr>
                <w:color w:val="555555"/>
                <w:sz w:val="16"/>
                <w:szCs w:val="16"/>
              </w:rPr>
              <w:t>MTN Subscribers</w:t>
            </w:r>
            <w:r w:rsidR="009B49A4">
              <w:rPr>
                <w:color w:val="555555"/>
                <w:sz w:val="16"/>
                <w:szCs w:val="16"/>
              </w:rPr>
              <w:t xml:space="preserve"> as of Dec. 2025</w:t>
            </w:r>
          </w:p>
        </w:tc>
        <w:tc>
          <w:tcPr>
            <w:tcW w:w="248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5A8E" w14:textId="77777777" w:rsidR="006E1890" w:rsidRDefault="00581A2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>64.7M</w:t>
            </w:r>
          </w:p>
          <w:p w14:paraId="552BEE2C" w14:textId="41121B3D" w:rsidR="006E1890" w:rsidRDefault="00581A20">
            <w:pPr>
              <w:jc w:val="center"/>
            </w:pPr>
            <w:r>
              <w:rPr>
                <w:color w:val="555555"/>
                <w:sz w:val="16"/>
                <w:szCs w:val="16"/>
              </w:rPr>
              <w:t>Airtel Subscribers</w:t>
            </w:r>
            <w:r w:rsidR="009B49A4">
              <w:rPr>
                <w:color w:val="555555"/>
                <w:sz w:val="16"/>
                <w:szCs w:val="16"/>
              </w:rPr>
              <w:t xml:space="preserve"> </w:t>
            </w:r>
            <w:r w:rsidR="009B49A4">
              <w:rPr>
                <w:color w:val="555555"/>
                <w:sz w:val="16"/>
                <w:szCs w:val="16"/>
              </w:rPr>
              <w:t>Dec. 2025</w:t>
            </w:r>
          </w:p>
        </w:tc>
        <w:tc>
          <w:tcPr>
            <w:tcW w:w="248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001A" w14:textId="77777777" w:rsidR="006E1890" w:rsidRDefault="00581A20"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>23.2M</w:t>
            </w:r>
          </w:p>
          <w:p w14:paraId="37D9B16C" w14:textId="5100DDDE" w:rsidR="006E1890" w:rsidRDefault="00581A20">
            <w:pPr>
              <w:jc w:val="center"/>
            </w:pPr>
            <w:r>
              <w:rPr>
                <w:color w:val="555555"/>
                <w:sz w:val="16"/>
                <w:szCs w:val="16"/>
              </w:rPr>
              <w:t>Globacom Subscribers</w:t>
            </w:r>
            <w:r w:rsidR="009B49A4">
              <w:rPr>
                <w:color w:val="555555"/>
                <w:sz w:val="16"/>
                <w:szCs w:val="16"/>
              </w:rPr>
              <w:t xml:space="preserve"> </w:t>
            </w:r>
            <w:r w:rsidR="009B49A4">
              <w:rPr>
                <w:color w:val="555555"/>
                <w:sz w:val="16"/>
                <w:szCs w:val="16"/>
              </w:rPr>
              <w:t>Dec. 2025</w:t>
            </w:r>
          </w:p>
        </w:tc>
        <w:tc>
          <w:tcPr>
            <w:tcW w:w="248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5D1E" w14:textId="77777777" w:rsidR="006E1890" w:rsidRPr="009B49A4" w:rsidRDefault="00581A20">
            <w:pPr>
              <w:jc w:val="center"/>
              <w:rPr>
                <w:color w:val="70A604"/>
              </w:rPr>
            </w:pPr>
            <w:r w:rsidRPr="009B49A4">
              <w:rPr>
                <w:b/>
                <w:bCs/>
                <w:color w:val="70A604"/>
                <w:sz w:val="28"/>
                <w:szCs w:val="28"/>
              </w:rPr>
              <w:t>3.5M</w:t>
            </w:r>
          </w:p>
          <w:p w14:paraId="65991C6A" w14:textId="7536208B" w:rsidR="006E1890" w:rsidRDefault="00581A20">
            <w:pPr>
              <w:jc w:val="center"/>
            </w:pPr>
            <w:r>
              <w:rPr>
                <w:color w:val="555555"/>
                <w:sz w:val="16"/>
                <w:szCs w:val="16"/>
              </w:rPr>
              <w:t>9mobile Subscribers</w:t>
            </w:r>
            <w:r w:rsidR="009B49A4">
              <w:rPr>
                <w:color w:val="555555"/>
                <w:sz w:val="16"/>
                <w:szCs w:val="16"/>
              </w:rPr>
              <w:t xml:space="preserve"> </w:t>
            </w:r>
            <w:r w:rsidR="009B49A4">
              <w:rPr>
                <w:color w:val="555555"/>
                <w:sz w:val="16"/>
                <w:szCs w:val="16"/>
              </w:rPr>
              <w:t>Dec. 2025</w:t>
            </w:r>
          </w:p>
        </w:tc>
      </w:tr>
    </w:tbl>
    <w:p w14:paraId="70743507" w14:textId="77777777" w:rsidR="006E1890" w:rsidRDefault="006E1890">
      <w:pPr>
        <w:spacing w:after="100"/>
      </w:pPr>
    </w:p>
    <w:p w14:paraId="440D35BC" w14:textId="43972F24" w:rsidR="00B37B9A" w:rsidRDefault="00B37B9A" w:rsidP="00B37B9A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Executive Summary</w:t>
      </w:r>
    </w:p>
    <w:p w14:paraId="74A8557E" w14:textId="5E4F9D60" w:rsidR="00B37B9A" w:rsidRPr="00956D25" w:rsidRDefault="00B37B9A" w:rsidP="00B37B9A">
      <w:pPr>
        <w:spacing w:after="100"/>
        <w:jc w:val="both"/>
        <w:rPr>
          <w:sz w:val="23"/>
          <w:szCs w:val="23"/>
        </w:rPr>
      </w:pPr>
      <w:r w:rsidRPr="00956D25">
        <w:rPr>
          <w:sz w:val="23"/>
          <w:szCs w:val="23"/>
        </w:rPr>
        <w:t>As of December 2025, Nigeria's telecom market reached 180M total mobile subscribers, with teledensity at 82.87%. Broadband adoption grew 17% year-over-year, reaching 113M subscribers, making it the fastest-growing segment in the sector. Internet data usage climbed to 1.39M TB, up 35.7%, signaling accelerating digital adoption even as the overall subscriber base has declined slightly since 2020.</w:t>
      </w:r>
    </w:p>
    <w:p w14:paraId="35234DE5" w14:textId="6E52AC49" w:rsidR="006E1890" w:rsidRDefault="00581A2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Key Findings</w:t>
      </w:r>
    </w:p>
    <w:p w14:paraId="325305EE" w14:textId="77777777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 xml:space="preserve">• </w:t>
      </w:r>
      <w:r w:rsidRPr="00956D25">
        <w:rPr>
          <w:b/>
          <w:bCs/>
          <w:sz w:val="23"/>
          <w:szCs w:val="23"/>
        </w:rPr>
        <w:t>Market Concentration:</w:t>
      </w:r>
      <w:r w:rsidRPr="00956D25">
        <w:rPr>
          <w:sz w:val="23"/>
          <w:szCs w:val="23"/>
        </w:rPr>
        <w:t xml:space="preserve"> MTN now holds 51.9% market share (93M subscribers), up from 39.7% in 2020, a dramatic consolidation driven partly by the 2024 NIN-SIM deactivation exercise, which caused Globacom and T2 to lose a combined ~35M subscribers almost overnight.</w:t>
      </w:r>
    </w:p>
    <w:p w14:paraId="3617421F" w14:textId="77777777" w:rsidR="00B37B9A" w:rsidRPr="00956D25" w:rsidRDefault="00B37B9A" w:rsidP="00B37B9A">
      <w:pPr>
        <w:jc w:val="both"/>
        <w:rPr>
          <w:sz w:val="23"/>
          <w:szCs w:val="23"/>
        </w:rPr>
      </w:pPr>
    </w:p>
    <w:p w14:paraId="67297B52" w14:textId="31442910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 xml:space="preserve">• </w:t>
      </w:r>
      <w:r w:rsidRPr="00956D25">
        <w:rPr>
          <w:b/>
          <w:bCs/>
          <w:sz w:val="23"/>
          <w:szCs w:val="23"/>
        </w:rPr>
        <w:t>Operator Divergence:</w:t>
      </w:r>
      <w:r w:rsidRPr="00956D25">
        <w:rPr>
          <w:sz w:val="23"/>
          <w:szCs w:val="23"/>
        </w:rPr>
        <w:t xml:space="preserve"> Airtel grew steadily to 33.9% share (61M subscribers, +7.5% YoY), while Globacom fell to 12.4% (22M) and T2 to just 1.8% (3M, -1.7% YoY), the smallest and only declining operator.</w:t>
      </w:r>
    </w:p>
    <w:p w14:paraId="3D6CDA32" w14:textId="77777777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>• Digital Shift: Internet subscribers (148M) now represent over 82% of total subscribers, and broadband is growing more than 2x faster than the overall subscriber base, confirming the market's shift from voice-first to data-first usage.</w:t>
      </w:r>
    </w:p>
    <w:p w14:paraId="13FB8F1A" w14:textId="77777777" w:rsidR="00B37B9A" w:rsidRPr="00956D25" w:rsidRDefault="00B37B9A" w:rsidP="00B37B9A">
      <w:pPr>
        <w:jc w:val="both"/>
        <w:rPr>
          <w:sz w:val="23"/>
          <w:szCs w:val="23"/>
        </w:rPr>
      </w:pPr>
    </w:p>
    <w:p w14:paraId="34AD913E" w14:textId="77777777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 xml:space="preserve">• </w:t>
      </w:r>
      <w:r w:rsidRPr="00956D25">
        <w:rPr>
          <w:b/>
          <w:bCs/>
          <w:sz w:val="23"/>
          <w:szCs w:val="23"/>
        </w:rPr>
        <w:t>Technology Transition:</w:t>
      </w:r>
      <w:r w:rsidRPr="00956D25">
        <w:rPr>
          <w:sz w:val="23"/>
          <w:szCs w:val="23"/>
        </w:rPr>
        <w:t xml:space="preserve"> 4G remains the dominant network technology, while 5G adoption, though still early-stage is visibly climbing, marking the start of Nigeria's next infrastructure shift. This data is available from May 2023 onward.</w:t>
      </w:r>
    </w:p>
    <w:p w14:paraId="01A9C53A" w14:textId="77777777" w:rsidR="00B37B9A" w:rsidRPr="00956D25" w:rsidRDefault="00B37B9A" w:rsidP="00B37B9A">
      <w:pPr>
        <w:jc w:val="both"/>
        <w:rPr>
          <w:sz w:val="23"/>
          <w:szCs w:val="23"/>
        </w:rPr>
      </w:pPr>
    </w:p>
    <w:p w14:paraId="69000368" w14:textId="77777777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 xml:space="preserve">• </w:t>
      </w:r>
      <w:r w:rsidRPr="00956D25">
        <w:rPr>
          <w:b/>
          <w:bCs/>
          <w:sz w:val="23"/>
          <w:szCs w:val="23"/>
        </w:rPr>
        <w:t>Reporting Gaps:</w:t>
      </w:r>
      <w:r w:rsidRPr="00956D25">
        <w:rPr>
          <w:sz w:val="23"/>
          <w:szCs w:val="23"/>
        </w:rPr>
        <w:t xml:space="preserve"> Some years show fewer than the full set of operators reporting data, a gap that helps explain discrepancies between summed operator totals and NCC's officially reported figures.</w:t>
      </w:r>
    </w:p>
    <w:p w14:paraId="408F959B" w14:textId="77777777" w:rsidR="00B37B9A" w:rsidRPr="00956D25" w:rsidRDefault="00B37B9A" w:rsidP="00B37B9A">
      <w:pPr>
        <w:jc w:val="both"/>
        <w:rPr>
          <w:sz w:val="23"/>
          <w:szCs w:val="23"/>
        </w:rPr>
      </w:pPr>
    </w:p>
    <w:p w14:paraId="57E04B50" w14:textId="5F6B4508" w:rsidR="00B37B9A" w:rsidRPr="00956D25" w:rsidRDefault="00B37B9A" w:rsidP="00B37B9A">
      <w:pPr>
        <w:jc w:val="both"/>
        <w:rPr>
          <w:sz w:val="23"/>
          <w:szCs w:val="23"/>
        </w:rPr>
      </w:pPr>
      <w:r w:rsidRPr="00956D25">
        <w:rPr>
          <w:sz w:val="23"/>
          <w:szCs w:val="23"/>
        </w:rPr>
        <w:t xml:space="preserve">• </w:t>
      </w:r>
      <w:r w:rsidRPr="00956D25">
        <w:rPr>
          <w:b/>
          <w:bCs/>
          <w:sz w:val="23"/>
          <w:szCs w:val="23"/>
        </w:rPr>
        <w:t>Teledensity Volatility:</w:t>
      </w:r>
      <w:r w:rsidRPr="00956D25">
        <w:rPr>
          <w:sz w:val="23"/>
          <w:szCs w:val="23"/>
        </w:rPr>
        <w:t xml:space="preserve"> Teledensity has fluctuated significantly over the period, declining from 97.45% in January 2020 to 82.87% by December 2025, a drop of roughly 14.6 percentage points, closely tied to the 2024 subscriber deactivation event.</w:t>
      </w:r>
    </w:p>
    <w:p w14:paraId="623B931D" w14:textId="1975D104" w:rsidR="006E1890" w:rsidRDefault="00581A2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Recommendation</w:t>
      </w:r>
    </w:p>
    <w:p w14:paraId="160F897C" w14:textId="1DD004F9" w:rsidR="00B37B9A" w:rsidRPr="00956D25" w:rsidRDefault="00B37B9A" w:rsidP="00B37B9A">
      <w:pPr>
        <w:jc w:val="both"/>
        <w:rPr>
          <w:sz w:val="23"/>
          <w:szCs w:val="23"/>
          <w:lang w:val="en-US"/>
        </w:rPr>
      </w:pPr>
      <w:r w:rsidRPr="00956D25">
        <w:rPr>
          <w:sz w:val="23"/>
          <w:szCs w:val="23"/>
          <w:lang w:val="en-US"/>
        </w:rPr>
        <w:t>• </w:t>
      </w:r>
      <w:r w:rsidRPr="00956D25">
        <w:rPr>
          <w:b/>
          <w:bCs/>
          <w:sz w:val="23"/>
          <w:szCs w:val="23"/>
          <w:lang w:val="en-US"/>
        </w:rPr>
        <w:t>For Legacy/Smaller Operators (T2, Globacom):</w:t>
      </w:r>
      <w:r w:rsidRPr="00956D25">
        <w:rPr>
          <w:sz w:val="23"/>
          <w:szCs w:val="23"/>
          <w:lang w:val="en-US"/>
        </w:rPr>
        <w:t> Prioritize subscriber win-back and re-linking campaigns following the 2024 deactivation shock; targeted data-bundle offers could help arrest T2's ongoing decline (-1.7% YoY).</w:t>
      </w:r>
      <w:r w:rsidRPr="00956D25">
        <w:rPr>
          <w:sz w:val="23"/>
          <w:szCs w:val="23"/>
          <w:lang w:val="en-US"/>
        </w:rPr>
        <w:br/>
      </w:r>
    </w:p>
    <w:p w14:paraId="60F3C3D4" w14:textId="2F555527" w:rsidR="00B37B9A" w:rsidRPr="00956D25" w:rsidRDefault="00B37B9A" w:rsidP="00B37B9A">
      <w:pPr>
        <w:jc w:val="both"/>
        <w:rPr>
          <w:sz w:val="23"/>
          <w:szCs w:val="23"/>
          <w:lang w:val="en-US"/>
        </w:rPr>
      </w:pPr>
      <w:r w:rsidRPr="00956D25">
        <w:rPr>
          <w:sz w:val="23"/>
          <w:szCs w:val="23"/>
          <w:lang w:val="en-US"/>
        </w:rPr>
        <w:t>• </w:t>
      </w:r>
      <w:r w:rsidRPr="00956D25">
        <w:rPr>
          <w:b/>
          <w:bCs/>
          <w:sz w:val="23"/>
          <w:szCs w:val="23"/>
          <w:lang w:val="en-US"/>
        </w:rPr>
        <w:t>For Market Leaders (MTN, Airtel):</w:t>
      </w:r>
      <w:r w:rsidRPr="00956D25">
        <w:rPr>
          <w:sz w:val="23"/>
          <w:szCs w:val="23"/>
          <w:lang w:val="en-US"/>
        </w:rPr>
        <w:t> Sustain broadband investment, the segment is growing 17% YoY, nearly double the overall subscriber growth rate, and represents the clearest expansion opportunity.</w:t>
      </w:r>
      <w:r w:rsidRPr="00956D25">
        <w:rPr>
          <w:sz w:val="23"/>
          <w:szCs w:val="23"/>
          <w:lang w:val="en-US"/>
        </w:rPr>
        <w:br/>
      </w:r>
    </w:p>
    <w:p w14:paraId="02AC7928" w14:textId="77B07482" w:rsidR="00B37B9A" w:rsidRPr="00956D25" w:rsidRDefault="00B37B9A" w:rsidP="00B37B9A">
      <w:pPr>
        <w:jc w:val="both"/>
        <w:rPr>
          <w:sz w:val="23"/>
          <w:szCs w:val="23"/>
          <w:lang w:val="en-US"/>
        </w:rPr>
      </w:pPr>
      <w:r w:rsidRPr="00956D25">
        <w:rPr>
          <w:sz w:val="23"/>
          <w:szCs w:val="23"/>
          <w:lang w:val="en-US"/>
        </w:rPr>
        <w:t>• </w:t>
      </w:r>
      <w:r w:rsidRPr="00956D25">
        <w:rPr>
          <w:b/>
          <w:bCs/>
          <w:sz w:val="23"/>
          <w:szCs w:val="23"/>
          <w:lang w:val="en-US"/>
        </w:rPr>
        <w:t>For Regulators/Industry:</w:t>
      </w:r>
      <w:r w:rsidRPr="00956D25">
        <w:rPr>
          <w:sz w:val="23"/>
          <w:szCs w:val="23"/>
          <w:lang w:val="en-US"/>
        </w:rPr>
        <w:t> Continue monitoring reporting completeness across operators; several months/years in the dataset show incomplete operator-level reporting relative to NCC's official totals, reinforcing the need for standardized monthly disclosure.</w:t>
      </w:r>
      <w:r w:rsidRPr="00956D25">
        <w:rPr>
          <w:sz w:val="23"/>
          <w:szCs w:val="23"/>
          <w:lang w:val="en-US"/>
        </w:rPr>
        <w:br/>
      </w:r>
    </w:p>
    <w:p w14:paraId="2E2EB299" w14:textId="47729A09" w:rsidR="00B37B9A" w:rsidRPr="00956D25" w:rsidRDefault="00B37B9A" w:rsidP="00B37B9A">
      <w:pPr>
        <w:jc w:val="both"/>
        <w:rPr>
          <w:sz w:val="23"/>
          <w:szCs w:val="23"/>
          <w:lang w:val="en-US"/>
        </w:rPr>
      </w:pPr>
      <w:r w:rsidRPr="00956D25">
        <w:rPr>
          <w:b/>
          <w:bCs/>
          <w:sz w:val="23"/>
          <w:szCs w:val="23"/>
          <w:lang w:val="en-US"/>
        </w:rPr>
        <w:t>For Technology Planning:</w:t>
      </w:r>
      <w:r w:rsidRPr="00956D25">
        <w:rPr>
          <w:sz w:val="23"/>
          <w:szCs w:val="23"/>
          <w:lang w:val="en-US"/>
        </w:rPr>
        <w:t> Given 5G's early but accelerating adoption, continued infrastructure investment in higher-generation networks is warranted to sustain data-usage growth, which is already outpacing subscriber growth.</w:t>
      </w:r>
    </w:p>
    <w:p w14:paraId="47084A10" w14:textId="687D8E15" w:rsidR="006E1890" w:rsidRDefault="00581A20">
      <w:pPr>
        <w:pBdr>
          <w:top w:val="single" w:sz="6" w:space="0" w:color="CCCCCC"/>
        </w:pBdr>
        <w:spacing w:before="200"/>
      </w:pPr>
      <w:r>
        <w:rPr>
          <w:i/>
          <w:iCs/>
          <w:color w:val="888888"/>
          <w:sz w:val="14"/>
          <w:szCs w:val="14"/>
        </w:rPr>
        <w:t xml:space="preserve">Source: NCC </w:t>
      </w:r>
      <w:r w:rsidR="00956D25">
        <w:rPr>
          <w:i/>
          <w:iCs/>
          <w:color w:val="888888"/>
          <w:sz w:val="14"/>
          <w:szCs w:val="14"/>
        </w:rPr>
        <w:t>(Industry Statistics)</w:t>
      </w:r>
      <w:r>
        <w:rPr>
          <w:i/>
          <w:iCs/>
          <w:color w:val="888888"/>
          <w:sz w:val="14"/>
          <w:szCs w:val="14"/>
        </w:rPr>
        <w:t xml:space="preserve"> · Dashboard built in </w:t>
      </w:r>
      <w:r w:rsidR="00956D25">
        <w:rPr>
          <w:i/>
          <w:iCs/>
          <w:color w:val="888888"/>
          <w:sz w:val="14"/>
          <w:szCs w:val="14"/>
        </w:rPr>
        <w:t xml:space="preserve">PoweBI </w:t>
      </w:r>
    </w:p>
    <w:sectPr w:rsidR="006E189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C7BC5"/>
    <w:multiLevelType w:val="hybridMultilevel"/>
    <w:tmpl w:val="FFFFFFFF"/>
    <w:lvl w:ilvl="0" w:tplc="F280BFB6">
      <w:start w:val="1"/>
      <w:numFmt w:val="bullet"/>
      <w:lvlText w:val="●"/>
      <w:lvlJc w:val="left"/>
      <w:pPr>
        <w:ind w:left="720" w:hanging="360"/>
      </w:pPr>
    </w:lvl>
    <w:lvl w:ilvl="1" w:tplc="41D26CC0">
      <w:start w:val="1"/>
      <w:numFmt w:val="bullet"/>
      <w:lvlText w:val="○"/>
      <w:lvlJc w:val="left"/>
      <w:pPr>
        <w:ind w:left="1440" w:hanging="360"/>
      </w:pPr>
    </w:lvl>
    <w:lvl w:ilvl="2" w:tplc="6400C33A">
      <w:start w:val="1"/>
      <w:numFmt w:val="bullet"/>
      <w:lvlText w:val="■"/>
      <w:lvlJc w:val="left"/>
      <w:pPr>
        <w:ind w:left="2160" w:hanging="360"/>
      </w:pPr>
    </w:lvl>
    <w:lvl w:ilvl="3" w:tplc="0938F822">
      <w:start w:val="1"/>
      <w:numFmt w:val="bullet"/>
      <w:lvlText w:val="●"/>
      <w:lvlJc w:val="left"/>
      <w:pPr>
        <w:ind w:left="2880" w:hanging="360"/>
      </w:pPr>
    </w:lvl>
    <w:lvl w:ilvl="4" w:tplc="BE66DAA2">
      <w:start w:val="1"/>
      <w:numFmt w:val="bullet"/>
      <w:lvlText w:val="○"/>
      <w:lvlJc w:val="left"/>
      <w:pPr>
        <w:ind w:left="3600" w:hanging="360"/>
      </w:pPr>
    </w:lvl>
    <w:lvl w:ilvl="5" w:tplc="F4D64610">
      <w:start w:val="1"/>
      <w:numFmt w:val="bullet"/>
      <w:lvlText w:val="■"/>
      <w:lvlJc w:val="left"/>
      <w:pPr>
        <w:ind w:left="4320" w:hanging="360"/>
      </w:pPr>
    </w:lvl>
    <w:lvl w:ilvl="6" w:tplc="2AEADBB6">
      <w:start w:val="1"/>
      <w:numFmt w:val="bullet"/>
      <w:lvlText w:val="●"/>
      <w:lvlJc w:val="left"/>
      <w:pPr>
        <w:ind w:left="5040" w:hanging="360"/>
      </w:pPr>
    </w:lvl>
    <w:lvl w:ilvl="7" w:tplc="89D40852">
      <w:start w:val="1"/>
      <w:numFmt w:val="bullet"/>
      <w:lvlText w:val="●"/>
      <w:lvlJc w:val="left"/>
      <w:pPr>
        <w:ind w:left="5760" w:hanging="360"/>
      </w:pPr>
    </w:lvl>
    <w:lvl w:ilvl="8" w:tplc="A2181496">
      <w:start w:val="1"/>
      <w:numFmt w:val="bullet"/>
      <w:lvlText w:val="●"/>
      <w:lvlJc w:val="left"/>
      <w:pPr>
        <w:ind w:left="6480" w:hanging="360"/>
      </w:pPr>
    </w:lvl>
  </w:abstractNum>
  <w:num w:numId="1" w16cid:durableId="201485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890"/>
    <w:rsid w:val="00217DC6"/>
    <w:rsid w:val="00220610"/>
    <w:rsid w:val="00581A20"/>
    <w:rsid w:val="006E1890"/>
    <w:rsid w:val="00842A90"/>
    <w:rsid w:val="00956D25"/>
    <w:rsid w:val="009B49A4"/>
    <w:rsid w:val="00A25279"/>
    <w:rsid w:val="00A95E77"/>
    <w:rsid w:val="00B37B9A"/>
    <w:rsid w:val="00BA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6740"/>
  <w15:docId w15:val="{E71C4DC2-08FD-3F44-AA91-59E3946F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7B9A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37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blessing usieme</cp:lastModifiedBy>
  <cp:revision>7</cp:revision>
  <dcterms:created xsi:type="dcterms:W3CDTF">2026-08-13T11:07:00Z</dcterms:created>
  <dcterms:modified xsi:type="dcterms:W3CDTF">2026-08-31T21:55:00Z</dcterms:modified>
</cp:coreProperties>
</file>