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VIA LEITE SENSE</w:t>
      </w:r>
    </w:p>
    <w:p>
      <w:pPr>
        <w:jc w:val="center"/>
      </w:pPr>
      <w:r>
        <w:rPr>
          <w:sz w:val="28"/>
        </w:rPr>
        <w:t>Dossiê técnico para elaboração do artigo do Projeto Integrador</w:t>
      </w:r>
    </w:p>
    <w:p>
      <w:pPr>
        <w:jc w:val="center"/>
      </w:pPr>
      <w:r>
        <w:rPr>
          <w:i/>
        </w:rPr>
        <w:t>Radar preditivo de risco produtivo e de qualidade para a cadeia leiteira</w:t>
        <w:br/>
        <w:t>USINA I.A. · Goiânia-GO · Posição de 10/10/2026</w:t>
      </w:r>
    </w:p>
    <w:p/>
    <w:p>
      <w:r>
        <w:rPr>
          <w:b/>
          <w:i w:val="0"/>
        </w:rPr>
        <w:t>Como usar este documento</w:t>
      </w:r>
    </w:p>
    <w:p>
      <w:r>
        <w:rPr>
          <w:b w:val="0"/>
          <w:i w:val="0"/>
        </w:rPr>
        <w:t>Reúne o que está registrado e verificado sobre o projeto, na ordem de um artigo (problema, método, resultados, limitações). Cada afirmação traz a origem no repositório. A seção 10 lista o que NÃO deve ser afirmado no texto, porque o projeto ainda não tem evidência para isso. A trilha acadêmica completa está em docs/PROJETO_INTEGRADOR.md.</w:t>
      </w:r>
    </w:p>
    <w:p>
      <w:pPr>
        <w:pStyle w:val="Heading1"/>
      </w:pPr>
      <w:r>
        <w:t>1. Identificação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7087"/>
            <w:shd w:val="clear" w:color="auto" w:fill="DCE6F1"/>
          </w:tcPr>
          <w:p>
            <w:r/>
            <w:r>
              <w:rPr>
                <w:b/>
                <w:sz w:val="19"/>
              </w:rPr>
              <w:t>Informação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Nome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VIA LEITE SENSE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Descrição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Plataforma de IA preditiva que cruza dados climáticos, operacionais e de qualidade do leite para antecipar queda de produção e risco de qualidade.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Desenvolvedor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USINA I.A. — Consultoria e Tecnologia (Goiânia-GO)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Contexto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Desafio AgroStartup 2026 (SENAR / SEBRAE Goiás)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Início do desenvolvimento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07/06/2026 (primeiro commit); 80 commits até 07/10/2026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Em produção desde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17/07/2026 (frontend na Vercel, API na Railway)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Demonstração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https://via-leite-sense.vercel.app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Repositório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https://github.com/usinaconsultoriaeminteligencia/via-leite-sense (público)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Autores do artigo e do Projeto Integrador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Fagner Vieira (negócio e produto), Daianne Valéria (produto e UX) e Matheus Iverson (dados e modelagem), e somente eles (regra do documento mestre, seção 2)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Contribuição externa ao escopo acadêmico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Maria Vitória (validação sanitária) e Diego Santana (arquitetura e IoT) atuam na Maratona SENAR Goiás. Citar como contribuição externa, nunca como coautoria</w:t>
            </w:r>
          </w:p>
        </w:tc>
      </w:tr>
    </w:tbl>
    <w:p/>
    <w:p>
      <w:pPr>
        <w:pStyle w:val="Heading1"/>
      </w:pPr>
      <w:r>
        <w:t>2. Problema e justificativa</w:t>
      </w:r>
    </w:p>
    <w:p>
      <w:r>
        <w:rPr>
          <w:b w:val="0"/>
          <w:i w:val="0"/>
        </w:rPr>
        <w:t>Produtores, cooperativas e laticínios costumam descobrir problemas de qualidade e queda de produção depois da coleta, quando a perda já é irreversível. Isso gera descarte, penalidades por CCS e CBT fora do padrão, perda de bônus de qualidade e queda de produção por estresse térmico não antecipado.</w:t>
      </w:r>
    </w:p>
    <w:p>
      <w:r>
        <w:rPr>
          <w:b w:val="0"/>
          <w:i w:val="0"/>
        </w:rPr>
        <w:t>O projeto parte da tese de que a dor central é a falta de antecipação e não o descarte em si. O descarte é monitorado, mas tratado como consequência (peso de 5 dos 100 pontos do score).</w:t>
      </w:r>
    </w:p>
    <w:p>
      <w:pPr>
        <w:pStyle w:val="Heading2"/>
      </w:pPr>
      <w:r>
        <w:t>Dados de mercado (IBGE/SIDRA 2024, conferidos na fonte pela equipe)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DCE6F1"/>
          </w:tcPr>
          <w:p>
            <w:r/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4819"/>
            <w:shd w:val="clear" w:color="auto" w:fill="DCE6F1"/>
          </w:tcPr>
          <w:p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Produção nacional de leite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35,7 bilhões de litros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Valor da produção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R$ 87,5 bilhões (cerca de R$ 2,45 por litro)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Participação dos 5 maiores estados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69% (MG 27,4%; PR 12,9%; RS 11,3%; SC 9,2%; GO 8,2%)</w:t>
            </w:r>
          </w:p>
        </w:tc>
      </w:tr>
    </w:tbl>
    <w:p/>
    <w:p>
      <w:r>
        <w:rPr>
          <w:b w:val="0"/>
          <w:i/>
        </w:rPr>
        <w:t>Fonte interna: docs/PLANO_DE_NEGOCIO.md. Para o artigo, citar a Pesquisa Trimestral do Leite do IBGE diretamente e conferir os números na tabela original.</w:t>
      </w:r>
    </w:p>
    <w:p>
      <w:pPr>
        <w:pStyle w:val="Heading1"/>
      </w:pPr>
      <w:r>
        <w:t>3. Objetivo e proposta de valor</w:t>
      </w:r>
    </w:p>
    <w:p>
      <w:r>
        <w:rPr>
          <w:b w:val="0"/>
          <w:i w:val="0"/>
        </w:rPr>
        <w:t>Objetivo: antecipar riscos produtivos, de qualidade e de rentabilidade na cadeia leiteira, convertendo dados climáticos, operacionais e de qualidade em um score de risco acionável por produtor, rota e laticínio.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CE6F1"/>
          </w:tcPr>
          <w:p>
            <w:r/>
            <w:r>
              <w:rPr>
                <w:b/>
                <w:sz w:val="19"/>
              </w:rPr>
              <w:t>Público</w:t>
            </w:r>
          </w:p>
        </w:tc>
        <w:tc>
          <w:tcPr>
            <w:tcW w:type="dxa" w:w="6520"/>
            <w:shd w:val="clear" w:color="auto" w:fill="DCE6F1"/>
          </w:tcPr>
          <w:p>
            <w:r/>
            <w:r>
              <w:rPr>
                <w:b/>
                <w:sz w:val="19"/>
              </w:rPr>
              <w:t>O que a plataforma entrega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Laticínio / cooperativa (comprador)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Ranking de fornecedores por prioridade de intervenção; impacto econômico estimado; visão consolidada da carteira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Produtor (usuário final)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Score individual com recomendação de ação; relatório em PDF por fornecedor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Gestão executiva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Score de 0 a 100 por produtor, rota e laticínio; horizontes de 7, 15 e 30 dias</w:t>
            </w:r>
          </w:p>
        </w:tc>
      </w:tr>
    </w:tbl>
    <w:p/>
    <w:p>
      <w:pPr>
        <w:pStyle w:val="Heading1"/>
      </w:pPr>
      <w:r>
        <w:t>4. Arquitetura e implementação</w:t>
      </w:r>
    </w:p>
    <w:p>
      <w:r>
        <w:rPr>
          <w:b/>
          <w:i w:val="0"/>
        </w:rPr>
        <w:t>Arquitetura em produção (verificada em 07/10/2026):</w:t>
      </w:r>
    </w:p>
    <w:p>
      <w:r>
        <w:rPr>
          <w:b w:val="0"/>
          <w:i w:val="0"/>
        </w:rPr>
        <w:t>Navegador → SPA estática (Vercel) → função serverless que injeta a chave de API → API FastAPI (Railway) → DuckDB em volume persistente.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9"/>
              </w:rPr>
              <w:t>Camada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b/>
                <w:sz w:val="19"/>
              </w:rPr>
              <w:t>Tecnologia</w:t>
            </w:r>
          </w:p>
        </w:tc>
        <w:tc>
          <w:tcPr>
            <w:tcW w:type="dxa" w:w="3969"/>
            <w:shd w:val="clear" w:color="auto" w:fill="DCE6F1"/>
          </w:tcPr>
          <w:p>
            <w:r/>
            <w:r>
              <w:rPr>
                <w:b/>
                <w:sz w:val="19"/>
              </w:rPr>
              <w:t>Local no repositório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JavaScript (SPA), HTML, CSS; Vercel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frontend/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API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Python, FastAPI; Railway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via_leite/api/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Motor de risco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Python, Pandas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via_leite/core/score_risco.py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Modelo preditivo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XGBoost (scikit-learn Pipeline)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via_leite/models/treino_mvp_avancado.py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Gerador de dados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Python, NumPy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via_leite/models/gerador_leite_sintetico.py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Ingestão e validação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Python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via_leite/ingest/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Persistência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DuckDB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via_leite/store/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Relatório PDF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FPDF2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via_leite/api/relatorio_pdf.py</w:t>
            </w:r>
          </w:p>
        </w:tc>
      </w:tr>
    </w:tbl>
    <w:p/>
    <w:p>
      <w:pPr>
        <w:pStyle w:val="Heading2"/>
      </w:pPr>
      <w:r>
        <w:t>Principais rotas da API</w:t>
      </w:r>
    </w:p>
    <w:p>
      <w:pPr>
        <w:pStyle w:val="ListBullet"/>
      </w:pPr>
      <w:r>
        <w:t>GET /health (público); demais rotas exigem o cabeçalho X-API-Key</w:t>
      </w:r>
    </w:p>
    <w:p>
      <w:pPr>
        <w:pStyle w:val="ListBullet"/>
      </w:pPr>
      <w:r>
        <w:t>GET /portfolio, /suppliers, /suppliers/{id}, /suppliers/{id}/report.pdf</w:t>
      </w:r>
    </w:p>
    <w:p>
      <w:pPr>
        <w:pStyle w:val="ListBullet"/>
      </w:pPr>
      <w:r>
        <w:t>GET /risk-radar (horizontes de 7, 15 e 30 dias), /risk-distribution, /quality-summary, /impact</w:t>
      </w:r>
    </w:p>
    <w:p>
      <w:pPr>
        <w:pStyle w:val="ListBullet"/>
      </w:pPr>
      <w:r>
        <w:t>GET /model/metrics, /model/predictions, /model/feature-importance</w:t>
      </w:r>
    </w:p>
    <w:p>
      <w:pPr>
        <w:pStyle w:val="ListBullet"/>
      </w:pPr>
      <w:r>
        <w:t>POST /management-events e /action-plans (gestão e plano de ação)</w:t>
      </w:r>
    </w:p>
    <w:p>
      <w:pPr>
        <w:pStyle w:val="ListBullet"/>
      </w:pPr>
      <w:r>
        <w:t>GET /api/iot/... (leituras IoT em modo simulado)</w:t>
      </w:r>
    </w:p>
    <w:p>
      <w:pPr>
        <w:pStyle w:val="Heading2"/>
      </w:pPr>
      <w:r>
        <w:t>Qualidade de engenharia</w:t>
      </w:r>
    </w:p>
    <w:p>
      <w:pPr>
        <w:pStyle w:val="ListBullet"/>
      </w:pPr>
      <w:r>
        <w:t>Suíte de testes automatizados: 63 testes passando e 1 marcado como falha esperada (verificado em 02/09/2026).</w:t>
      </w:r>
    </w:p>
    <w:p>
      <w:pPr>
        <w:pStyle w:val="ListBullet"/>
      </w:pPr>
      <w:r>
        <w:t>Autenticação por chave de API em todas as rotas, exceto /health; a chave fica no proxy serverless, não no navegador.</w:t>
      </w:r>
    </w:p>
    <w:p>
      <w:pPr>
        <w:pStyle w:val="ListBullet"/>
      </w:pPr>
      <w:r>
        <w:t>Identificadores pessoais (CPF/CNPJ e nome) proibidos como variáveis do modelo, por LGPD e para evitar memorização por indivíduo.</w:t>
      </w:r>
    </w:p>
    <w:p>
      <w:pPr>
        <w:pStyle w:val="ListBullet"/>
      </w:pPr>
      <w:r>
        <w:t>Guarda de ingestão que bloqueia lotes cujo score não seria interpretável.</w:t>
      </w:r>
    </w:p>
    <w:p>
      <w:pPr>
        <w:pStyle w:val="Heading1"/>
      </w:pPr>
      <w:r>
        <w:t>5. Dados</w:t>
      </w:r>
    </w:p>
    <w:p>
      <w:r>
        <w:rPr>
          <w:b/>
          <w:i w:val="0"/>
        </w:rPr>
        <w:t>IMPORTANTE: a base usada para treinar e validar o modelo é sintética, gerada por simulação. O artigo deve declarar isso na seção de método.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DCE6F1"/>
          </w:tcPr>
          <w:p>
            <w:r/>
            <w:r>
              <w:rPr>
                <w:b/>
                <w:sz w:val="19"/>
              </w:rPr>
              <w:t>Tabela (dados_teste/)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9"/>
              </w:rPr>
              <w:t>Linhas</w:t>
            </w:r>
          </w:p>
        </w:tc>
        <w:tc>
          <w:tcPr>
            <w:tcW w:type="dxa" w:w="3118"/>
            <w:shd w:val="clear" w:color="auto" w:fill="DCE6F1"/>
          </w:tcPr>
          <w:p>
            <w:r/>
            <w:r>
              <w:rPr>
                <w:b/>
                <w:sz w:val="19"/>
              </w:rPr>
              <w:t>Período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fact_producao_produtor_dia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54.780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01/01/2021 a 31/12/2025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fact_rota_dia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41.998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2021 a 2025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fact_clima_diario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7.304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2021 a 2025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dim_tempo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1.826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2021 a 2025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dim_produtor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30 produtores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dim_rota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42 rotas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dim_laticinio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 laticínios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pPr>
        <w:pStyle w:val="ListBullet"/>
      </w:pPr>
      <w:r>
        <w:t>Sistemas de produção simulados: 18 a pasto, 11 semiconfinados e 1 confinado.</w:t>
      </w:r>
    </w:p>
    <w:p>
      <w:pPr>
        <w:pStyle w:val="ListBullet"/>
      </w:pPr>
      <w:r>
        <w:t>O gerador cria a produção com sazonalidade, chuva, calor (THI), manejo, eventos de antibiótico e de reprovação de qualidade, e ruído.</w:t>
      </w:r>
    </w:p>
    <w:p>
      <w:pPr>
        <w:pStyle w:val="ListBullet"/>
      </w:pPr>
      <w:r>
        <w:t>O clima pode ser sintético ou real (INMET), via via_leite/ingest/ingestao_clima_inmet.py.</w:t>
      </w:r>
    </w:p>
    <w:p>
      <w:pPr>
        <w:pStyle w:val="ListBullet"/>
      </w:pPr>
      <w:r>
        <w:t>Existe pipeline para importar dados reais de laticínios (validar_pacote_dados_reais.py e executar_piloto_real.py). Nenhum dado real de cliente foi processado até agora.</w:t>
      </w:r>
    </w:p>
    <w:p>
      <w:pPr>
        <w:pStyle w:val="Heading1"/>
      </w:pPr>
      <w:r>
        <w:t>6. Método</w:t>
      </w:r>
    </w:p>
    <w:p>
      <w:pPr>
        <w:pStyle w:val="Heading2"/>
      </w:pPr>
      <w:r>
        <w:t>6.1 Score VIA LEITE de risco (0 a 100)</w:t>
      </w:r>
    </w:p>
    <w:p>
      <w:r>
        <w:rPr>
          <w:b w:val="0"/>
          <w:i w:val="0"/>
        </w:rPr>
        <w:t>Soma ponderada de sete dimensões binárias, mais contribuição contínua do índice de temperatura e umidade (THI) e da tendência de queda de produção. Implementado em via_leite/core/score_risco.py.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19"/>
              </w:rPr>
              <w:t>Dimensão</w:t>
            </w:r>
          </w:p>
        </w:tc>
        <w:tc>
          <w:tcPr>
            <w:tcW w:type="dxa" w:w="1134"/>
            <w:shd w:val="clear" w:color="auto" w:fill="DCE6F1"/>
          </w:tcPr>
          <w:p>
            <w:r/>
            <w:r>
              <w:rPr>
                <w:b/>
                <w:sz w:val="19"/>
              </w:rPr>
              <w:t>Peso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b/>
                <w:sz w:val="19"/>
              </w:rPr>
              <w:t>Critério (limiar implementado)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Queda de produção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Queda maior que 10% frente à média histórica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Qualidade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CCS ≥ 400.000 cél/mL, CBT ≥ 100.000 UFC/mL ou gordura &lt; 3,0%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CCS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CCS ≥ 400.000 cél/mL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CBT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CBT ≥ 100.000 UFC/mL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Temperatura do tanque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Acima de 4,0 °C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Perda de bônus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CCS ≥ 600.000 ou CBT ≥ 300.000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Descarte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Perda logística maior que 5%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DCE6F1"/>
          </w:tcPr>
          <w:p>
            <w:r/>
            <w:r>
              <w:rPr>
                <w:b/>
                <w:sz w:val="19"/>
              </w:rPr>
              <w:t>Faixa</w:t>
            </w:r>
          </w:p>
        </w:tc>
        <w:tc>
          <w:tcPr>
            <w:tcW w:type="dxa" w:w="2268"/>
            <w:shd w:val="clear" w:color="auto" w:fill="DCE6F1"/>
          </w:tcPr>
          <w:p>
            <w:r/>
            <w:r>
              <w:rPr>
                <w:b/>
                <w:sz w:val="19"/>
              </w:rPr>
              <w:t>Classe</w:t>
            </w:r>
          </w:p>
        </w:tc>
        <w:tc>
          <w:tcPr>
            <w:tcW w:type="dxa" w:w="5386"/>
            <w:shd w:val="clear" w:color="auto" w:fill="DCE6F1"/>
          </w:tcPr>
          <w:p>
            <w:r/>
            <w:r>
              <w:rPr>
                <w:b/>
                <w:sz w:val="19"/>
              </w:rPr>
              <w:t>Ação recomendada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0–25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Baixo risco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Monitoramento padrão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26–50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Atenção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Revisão preventiva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51–75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Alto risco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Ação corretiva imediata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76–100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Crítico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Intervenção urgente</w:t>
            </w:r>
          </w:p>
        </w:tc>
      </w:tr>
    </w:tbl>
    <w:p/>
    <w:p>
      <w:r>
        <w:rPr>
          <w:b w:val="0"/>
          <w:i/>
        </w:rPr>
        <w:t>THI: conforto até 68; estresse leve de 69 a 72; estresse severo acima de 78. Os limiares citam a IN 77/2018 (MAPA). Antes de publicar, conferir os valores na norma vigente, porque as INs 76 e 77/2018 foram atualizadas depois.</w:t>
      </w:r>
    </w:p>
    <w:p>
      <w:pPr>
        <w:pStyle w:val="Heading2"/>
      </w:pPr>
      <w:r>
        <w:t>6.2 Modelo preditivo</w:t>
      </w:r>
    </w:p>
    <w:p>
      <w:pPr>
        <w:pStyle w:val="ListBullet"/>
      </w:pPr>
      <w:r>
        <w:t>Modelo: XGBRegressor dentro de um Pipeline do scikit-learn.</w:t>
      </w:r>
    </w:p>
    <w:p>
      <w:pPr>
        <w:pStyle w:val="ListBullet"/>
      </w:pPr>
      <w:r>
        <w:t>Alvo: média de litros coletados nos próximos 7 dias (target_media_coletada_7d).</w:t>
      </w:r>
    </w:p>
    <w:p>
      <w:pPr>
        <w:pStyle w:val="ListBullet"/>
      </w:pPr>
      <w:r>
        <w:t>Atributos: 119 numéricos e 12 categóricos, incluindo defasagens (1 a 28 dias), médias e desvios móveis de produção, CCS, CBT, THI e precipitação, além de atributos do produtor e da rota.</w:t>
      </w:r>
    </w:p>
    <w:p>
      <w:pPr>
        <w:pStyle w:val="ListBullet"/>
      </w:pPr>
      <w:r>
        <w:t>Divisão temporal, sem embaralhar: treino até 31/12/2023 (32.010 linhas); validação em 2024 (10.980); teste em 2025 (10.920).</w:t>
      </w:r>
    </w:p>
    <w:p>
      <w:pPr>
        <w:pStyle w:val="ListBullet"/>
      </w:pPr>
      <w:r>
        <w:t>Comparação com baseline: média móvel de 7 dias da própria série.</w:t>
      </w:r>
    </w:p>
    <w:p>
      <w:pPr>
        <w:pStyle w:val="ListBullet"/>
      </w:pPr>
      <w:r>
        <w:t>Também são gerados alvos binários de queda de produção para 7, 15 e 30 dias, usados no radar de risco.</w:t>
      </w:r>
    </w:p>
    <w:p>
      <w:pPr>
        <w:pStyle w:val="Heading1"/>
      </w:pPr>
      <w:r>
        <w:t>7. Resultados</w:t>
      </w:r>
    </w:p>
    <w:p>
      <w:r>
        <w:rPr>
          <w:b w:val="0"/>
          <w:i w:val="0"/>
        </w:rPr>
        <w:t>Métricas no conjunto de teste (2025), em artefatos_teste/metricas_modelo.json, iguais às servidas por /model/metrics em produção: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9"/>
              </w:rPr>
              <w:t>Métrica</w:t>
            </w:r>
          </w:p>
        </w:tc>
        <w:tc>
          <w:tcPr>
            <w:tcW w:type="dxa" w:w="1984"/>
            <w:shd w:val="clear" w:color="auto" w:fill="DCE6F1"/>
          </w:tcPr>
          <w:p>
            <w:r/>
            <w:r>
              <w:rPr>
                <w:b/>
                <w:sz w:val="19"/>
              </w:rPr>
              <w:t>Modelo XGBoost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b/>
                <w:sz w:val="19"/>
              </w:rPr>
              <w:t>Baseline (média móvel 7 dias)</w:t>
            </w:r>
          </w:p>
        </w:tc>
        <w:tc>
          <w:tcPr>
            <w:tcW w:type="dxa" w:w="2551"/>
            <w:shd w:val="clear" w:color="auto" w:fill="DCE6F1"/>
          </w:tcPr>
          <w:p>
            <w:r/>
            <w:r>
              <w:rPr>
                <w:b/>
                <w:sz w:val="19"/>
              </w:rPr>
              <w:t>Ganho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MAE (litros)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24,17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31,54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23% menor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RMSE (litros)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36,68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48,57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24% menor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MAPE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3,58%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4,55%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0,97 ponto percentual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R²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0,9944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0,9901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diferença pequena</w:t>
            </w:r>
          </w:p>
        </w:tc>
      </w:tr>
    </w:tbl>
    <w:p/>
    <w:p>
      <w:r>
        <w:rPr>
          <w:b/>
          <w:i w:val="0"/>
        </w:rPr>
        <w:t>Como interpretar. O R² alto aparece nos dois métodos porque a base sintética tem série estável por produtor; por isso o R² não discrimina bem. A comparação mais informativa é o erro absoluto contra o baseline (cerca de 23% menor). Esses resultados valem para dados sintéticos e não podem ser lidos como desempenho em fazendas reais.</w:t>
      </w:r>
    </w:p>
    <w:p>
      <w:pPr>
        <w:pStyle w:val="Heading1"/>
      </w:pPr>
      <w:r>
        <w:t>8. Modelo de negócio (plano v2.0)</w:t>
      </w:r>
    </w:p>
    <w:p>
      <w:pPr>
        <w:pStyle w:val="ListBullet"/>
      </w:pPr>
      <w:r>
        <w:t>Quem paga: o laticínio ou a cooperativa, que assina a plataforma e subsidia o uso pela rede de produtores (B2B2F).</w:t>
      </w:r>
    </w:p>
    <w:p>
      <w:pPr>
        <w:pStyle w:val="ListBullet"/>
      </w:pPr>
      <w:r>
        <w:t>Preço por produtor, pago pelo laticínio: R$ 39 (Básico) e R$ 69 (Pro). Licença de laticínio: R$ 6 a 25 mil por mês. Planos diretos Sense Lite e Farm: R$ 249 a 1.499. Hardware apenas por locação ou parceria.</w:t>
      </w:r>
    </w:p>
    <w:p>
      <w:pPr>
        <w:pStyle w:val="ListBullet"/>
      </w:pPr>
      <w:r>
        <w:t>Ponto de partida comercial: Goiás (Sul e Sudoeste, polos de Rio Verde e Jataí), depois Minas Gerais e região Sul.</w:t>
      </w:r>
    </w:p>
    <w:p>
      <w:pPr>
        <w:pStyle w:val="ListBullet"/>
      </w:pPr>
      <w:r>
        <w:t>Cenário conservador (Goiás primeiro): cerca de R$ 3,2 milhões de receita anual recorrente em 3 anos. O cenário nacional depende de captação.</w:t>
      </w:r>
    </w:p>
    <w:p>
      <w:pPr>
        <w:pStyle w:val="ListBullet"/>
      </w:pPr>
      <w:r>
        <w:t>Próximo marco comercial: piloto de 30 a 90 dias com a primeira indústria parceira no Sul Goiano.</w:t>
      </w:r>
    </w:p>
    <w:p>
      <w:r>
        <w:rPr>
          <w:b w:val="0"/>
          <w:i/>
        </w:rPr>
        <w:t>Fonte: docs/PLANO_DE_NEGOCIO.md. São projeções e hipóteses de plano, não resultados observados.</w:t>
      </w:r>
    </w:p>
    <w:p>
      <w:pPr>
        <w:pStyle w:val="Heading1"/>
      </w:pPr>
      <w:r>
        <w:t>9. Estágio atual e delimitação do estudo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CE6F1"/>
          </w:tcPr>
          <w:p>
            <w:r/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6520"/>
            <w:shd w:val="clear" w:color="auto" w:fill="DCE6F1"/>
          </w:tcPr>
          <w:p>
            <w:r/>
            <w:r>
              <w:rPr>
                <w:b/>
                <w:sz w:val="19"/>
              </w:rPr>
              <w:t>Itens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Implementado e em produção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API autenticada; SPA com ranking e radar; score de risco; modelo de volume em 7 dias; relatório PDF por fornecedor; ingestão com validação; módulo IoT em modo simulado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Conceito (ainda não implementado)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Assistente no WhatsApp para o produtor (linguagem simples, resposta com litros do dia); aviso automático à cooperativa; sensores IoT reais (fase 4)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Próxima etapa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Calibração dos limiares com dados reais; indicadores de gestão da fazenda; piloto com laticínio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Linha do tempo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07/06/2026 início · 17/07 produção · 07/08 API autenticada · 25/08 reorganização em pacote via_leite/ · 23/09 Plano de Trabalho FAPEG · 09/10 resultado da seleção AgroStartup</w:t>
            </w:r>
          </w:p>
        </w:tc>
      </w:tr>
    </w:tbl>
    <w:p/>
    <w:p>
      <w:r>
        <w:rPr>
          <w:b w:val="0"/>
          <w:i w:val="0"/>
        </w:rPr>
        <w:t>Delimitação a declarar no artigo: o estudo apresenta a concepção, a arquitetura e a validação técnica em ambiente simulado. A validação em campo, com dados reais de produtores e laticínios, é a etapa seguinte e está prevista no piloto.</w:t>
      </w:r>
    </w:p>
    <w:p>
      <w:pPr>
        <w:pStyle w:val="Heading1"/>
      </w:pPr>
      <w:r>
        <w:t>9.1 Achados de auditoria já documentados (régua acadêmica)</w:t>
      </w:r>
    </w:p>
    <w:p>
      <w:r>
        <w:rPr>
          <w:b w:val="0"/>
          <w:i w:val="0"/>
        </w:rPr>
        <w:t>O Projeto Integrador segue regra acadêmica, que inclui limitações e autocrítica (diferente do material comercial). Os achados abaixo estão em docs/projeto_integrador/ (REGISTRO.md, rna.md, ia.md, ia_generativa.md) e podem entrar no artigo como contribuição metodológica.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DCE6F1"/>
          </w:tcPr>
          <w:p>
            <w:r/>
            <w:r>
              <w:rPr>
                <w:b/>
                <w:sz w:val="19"/>
              </w:rPr>
              <w:t>Código</w:t>
            </w:r>
          </w:p>
        </w:tc>
        <w:tc>
          <w:tcPr>
            <w:tcW w:type="dxa" w:w="6236"/>
            <w:shd w:val="clear" w:color="auto" w:fill="DCE6F1"/>
          </w:tcPr>
          <w:p>
            <w:r/>
            <w:r>
              <w:rPr>
                <w:b/>
                <w:sz w:val="19"/>
              </w:rPr>
              <w:t>Achado</w:t>
            </w:r>
          </w:p>
        </w:tc>
        <w:tc>
          <w:tcPr>
            <w:tcW w:type="dxa" w:w="1871"/>
            <w:shd w:val="clear" w:color="auto" w:fill="DCE6F1"/>
          </w:tcPr>
          <w:p>
            <w:r/>
            <w:r>
              <w:rPr>
                <w:b/>
                <w:sz w:val="19"/>
              </w:rPr>
              <w:t>Origem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A1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Duas variáveis (litros_ajustados_gerencial e impacto_gerencial_pct) expõem o dia t, quebrando a convenção temporal do pipeline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rna.md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A2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CPF/CNPJ e nome do fornecedor usados como atributos do modelo. Corrigido no master (identificadores proibidos)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rna.md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A3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Hiperparâmetros nunca sintonizados; validação não usada para seleção; execução única, sem variância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rna.md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 metade superior da escala de risco não é alcançada na base sintética (máximo de 49,40 no score_via_leite)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ia.md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C2 a C6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Dimensões sobrepostas; classe NaN latente; pesos sem proveniência; constantes de mercado no código; limiares mais estritos que a norma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ia.md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G1 a G3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Planos de ação truncados em 12; camada de receitas existe e não está ligada; dois motores de risco coexistem</w:t>
            </w:r>
          </w:p>
        </w:tc>
        <w:tc>
          <w:tcPr>
            <w:tcW w:type="dxa" w:w="1871"/>
          </w:tcPr>
          <w:p>
            <w:r/>
            <w:r>
              <w:rPr>
                <w:sz w:val="19"/>
              </w:rPr>
              <w:t>ia_generativa.md</w:t>
            </w:r>
          </w:p>
        </w:tc>
      </w:tr>
    </w:tbl>
    <w:p/>
    <w:p>
      <w:r>
        <w:rPr>
          <w:b w:val="0"/>
          <w:i w:val="0"/>
        </w:rPr>
        <w:t>Plano do artigo (3 contribuições: estratificação da confiança por camada, protocolo de auditoria de sistema em produção e o caso da cadeia leiteira): docs/projeto_integrador/artigo.md.</w:t>
      </w:r>
    </w:p>
    <w:p>
      <w:pPr>
        <w:pStyle w:val="Heading1"/>
      </w:pPr>
      <w:r>
        <w:t>10. O que NÃO afirmar no artigo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DCE6F1"/>
          </w:tcPr>
          <w:p>
            <w:r/>
            <w:r>
              <w:rPr>
                <w:b/>
                <w:sz w:val="19"/>
              </w:rPr>
              <w:t>Não afirmar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b/>
                <w:sz w:val="19"/>
              </w:rPr>
              <w:t>Por quê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"Modelo treinado com dados reais"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 base é sintética. Escrever "validado em base sintética de referência"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"Antecipa quedas com 30 dias de antecedência" como resultado comprovado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O modelo de regressão tem horizonte de 7 dias. Os alvos de 15 e 30 dias existem, mas sem evidência em dado real. Apresentar como horizonte previsto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"Reduz descarte em 50–60%", "melhora CCS em 25–35%", "ganho de R$ 800–1.500 por mês"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Constam no README como "melhora média esperada", sem estudo próprio que os sustente. Só citar com fonte primária ou como hipótese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"Clinicamente seguro" ou "validado por veterinária"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Não há protocolo de validação clínica documentado. A veterinária participa da definição dos critérios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"Alertas pelo WhatsApp funcionando"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É conceito (página 06 do protótipo). Não há integração implementada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R² de 99,4% como prova de qualidade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O baseline tem 99,0% na mesma base. Usar o ganho de erro sobre o baseline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Números de mercado sem fonte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Citar IBGE/SIDRA diretamente</w:t>
            </w:r>
          </w:p>
        </w:tc>
      </w:tr>
    </w:tbl>
    <w:p/>
    <w:p>
      <w:pPr>
        <w:pStyle w:val="Heading1"/>
      </w:pPr>
      <w:r>
        <w:t>11. Referências sugeridas</w:t>
      </w:r>
    </w:p>
    <w:p>
      <w:r>
        <w:rPr>
          <w:b w:val="0"/>
          <w:i/>
        </w:rPr>
        <w:t>Conferir cada referência antes de incluir no artigo (ano, edição e formatação ABNT).</w:t>
      </w:r>
    </w:p>
    <w:p>
      <w:pPr>
        <w:pStyle w:val="ListBullet"/>
      </w:pPr>
      <w:r>
        <w:t>IBGE. Pesquisa Trimestral do Leite (SIDRA), dados de 2024.</w:t>
      </w:r>
    </w:p>
    <w:p>
      <w:pPr>
        <w:pStyle w:val="ListBullet"/>
      </w:pPr>
      <w:r>
        <w:t>BRASIL. MAPA. Instruções Normativas nº 76 e nº 77, de 26/11/2018, e atualizações posteriores.</w:t>
      </w:r>
    </w:p>
    <w:p>
      <w:pPr>
        <w:pStyle w:val="ListBullet"/>
      </w:pPr>
      <w:r>
        <w:t>INMET. Dados históricos meteorológicos (portal.inmet.gov.br).</w:t>
      </w:r>
    </w:p>
    <w:p>
      <w:pPr>
        <w:pStyle w:val="ListBullet"/>
      </w:pPr>
      <w:r>
        <w:t>THOM, E. C. The discomfort index. Weatherwise, v. 12, n. 2, p. 57-60, 1959.</w:t>
      </w:r>
    </w:p>
    <w:p>
      <w:pPr>
        <w:pStyle w:val="ListBullet"/>
      </w:pPr>
      <w:r>
        <w:t>CHEN, T.; GUESTRIN, C. XGBoost: a scalable tree boosting system. In: KDD 2016.</w:t>
      </w:r>
    </w:p>
    <w:p>
      <w:pPr>
        <w:pStyle w:val="ListBullet"/>
      </w:pPr>
      <w:r>
        <w:t>EMBRAPA GADO DE LEITE. Publicações sobre qualidade do leite e estresse térmico.</w:t>
      </w:r>
    </w:p>
    <w:p>
      <w:pPr>
        <w:pStyle w:val="ListBullet"/>
      </w:pPr>
      <w:r>
        <w:t>LACTALIS. Manual Metodológico do Projeto Lactaleite. Clube do Produtor, 29/10/2025 (referência para indicadores de gestão e regras de consistência de dados).</w:t>
      </w:r>
    </w:p>
    <w:p>
      <w:pPr>
        <w:pStyle w:val="Heading1"/>
      </w:pPr>
      <w:r>
        <w:t>12. Onde está cada material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DCE6F1"/>
          </w:tcPr>
          <w:p>
            <w:r/>
            <w:r>
              <w:rPr>
                <w:b/>
                <w:sz w:val="19"/>
              </w:rPr>
              <w:t>Para quê</w:t>
            </w:r>
          </w:p>
        </w:tc>
        <w:tc>
          <w:tcPr>
            <w:tcW w:type="dxa" w:w="5102"/>
            <w:shd w:val="clear" w:color="auto" w:fill="DCE6F1"/>
          </w:tcPr>
          <w:p>
            <w:r/>
            <w:r>
              <w:rPr>
                <w:b/>
                <w:sz w:val="19"/>
              </w:rPr>
              <w:t>Arquivo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Estado real, limitações e próximos passos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docs/ESTADO_REAL.md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Visão, missão e posicionamento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docs/visao_produto.md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Plano de Negócio v2.0 (docx e pdf)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docs/PLANO_DE_NEGOCIO.md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Arquitetura de dados e schema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docs/arquitetura_dados.md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Roadmap por fases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docs/roadmap.md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Validação de mercado: hipóteses H1 a H5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docs/validacao_mercado.md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Pacote de dados reais (templates)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docs/DADOS_REAIS_MVP.md; docs/templates_dados_reais/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Pitch (3 minutos) e protótipo (14 páginas)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prototipo/ (VIA_LEITE_SENSE_Pitch e VIA_LEITE_SENSE_Prototipo)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Plano de Trabalho FAPEG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docs/plano_de_trabalho/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Deploy e variáveis de ambiente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DEPLOY.md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Histórico de sessões e decisões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SESSION_LOG.md</w:t>
            </w:r>
          </w:p>
        </w:tc>
      </w:tr>
    </w:tbl>
    <w:p/>
    <w:p>
      <w:pPr>
        <w:pStyle w:val="Heading2"/>
      </w:pPr>
      <w:r>
        <w:t>Para reproduzir os resultados</w:t>
      </w:r>
    </w:p>
    <w:p>
      <w:r>
        <w:rPr>
          <w:b w:val="0"/>
          <w:i w:val="0"/>
        </w:rPr>
        <w:t>python -m via_leite.models.gerador_leite_sintetico --output-dir dados_teste</w:t>
        <w:br/>
        <w:t>python -m via_leite.models.treino_mvp_avancado</w:t>
        <w:br/>
        <w:t>python -m via_leite.core.score_risco</w:t>
      </w:r>
    </w:p>
    <w:p>
      <w:r>
        <w:rPr>
          <w:b w:val="0"/>
          <w:i w:val="0"/>
        </w:rPr>
        <w:t>Depois, comparar artefatos_teste/metricas_modelo.json com os valores da seção 7.</w:t>
      </w:r>
    </w:p>
    <w:p>
      <w:pPr>
        <w:pStyle w:val="Heading1"/>
      </w:pPr>
      <w:r>
        <w:t>13. Sugestão de estrutura do artigo</w:t>
      </w:r>
    </w:p>
    <w:p>
      <w:pPr>
        <w:pStyle w:val="ListBullet"/>
      </w:pPr>
      <w:r>
        <w:t>Resumo e palavras-chave: previsão de risco, pecuária leiteira, CCS/CBT, estresse térmico, XGBoost.</w:t>
      </w:r>
    </w:p>
    <w:p>
      <w:pPr>
        <w:pStyle w:val="ListBullet"/>
      </w:pPr>
      <w:r>
        <w:t>Introdução: problema da decisão reativa e dados do IBGE (seção 2).</w:t>
      </w:r>
    </w:p>
    <w:p>
      <w:pPr>
        <w:pStyle w:val="ListBullet"/>
      </w:pPr>
      <w:r>
        <w:t>Objetivos (seção 3).</w:t>
      </w:r>
    </w:p>
    <w:p>
      <w:pPr>
        <w:pStyle w:val="ListBullet"/>
      </w:pPr>
      <w:r>
        <w:t>Método: dados sintéticos e clima INMET (5); score e modelo (6).</w:t>
      </w:r>
    </w:p>
    <w:p>
      <w:pPr>
        <w:pStyle w:val="ListBullet"/>
      </w:pPr>
      <w:r>
        <w:t>Resultados e discussão (7), com a interpretação correta do R² e do baseline.</w:t>
      </w:r>
    </w:p>
    <w:p>
      <w:pPr>
        <w:pStyle w:val="ListBullet"/>
      </w:pPr>
      <w:r>
        <w:t>Arquitetura e implementação (4) e modelo de negócio (8) em seção curta.</w:t>
      </w:r>
    </w:p>
    <w:p>
      <w:pPr>
        <w:pStyle w:val="ListBullet"/>
      </w:pPr>
      <w:r>
        <w:t>Limitações e trabalhos futuros (9): dado real, piloto, assistente em linguagem natural, IoT.</w:t>
      </w:r>
    </w:p>
    <w:p>
      <w:pPr>
        <w:pStyle w:val="ListBullet"/>
      </w:pPr>
      <w:r>
        <w:t>Considerações finais e referências (11).</w:t>
      </w:r>
    </w:p>
    <w:p/>
    <w:p>
      <w:r>
        <w:rPr>
          <w:b w:val="0"/>
          <w:i/>
        </w:rPr>
        <w:t>Documento gerado a partir do repositório local (commit 74c1710) e da produção em 07/10/2026. Não contém credenciais, chaves nem dados pessoais.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