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Escopo do artigo — Projeto Integrador 2026-2</w:t>
      </w:r>
    </w:p>
    <w:p>
      <w:pPr>
        <w:jc w:val="center"/>
      </w:pPr>
      <w:r>
        <w:rPr>
          <w:i/>
        </w:rPr>
        <w:t>Via Leite Sense · Autores: Fagner Vieira, Daianne Valéria e Matheus Iverson</w:t>
        <w:br/>
        <w:t>Resumo do plano em docs/projeto_integrador/artigo.md · posição de 10/10/2026</w:t>
      </w:r>
    </w:p>
    <w:p/>
    <w:p>
      <w:pPr>
        <w:pStyle w:val="Heading1"/>
      </w:pPr>
      <w:r>
        <w:t>1. Pergunta central</w:t>
      </w:r>
    </w:p>
    <w:p>
      <w:r>
        <w:rPr>
          <w:b/>
          <w:i w:val="0"/>
        </w:rPr>
        <w:t>Como construir e avaliar a confiabilidade de um sistema de apoio à decisão baseado em IA para a cadeia leiteira quando o substrato de dados é majoritariamente sintético: que garantias cada camada consegue oferecer, e quais permanecem fora de alcance?</w:t>
      </w:r>
    </w:p>
    <w:p>
      <w:pPr>
        <w:pStyle w:val="Heading1"/>
      </w:pPr>
      <w:r>
        <w:t>2. Contribuições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551"/>
            <w:shd w:val="clear" w:color="auto" w:fill="DCE6F1"/>
          </w:tcPr>
          <w:p>
            <w:r/>
            <w:r>
              <w:rPr>
                <w:b/>
                <w:sz w:val="19"/>
              </w:rPr>
              <w:t>Contribuição</w:t>
            </w:r>
          </w:p>
        </w:tc>
        <w:tc>
          <w:tcPr>
            <w:tcW w:type="dxa" w:w="5386"/>
            <w:shd w:val="clear" w:color="auto" w:fill="DCE6F1"/>
          </w:tcPr>
          <w:p>
            <w:r/>
            <w:r>
              <w:rPr>
                <w:b/>
                <w:sz w:val="19"/>
              </w:rPr>
              <w:t>Em uma frase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C-1 (principal)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Estratificação da confiança por camada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A confiabilidade varia com a origem do substrato de cada camada e não com a sofisticação do método. As regras normativas (substrato real) oferecem mais garantia que o aprendizado supervisionado (substrato sintético)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C-2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Protocolo de auditoria de sistema em produção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O método que produziu 12 achados verificados (A1–A3, C1–C6, G1–G3), replicável em outro sistema aplicado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C-3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Caso documentado da cadeia leiteira brasileira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Limiares ancorados nas INs 76/77 e clima real (INMET); literatura em português é escassa</w:t>
            </w:r>
          </w:p>
        </w:tc>
      </w:tr>
    </w:tbl>
    <w:p/>
    <w:p>
      <w:r>
        <w:rPr>
          <w:b w:val="0"/>
          <w:i/>
        </w:rPr>
        <w:t>O que o artigo NÃO reivindica: superioridade de modelo, ganho generalizável para outras cadeias e validação clínica das recomendações.</w:t>
      </w:r>
    </w:p>
    <w:p>
      <w:pPr>
        <w:pStyle w:val="Heading1"/>
      </w:pPr>
      <w:r>
        <w:t>3. Subperguntas 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20"/>
            <w:shd w:val="clear" w:color="auto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35"/>
            <w:shd w:val="clear" w:color="auto" w:fill="DCE6F1"/>
          </w:tcPr>
          <w:p>
            <w:r/>
            <w:r>
              <w:rPr>
                <w:b/>
                <w:sz w:val="19"/>
              </w:rPr>
              <w:t>Subpergunta</w:t>
            </w:r>
          </w:p>
        </w:tc>
        <w:tc>
          <w:tcPr>
            <w:tcW w:type="dxa" w:w="1247"/>
            <w:shd w:val="clear" w:color="auto" w:fill="DCE6F1"/>
          </w:tcPr>
          <w:p>
            <w:r/>
            <w:r>
              <w:rPr>
                <w:b/>
                <w:sz w:val="19"/>
              </w:rPr>
              <w:t>Matéria</w:t>
            </w:r>
          </w:p>
        </w:tc>
        <w:tc>
          <w:tcPr>
            <w:tcW w:type="dxa" w:w="2098"/>
            <w:shd w:val="clear" w:color="auto" w:fill="DCE6F1"/>
          </w:tcPr>
          <w:p>
            <w:r/>
            <w:r>
              <w:rPr>
                <w:b/>
                <w:sz w:val="19"/>
              </w:rPr>
              <w:t>Métrica</w:t>
            </w:r>
          </w:p>
        </w:tc>
        <w:tc>
          <w:tcPr>
            <w:tcW w:type="dxa" w:w="2154"/>
            <w:shd w:val="clear" w:color="auto" w:fill="DCE6F1"/>
          </w:tcPr>
          <w:p>
            <w:r/>
            <w:r>
              <w:rPr>
                <w:b/>
                <w:sz w:val="19"/>
              </w:rPr>
              <w:t>Status em 10/10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SP1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Qual o ganho do aprendizado supervisionado sobre o baseline, e onde está o teto em base sintética?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RNA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MAE: rede neural × XGBoost × baseline, 5 sementes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Resultado previsto para 29/09; sem código. Partida: MAE 24,17 contra 31,54 (23% menor)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SP2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Com que fidelidade a mensagem livre do produtor vira lançamento estruturado?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PLN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F1 de intenção e de entidade; taxa de lançamento correto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Previsto para 29/09; sem código nem corpus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SP3 (núcleo)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 ancoragem em norma (RAG) reduz alucinação e aumenta aderência?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IA Generativa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Quatro braços (B0 a B3); alucinação, aderência, citação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Previsto para 30/11; baseline do gerador atual já medido</w:t>
            </w:r>
          </w:p>
        </w:tc>
      </w:tr>
    </w:tbl>
    <w:p/>
    <w:p>
      <w:r>
        <w:rPr>
          <w:b w:val="0"/>
          <w:i w:val="0"/>
        </w:rPr>
        <w:t>A Extensão (cooperativa e produtores) entra como validade externa, fora das subperguntas. Se o piloto não acontecer, o artigo não muda e o item vira limitação declarada.</w:t>
      </w:r>
    </w:p>
    <w:p>
      <w:pPr>
        <w:pStyle w:val="Heading1"/>
      </w:pPr>
      <w:r>
        <w:t>4. Regras de método (a banca cobra)</w:t>
      </w:r>
    </w:p>
    <w:p>
      <w:pPr>
        <w:pStyle w:val="ListBullet"/>
      </w:pPr>
      <w:r>
        <w:t>Divisão temporal, nunca aleatória: treino até 2023, validação em 2024, teste de 2025 em diante.</w:t>
      </w:r>
    </w:p>
    <w:p>
      <w:pPr>
        <w:pStyle w:val="ListBullet"/>
      </w:pPr>
      <w:r>
        <w:t>Sementes 42 a 46; resultado como média e desvio-padrão; teste aberto uma única vez por modelo.</w:t>
      </w:r>
    </w:p>
    <w:p>
      <w:pPr>
        <w:pStyle w:val="ListBullet"/>
      </w:pPr>
      <w:r>
        <w:t>Orçamento de sintonia igual para os modelos comparados.</w:t>
      </w:r>
    </w:p>
    <w:p>
      <w:pPr>
        <w:pStyle w:val="ListBullet"/>
      </w:pPr>
      <w:r>
        <w:t>Baseline descrito com precisão: média móvel de 7 dias com queda em cascata para a de 30 dias e para a produção esperada do produtor.</w:t>
      </w:r>
    </w:p>
    <w:p>
      <w:pPr>
        <w:pStyle w:val="ListBullet"/>
      </w:pPr>
      <w:r>
        <w:t>Métrica principal é o ganho sobre o baseline, nunca o R² absoluto (0,994 contra 0,990 do baseline).</w:t>
      </w:r>
    </w:p>
    <w:p>
      <w:pPr>
        <w:pStyle w:val="ListBullet"/>
      </w:pPr>
      <w:r>
        <w:t>Avaliação humana (PLN e IA Generativa) com dupla avaliação independente e Kappa de Cohen reportado.</w:t>
      </w:r>
    </w:p>
    <w:p>
      <w:pPr>
        <w:pStyle w:val="Heading1"/>
      </w:pPr>
      <w:r>
        <w:t>5. Estrutura (8 a 12 páginas)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DCE6F1"/>
          </w:tcPr>
          <w:p>
            <w:r/>
            <w:r>
              <w:rPr>
                <w:b/>
                <w:sz w:val="19"/>
              </w:rPr>
              <w:t>§</w:t>
            </w:r>
          </w:p>
        </w:tc>
        <w:tc>
          <w:tcPr>
            <w:tcW w:type="dxa" w:w="3969"/>
            <w:shd w:val="clear" w:color="auto" w:fill="DCE6F1"/>
          </w:tcPr>
          <w:p>
            <w:r/>
            <w:r>
              <w:rPr>
                <w:b/>
                <w:sz w:val="19"/>
              </w:rPr>
              <w:t>Seção</w:t>
            </w:r>
          </w:p>
        </w:tc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19"/>
              </w:rPr>
              <w:t>Depende de resultado?</w:t>
            </w:r>
          </w:p>
        </w:tc>
        <w:tc>
          <w:tcPr>
            <w:tcW w:type="dxa" w:w="2835"/>
            <w:shd w:val="clear" w:color="auto" w:fill="DCE6F1"/>
          </w:tcPr>
          <w:p>
            <w:r/>
            <w:r>
              <w:rPr>
                <w:b/>
                <w:sz w:val="19"/>
              </w:rPr>
              <w:t>Quando escrever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Introdução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Não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Agora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Trabalhos relacionados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Não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Agora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O sistema (arquitetura em 4 camadas)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Não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Agora. O dossiê já cobre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Método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Não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Agora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SP1: aprendizado supervisionado e seu teto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Sim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Quando a rede neural fechar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SP2: entrada em linguagem natural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Sim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Quando o PLN fechar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SP3: geração ancorada (núcleo)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Sim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Até 30/11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Discussão integrada (C-1)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Sim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01 a 07/12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Ameaças à validade (A1 a G3)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Não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Agora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Conclusão e trabalhos futuros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Sim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01 a 07/12</w:t>
            </w:r>
          </w:p>
        </w:tc>
      </w:tr>
    </w:tbl>
    <w:p/>
    <w:p>
      <w:r>
        <w:rPr>
          <w:b/>
          <w:i w:val="0"/>
        </w:rPr>
        <w:t>Seis das dez seções não dependem de resultado e podem ser escritas já. Nenhuma foi escrita até agora: o plano previa agosto e setembro.</w:t>
      </w:r>
    </w:p>
    <w:p>
      <w:pPr>
        <w:pStyle w:val="Heading1"/>
      </w:pPr>
      <w:r>
        <w:t>6. Calendário até a banca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19"/>
              </w:rPr>
              <w:t>Período</w:t>
            </w:r>
          </w:p>
        </w:tc>
        <w:tc>
          <w:tcPr>
            <w:tcW w:type="dxa" w:w="7370"/>
            <w:shd w:val="clear" w:color="auto" w:fill="DCE6F1"/>
          </w:tcPr>
          <w:p>
            <w:r/>
            <w:r>
              <w:rPr>
                <w:b/>
                <w:sz w:val="19"/>
              </w:rPr>
              <w:t>Entrega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Até 31/10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§1 a §4 e §9 escritos (a partir do dossiê); rede neural (SP1) com resultado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Até 15/11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SP2 (PLN) com corpus e métricas; corpus normativo montado para o RAG (previsto 19/10)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Até 30/11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SP3 medido (RAG de plano de ação)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01 a 07/12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§7 SP3, §8 Discussão, §10 Conclusão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08 a 10/12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Revisão integral: números, linguagem de pitch, referências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12/12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Artigo pronto e apresentação de banca (o encerramento do semestre é 15/12)</w:t>
            </w:r>
          </w:p>
        </w:tc>
      </w:tr>
    </w:tbl>
    <w:p/>
    <w:p>
      <w:pPr>
        <w:pStyle w:val="Heading1"/>
      </w:pPr>
      <w:r>
        <w:t>7. Veículo-alvo (a confirmar nos sites oficiais)</w:t>
      </w:r>
    </w:p>
    <w:p>
      <w:pPr>
        <w:pStyle w:val="ListBullet"/>
      </w:pPr>
      <w:r>
        <w:t>P1: SBIAgro (Congresso Brasileiro de Agroinformática).</w:t>
      </w:r>
    </w:p>
    <w:p>
      <w:pPr>
        <w:pStyle w:val="ListBullet"/>
      </w:pPr>
      <w:r>
        <w:t>P2: ENIAC (SBC).</w:t>
      </w:r>
    </w:p>
    <w:p>
      <w:pPr>
        <w:pStyle w:val="ListBullet"/>
      </w:pPr>
      <w:r>
        <w:t>P3: Revista Brasileira de Computação Aplicada (RBCA), como rede de segurança.</w:t>
      </w:r>
    </w:p>
    <w:p>
      <w:pPr>
        <w:pStyle w:val="ListBullet"/>
      </w:pPr>
      <w:r>
        <w:t>P4: anais do SENAI FATESG ou evento interno.</w:t>
      </w:r>
    </w:p>
    <w:p>
      <w:pPr>
        <w:pStyle w:val="ListBullet"/>
      </w:pPr>
      <w:r>
        <w:t>O artigo é escrito para ser submetível; a submissão pode cair depois de 12/12.</w:t>
      </w:r>
    </w:p>
    <w:p>
      <w:pPr>
        <w:pStyle w:val="Heading1"/>
      </w:pPr>
      <w:r>
        <w:t>8. Atenção</w:t>
      </w:r>
    </w:p>
    <w:p>
      <w:pPr>
        <w:pStyle w:val="ListBullet"/>
      </w:pPr>
      <w:r>
        <w:t>Regra acadêmica: limitações e autocrítica entram no artigo (base sintética, C1, A2, resultados negativos). Linguagem de pitch ("inovador", "revolucionário") fica fora.</w:t>
      </w:r>
    </w:p>
    <w:p>
      <w:pPr>
        <w:pStyle w:val="ListBullet"/>
      </w:pPr>
      <w:r>
        <w:t>Autoria: só os três integrantes do PI. Maria Vitória e Diego Santana são contribuição externa, não coautoria.</w:t>
      </w:r>
    </w:p>
    <w:p>
      <w:pPr>
        <w:pStyle w:val="ListBullet"/>
      </w:pPr>
      <w:r>
        <w:t>Números do plano de 05/08 (MAE 24,45; 133 atributos) mudaram depois da correção do A2 no master: hoje são MAE 24,17 (23% menor) e 131 atributos. Usar os de hoje.</w:t>
      </w:r>
    </w:p>
    <w:p>
      <w:pPr>
        <w:pStyle w:val="ListBullet"/>
      </w:pPr>
      <w:r>
        <w:t>Não citar a referência "Gonçalves (2025)" do briefing: não foi encontrada no repositório e não está verificada.</w:t>
      </w:r>
    </w:p>
    <w:p>
      <w:pPr>
        <w:pStyle w:val="ListBullet"/>
      </w:pPr>
      <w:r>
        <w:t>Dados reais de produtores e o corpus de fala real não acompanham o artigo (PII). Publicam-se esquema, estatísticas agregadas e procedimento.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