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2 GWAS source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088"/>
        <w:gridCol w:w="1080"/>
        <w:gridCol w:w="1080"/>
        <w:gridCol w:w="1368"/>
        <w:gridCol w:w="1368"/>
      </w:tblGrid>
      <w:tr>
        <w:trPr>
          <w:tblHeader/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18"/>
              </w:rPr>
              <w:t>Trait or source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Ancestry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Controls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Jansen 2019 UKB only public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386533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109402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277131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sleepdur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Dashti 2019 continuous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446118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Dashti 2019 lt7h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411934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106192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305742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longsleep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Dashti 2019 ge9h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339926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34184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305742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chronotype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GCST007565 UKB morning person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403195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252287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150908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sleepiness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Wang 2019 daytime sleepiness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452071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napping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Dashti 2021 napping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452633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snoring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GCST009760 Campos main analysis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408317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152302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256015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 apnea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R9 G6 SLEEPAPNO 2023-05-04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375657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38998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336659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 efficiency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GCST007803 sleep efficiency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84810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accel sleep duration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GCST007803 sleep duration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85449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 timing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GCST007803 sleep midpoint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84810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GCST90479148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MVP 2068-trait study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388315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89262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299053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K11 REFLUX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457925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37811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420114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K11 DIAHER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440347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16991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423356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K11 OTHENTERCOL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487311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11893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475418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GCST90479330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MVP 2068-trait study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448886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535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448351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J10 BRONCHNAS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407502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1516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405986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SMOKING DEPEND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498326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3508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494818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J10 COPD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431452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25466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405986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M13 ARTHROSIS KNEE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373382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64535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308847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M13 ARTHROSIS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415521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106674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308847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M13 INTERVERTEB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401038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53270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347768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K11 CHOLELITH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485995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52042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433953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N14 CALCUKIDUR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FinnGen R13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498952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13637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485315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Pan UKB selected panel (100 phenotypes)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Pan-UK Biobank 2025 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EUR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75,091 to 420,531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Varies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Varies</w:t>
            </w:r>
          </w:p>
        </w:tc>
      </w:tr>
    </w:tbl>
    <w:p>
      <w:r>
        <w:t>Exact definitions, models, effective sample sizes, URLs and source identities for all 125 source records are retained in the detailed metadata. NA is unavailable or inapplicable, never zero.</w:t>
      </w:r>
    </w:p>
    <w:p>
      <w:r>
        <w:t>Numerical source: phenotype_and_source_metadata.tsv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