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3 Discovery and validation accounting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2160"/>
      </w:tblGrid>
      <w:tr>
        <w:trPr>
          <w:tblHeader/>
          <w:cantSplit/>
        </w:trPr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24445D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24445D"/>
          </w:tcPr>
          <w:p>
            <w:pPr>
              <w:spacing w:after="0" w:before="0" w:line="252" w:lineRule="auto"/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rPr>
          <w:cantSplit/>
        </w:trPr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bh significant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603</w:t>
            </w:r>
          </w:p>
        </w:tc>
      </w:tr>
      <w:tr>
        <w:trPr>
          <w:cantSplit/>
        </w:trPr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discovery tests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1200</w:t>
            </w:r>
          </w:p>
        </w:tc>
      </w:tr>
      <w:tr>
        <w:trPr>
          <w:cantSplit/>
        </w:trPr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external traits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100</w:t>
            </w:r>
          </w:p>
        </w:tc>
      </w:tr>
      <w:tr>
        <w:trPr>
          <w:cantSplit/>
        </w:trPr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replicated comparable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replicated exact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18</w:t>
            </w:r>
          </w:p>
        </w:tc>
      </w:tr>
      <w:tr>
        <w:trPr>
          <w:cantSplit/>
        </w:trPr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replicated external phenotypes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replication family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217</w:t>
            </w:r>
          </w:p>
        </w:tc>
      </w:tr>
      <w:tr>
        <w:trPr>
          <w:cantSplit/>
        </w:trPr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replication tests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41</w:t>
            </w:r>
          </w:p>
        </w:tc>
      </w:tr>
      <w:tr>
        <w:trPr>
          <w:cantSplit/>
        </w:trPr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sleep traits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source level native ldsc reruns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candidate phenotypes considered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242</w:t>
            </w:r>
          </w:p>
        </w:tc>
      </w:tr>
      <w:tr>
        <w:trPr>
          <w:cantSplit/>
        </w:trPr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external h2 primary pass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100</w:t>
            </w:r>
          </w:p>
        </w:tc>
      </w:tr>
      <w:tr>
        <w:trPr>
          <w:cantSplit/>
        </w:trPr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replication external outcome side replication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</w:tr>
      <w:tr>
        <w:trPr>
          <w:cantSplit/>
        </w:trPr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replication no independent dataset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159</w:t>
            </w:r>
          </w:p>
        </w:tc>
      </w:tr>
      <w:tr>
        <w:trPr>
          <w:cantSplit/>
        </w:trPr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replication directionally concordant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18</w:t>
            </w:r>
          </w:p>
        </w:tc>
      </w:tr>
      <w:tr>
        <w:trPr>
          <w:cantSplit/>
        </w:trPr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left"/>
            </w:pPr>
            <w:r>
              <w:rPr>
                <w:b w:val="0"/>
                <w:color w:val="000000"/>
                <w:sz w:val="18"/>
              </w:rPr>
              <w:t>replication underpowered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  <w:shd w:fill="F1F4F7"/>
          </w:tcPr>
          <w:p>
            <w:pPr>
              <w:spacing w:after="0" w:before="0" w:line="252" w:lineRule="auto"/>
              <w:jc w:val="center"/>
            </w:pPr>
            <w:r>
              <w:rPr>
                <w:b w:val="0"/>
                <w:color w:val="000000"/>
                <w:sz w:val="18"/>
              </w:rPr>
              <w:t>17</w:t>
            </w:r>
          </w:p>
        </w:tc>
      </w:tr>
    </w:tbl>
    <w:p>
      <w:r>
        <w:t>Discovery BH correction uses 1,200 pairs. Validation Bonferroni uses all 217 selected candidates, including unavailable and ineligible outcomes. Native replay remains blocked.</w:t>
      </w:r>
    </w:p>
    <w:p>
      <w:r>
        <w:t>Numerical source: main_discovery_summary.tsv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2026-10-08T00:00:00Z</dcterms:created>
  <dcterms:modified xsi:type="dcterms:W3CDTF">2026-10-08T00:00:00Z</dcterms:modified>
  <cp:category/>
</cp:coreProperties>
</file>