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4 Outcome side validated pairs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1440"/>
        <w:gridCol w:w="1152"/>
        <w:gridCol w:w="1008"/>
        <w:gridCol w:w="1584"/>
      </w:tblGrid>
      <w:tr>
        <w:trPr>
          <w:tblHeader/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18"/>
              </w:rPr>
              <w:t>Sleep and external phenotype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Discovery rg (SE)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Validation rg (SE)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Validation P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Match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Nominal heterogeneity 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Abdominal pain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0.5591 (0.0359)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0.4098 (0.0332)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5.78e-35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0.00226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K21 Gastro-oesophageal reflux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0.5216 (0.0378)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0.3640 (0.0375)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3.11e-22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0.00308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Diaphragmatic hernia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0.4325 (0.0369)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0.1915 (0.0390)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9.34e-07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7.16e-06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Abdominal pain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0.4071 (0.0362)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0.3182 (0.0367)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4.25e-18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0.0846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Noninfectious gastroenteritis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0.5211 (0.0497)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0.3062 (0.0602)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3.73e-07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0.00591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Tobacco use disorder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0.3873 (0.0402)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0.4258 (0.0631)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1.49e-11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0.607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J44 Other chronic obstructive pulmonary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0.4353 (0.0467)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0.3260 (0.0330)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5.1e-23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0.056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K21 Gastro-oesophageal reflux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0.3819 (0.0419)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0.1961 (0.0357)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4.06e-08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0.000737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Tobacco use disorder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0.4414 (0.0499)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0.3613 (0.0662)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4.76e-08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0.334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Noninfectious gastroenteritis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0.4238 (0.0503)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0.2062 (0.0534)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0.000111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0.00301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 apnea / Abdominal pain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0.3433 (0.0417)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0.3920 (0.0446)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1.43e-18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J44 Other chronic obstructive pulmonary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0.4258 (0.0549)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0.2584 (0.0331)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5.65e-15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0.00902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M51 Other intervertebral disk disorders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0.3883 (0.0510)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0.2956 (0.0291)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2.93e-24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longsleep / Tobacco use disorder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0.3689 (0.0502)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0.4159 (0.0796)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1.73e-07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0.617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M51 Other intervertebral disk disorders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0.4201 (0.0590)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0.3653 (0.0272)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3.46e-41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0.399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longsleep / Abdominal pain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0.3166 (0.0461)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0.2554 (0.0479)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9.52e-08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0.357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snoring / K80 Cholelithiasis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0.1752 (0.0322)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0.1386 (0.0240)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8.14e-09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0.362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snoring / K21 Gastro-oesophageal reflux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0.1875 (0.0358)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0.1325 (0.0313)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2.24e-05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0.247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longsleep / J44 Other chronic obstructive pulmonary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0.2811 (0.0558)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0.2658 (0.0443)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1.93e-09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0.83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napping / K21 Gastro-oesophageal reflux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0.1596 (0.0372)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0.1521 (0.0277)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4.04e-08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0.872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sleepdur / M51 Other intervertebral disk disorders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-0.1991 (0.0484)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-0.1441 (0.0292)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7.79e-07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0.331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longsleep / K21 Gastro-oesophageal reflux disease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0.1971 (0.0497)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0.2211 (0.0489)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6.1e-06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0.731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longsleep / M51 Other intervertebral disk disorders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0.1994 (0.0636)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0.1923 (0.0356)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6.81e-08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0.922</w:t>
            </w:r>
          </w:p>
        </w:tc>
      </w:tr>
    </w:tbl>
    <w:p>
      <w:r>
        <w:t>Match: E = exact definition; C = comparable definition. All 23 reuse the sleep GWAS. None is fully independent two-trait replication. Threshold: 0.05/217. Heterogeneity assumes zero estimator covariance; seven nominal flags are not a family-corrected count. Full precision labels and 95% intervals remain in TSV.</w:t>
      </w:r>
    </w:p>
    <w:p>
      <w:r>
        <w:t>Numerical source: replicated_23.tsv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