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5 Phenotype domain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584"/>
        <w:gridCol w:w="1728"/>
        <w:gridCol w:w="1872"/>
      </w:tblGrid>
      <w:tr>
        <w:trPr>
          <w:tblHeader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Phenotypes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Comparisons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BH positive pairs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molecular biomarker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renal urinary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pulmonary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gastrointestinal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54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sensory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musculoskeletal pain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allergy infectious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33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medication use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61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oral dental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cognitive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mental psychosocial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early life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diet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digital environment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physical activity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socioeconomic occupational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other clinical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alcohol tobacco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35</w:t>
            </w:r>
          </w:p>
        </w:tc>
      </w:tr>
    </w:tbl>
    <w:p>
      <w:r>
        <w:t>Counts describe correlated comparisons. They are not independent diseases, biological discoveries or loci.</w:t>
      </w:r>
    </w:p>
    <w:p>
      <w:r>
        <w:t>Numerical source: main_phenotype_domains.tsv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2026-10-08T00:00:00Z</dcterms:created>
  <dcterms:modified xsi:type="dcterms:W3CDTF">2026-10-08T00:00:00Z</dcterms:modified>
  <cp:category/>
</cp:coreProperties>
</file>