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6 Nominally heterogeneous validated pairs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584"/>
        <w:gridCol w:w="1584"/>
        <w:gridCol w:w="1584"/>
        <w:gridCol w:w="1296"/>
      </w:tblGrid>
      <w:tr>
        <w:trPr>
          <w:tblHeader/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18"/>
              </w:rPr>
              <w:t>Sleep and external phenotype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Discovery rg (SE)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Validation rg (SE)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Validation minus discovery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Nominal P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Abdominal pain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0.5591 (0.0359)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0.4098 (0.0332)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-0.1493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0.00226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K21 Gastro-oesophageal reflux disease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0.5216 (0.0378)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0.3640 (0.0375)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-0.1576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0.00308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Diaphragmatic hernia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0.4325 (0.0369)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0.1915 (0.0390)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-0.2410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7.16e-06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insomnia / Noninfectious gastroenteritis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0.5211 (0.0497)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0.3062 (0.0602)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-0.2149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0.00591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K21 Gastro-oesophageal reflux disease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0.3819 (0.0419)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0.1961 (0.0357)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-0.1858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0.000737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Noninfectious gastroenteritis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0.4238 (0.0503)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0.2062 (0.0534)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-0.2176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0.00301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shortsleep / J44 Other chronic obstructive pulmonary disease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0.4258 (0.0549)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0.2584 (0.0331)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-0.1674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0.00902</w:t>
            </w:r>
          </w:p>
        </w:tc>
      </w:tr>
    </w:tbl>
    <w:p>
      <w:r>
        <w:t>Historical P&lt;0.05 selection preserved. Shared sleep input implies unknown estimator covariance. Full-family correction and covariance-grid results are retrospective sensitivities, not new confirmatory evidence.</w:t>
      </w:r>
    </w:p>
    <w:p>
      <w:r>
        <w:t>Numerical source: heterogeneity_7.tsv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