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sz w:val="52"/>
          <w:szCs w:val="52"/>
        </w:rPr>
        <w:t xml:space="preserve">EDUCATION INDUSTRY</w:t>
      </w:r>
    </w:p>
    <w:p>
      <w:pPr>
        <w:spacing w:after="400"/>
        <w:jc w:val="center"/>
      </w:pPr>
      <w:r>
        <w:rPr>
          <w:rFonts w:ascii="Arial" w:cs="Arial" w:eastAsia="Arial" w:hAnsi="Arial"/>
          <w:b/>
          <w:bCs/>
          <w:sz w:val="52"/>
          <w:szCs w:val="52"/>
        </w:rPr>
        <w:t xml:space="preserve">WEALTH EXTRACTION SYSTEM AUDIT</w:t>
      </w:r>
    </w:p>
    <w:p>
      <w:pPr>
        <w:spacing w:after="600"/>
        <w:jc w:val="center"/>
      </w:pPr>
      <w:r>
        <w:rPr>
          <w:rFonts w:ascii="Arial" w:cs="Arial" w:eastAsia="Arial" w:hAnsi="Arial"/>
          <w:i/>
          <w:iCs/>
          <w:sz w:val="28"/>
          <w:szCs w:val="28"/>
        </w:rPr>
        <w:t xml:space="preserve">Comprehensive Analysis of Student Debt Securitization, For-Profit College Networks, Online Program Managers, and Institutional Investment Patterns</w:t>
      </w:r>
    </w:p>
    <w:p>
      <w:pPr>
        <w:spacing w:after="200"/>
        <w:jc w:val="center"/>
      </w:pPr>
      <w:r>
        <w:rPr>
          <w:rFonts w:ascii="Arial" w:cs="Arial" w:eastAsia="Arial" w:hAnsi="Arial"/>
          <w:sz w:val="24"/>
          <w:szCs w:val="24"/>
        </w:rPr>
        <w:t xml:space="preserve">January 2026</w:t>
      </w:r>
    </w:p>
    <w:p>
      <w:pPr>
        <w:spacing w:after="200"/>
        <w:jc w:val="center"/>
      </w:pPr>
      <w:r>
        <w:rPr>
          <w:rFonts w:ascii="Arial" w:cs="Arial" w:eastAsia="Arial" w:hAnsi="Arial"/>
          <w:b/>
          <w:bCs/>
          <w:color w:val="C00000"/>
          <w:sz w:val="24"/>
          <w:szCs w:val="24"/>
        </w:rPr>
        <w:t xml:space="preserve">CONFIDENTIAL RESEARCH DOCUMENT</w:t>
      </w:r>
    </w:p>
    <w:p>
      <w:r>
        <w:br w:type="page"/>
      </w:r>
    </w:p>
    <w:p>
      <w:pPr>
        <w:pStyle w:val="Heading1"/>
        <w:spacing w:before="400" w:after="200"/>
      </w:pPr>
      <w:r>
        <w:rPr>
          <w:rFonts w:ascii="Arial" w:cs="Arial" w:eastAsia="Arial" w:hAnsi="Arial"/>
          <w:b/>
          <w:bCs/>
          <w:sz w:val="36"/>
          <w:szCs w:val="36"/>
        </w:rPr>
        <w:t xml:space="preserve">EXECUTIVE SUMMARY</w:t>
      </w:r>
    </w:p>
    <w:p>
      <w:pPr>
        <w:spacing w:after="200"/>
      </w:pPr>
      <w:r>
        <w:rPr>
          <w:rFonts w:ascii="Arial" w:cs="Arial" w:eastAsia="Arial" w:hAnsi="Arial"/>
          <w:sz w:val="24"/>
          <w:szCs w:val="24"/>
        </w:rPr>
        <w:t xml:space="preserve">The American education industry has evolved into a sophisticated wealth extraction apparatus that systematically transfers resources from students, families, and taxpayers to institutional investors, private equity firms, and financial intermediaries. This audit documents the mechanisms, networks, and scale of this extraction system.</w:t>
      </w:r>
    </w:p>
    <w:p>
      <w:pPr>
        <w:pStyle w:val="Heading2"/>
        <w:spacing w:before="300" w:after="150"/>
      </w:pPr>
      <w:r>
        <w:rPr>
          <w:rFonts w:ascii="Arial" w:cs="Arial" w:eastAsia="Arial" w:hAnsi="Arial"/>
          <w:b/>
          <w:bCs/>
          <w:sz w:val="28"/>
          <w:szCs w:val="28"/>
        </w:rPr>
        <w:t xml:space="preserve">Key Findings</w:t>
      </w:r>
    </w:p>
    <w:p>
      <w:pPr>
        <w:spacing w:after="200"/>
      </w:pPr>
      <w:r>
        <w:rPr>
          <w:rFonts w:ascii="Arial" w:cs="Arial" w:eastAsia="Arial" w:hAnsi="Arial"/>
          <w:b/>
          <w:bCs/>
          <w:sz w:val="24"/>
          <w:szCs w:val="24"/>
        </w:rPr>
        <w:t xml:space="preserve">Total Student Debt Outstanding: $1.814 Trillion (Q2 2025)</w:t>
      </w:r>
    </w:p>
    <w:p>
      <w:pPr>
        <w:spacing w:after="200"/>
      </w:pPr>
      <w:r>
        <w:rPr>
          <w:rFonts w:ascii="Arial" w:cs="Arial" w:eastAsia="Arial" w:hAnsi="Arial"/>
          <w:sz w:val="24"/>
          <w:szCs w:val="24"/>
        </w:rPr>
        <w:t xml:space="preserve">Federal student loan debt accounts for 91.6% ($1.661 trillion) of all outstanding student debt, with 42.5 million borrowers holding federal loans. Private student loan debt totals $144.9 billion (8.4%), with 93% of undergraduate private loans requiring cosigners. The average federal student loan balance is $39,075, while total average balance including private debt may reach $42,673.</w:t>
      </w:r>
    </w:p>
    <w:p>
      <w:pPr>
        <w:spacing w:after="200"/>
      </w:pPr>
      <w:r>
        <w:rPr>
          <w:rFonts w:ascii="Arial" w:cs="Arial" w:eastAsia="Arial" w:hAnsi="Arial"/>
          <w:b/>
          <w:bCs/>
          <w:sz w:val="24"/>
          <w:szCs w:val="24"/>
        </w:rPr>
        <w:t xml:space="preserve">Delinquency Crisis Post-Forbearance</w:t>
      </w:r>
    </w:p>
    <w:p>
      <w:pPr>
        <w:spacing w:after="200"/>
      </w:pPr>
      <w:r>
        <w:rPr>
          <w:rFonts w:ascii="Arial" w:cs="Arial" w:eastAsia="Arial" w:hAnsi="Arial"/>
          <w:sz w:val="24"/>
          <w:szCs w:val="24"/>
        </w:rPr>
        <w:t xml:space="preserve">Following the end of COVID-19 forbearance, delinquency rates have surged dramatically. As of Q2 2025, 10.16% of student loans are 90+ days delinquent, compared to just 0.65% in Q2 2024 and 6.97% in Q2 2020. A 2025 survey found 42% of federal student loan borrowers struggle to cover basic bills including food and housing.</w:t>
      </w:r>
    </w:p>
    <w:p>
      <w:pPr>
        <w:spacing w:after="200"/>
      </w:pPr>
      <w:r>
        <w:rPr>
          <w:rFonts w:ascii="Arial" w:cs="Arial" w:eastAsia="Arial" w:hAnsi="Arial"/>
          <w:b/>
          <w:bCs/>
          <w:sz w:val="24"/>
          <w:szCs w:val="24"/>
        </w:rPr>
        <w:t xml:space="preserve">Tuition Inflation: 1,200% Since 1980</w:t>
      </w:r>
    </w:p>
    <w:p>
      <w:pPr>
        <w:spacing w:after="200"/>
      </w:pPr>
      <w:r>
        <w:rPr>
          <w:rFonts w:ascii="Arial" w:cs="Arial" w:eastAsia="Arial" w:hAnsi="Arial"/>
          <w:sz w:val="24"/>
          <w:szCs w:val="24"/>
        </w:rPr>
        <w:t xml:space="preserve">College tuition and fees have increased 1,200% since 1980, while the Consumer Price Index rose only 236% over the same period. The most extreme decade was the 1980s, when tuition prices increased 151.2% at four-year institutions. Adjusted for inflation, college tuition has increased 229.8% since the 1963-64 academic year.</w:t>
      </w:r>
    </w:p>
    <w:p>
      <w:pPr>
        <w:pStyle w:val="Heading2"/>
        <w:spacing w:before="300" w:after="150"/>
      </w:pPr>
      <w:r>
        <w:rPr>
          <w:rFonts w:ascii="Arial" w:cs="Arial" w:eastAsia="Arial" w:hAnsi="Arial"/>
          <w:b/>
          <w:bCs/>
          <w:sz w:val="28"/>
          <w:szCs w:val="28"/>
        </w:rPr>
        <w:t xml:space="preserve">Extraction System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Student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$1.814 Trillion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Federal Student Debt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$1.661 Trillion (91.6%)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Borrowers (Federal)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42.5 Million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SLABS Market (Outstanding)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$170+ Billion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Top 50 University Endowments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$806.2 Billion (2024)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OPM Industry Value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$4.2 Billion (2022), Projected $11.5B by 2030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Textbook Publisher Market (Top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80% Control, $3.3 Billion Revenue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For-Profit College Debt (U of Phoenix)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$35+ Billion (Most of Any US College)</w:t>
            </w:r>
          </w:p>
        </w:tc>
      </w:tr>
    </w:tbl>
    <w:p>
      <w:pPr>
        <w:spacing w:after="200"/>
      </w:pPr>
    </w:p>
    <w:p>
      <w:r>
        <w:br w:type="page"/>
      </w:r>
    </w:p>
    <w:p>
      <w:pPr>
        <w:pStyle w:val="Heading1"/>
        <w:spacing w:before="400" w:after="200"/>
      </w:pPr>
      <w:r>
        <w:rPr>
          <w:rFonts w:ascii="Arial" w:cs="Arial" w:eastAsia="Arial" w:hAnsi="Arial"/>
          <w:b/>
          <w:bCs/>
          <w:sz w:val="36"/>
          <w:szCs w:val="36"/>
        </w:rPr>
        <w:t xml:space="preserve">SECTION 1: STUDENT LOAN ASSET-BACKED SECURITIES (SLABS)</w:t>
      </w:r>
    </w:p>
    <w:p>
      <w:pPr>
        <w:pStyle w:val="Heading2"/>
        <w:spacing w:before="300" w:after="150"/>
      </w:pPr>
      <w:r>
        <w:rPr>
          <w:rFonts w:ascii="Arial" w:cs="Arial" w:eastAsia="Arial" w:hAnsi="Arial"/>
          <w:b/>
          <w:bCs/>
          <w:sz w:val="28"/>
          <w:szCs w:val="28"/>
        </w:rPr>
        <w:t xml:space="preserve">The Securitization Machine</w:t>
      </w:r>
    </w:p>
    <w:p>
      <w:pPr>
        <w:spacing w:after="200"/>
      </w:pPr>
      <w:r>
        <w:rPr>
          <w:rFonts w:ascii="Arial" w:cs="Arial" w:eastAsia="Arial" w:hAnsi="Arial"/>
          <w:sz w:val="24"/>
          <w:szCs w:val="24"/>
        </w:rPr>
        <w:t xml:space="preserve">Student Loan Asset-Backed Securities (SLABS) represent the financialization of student debt, converting individual loans into tradeable investment instruments. First created in 1992 by the Sallie Mae Marketing Association, SLABS grew from $75.6 million in 1990 to $2.67 trillion at their peak. Currently, approximately $170 billion in SLABS remain outstanding.</w:t>
      </w:r>
    </w:p>
    <w:p>
      <w:pPr>
        <w:pStyle w:val="Heading3"/>
        <w:spacing w:before="200" w:after="100"/>
      </w:pPr>
      <w:r>
        <w:rPr>
          <w:rFonts w:ascii="Arial" w:cs="Arial" w:eastAsia="Arial" w:hAnsi="Arial"/>
          <w:b/>
          <w:bCs/>
          <w:sz w:val="26"/>
          <w:szCs w:val="26"/>
        </w:rPr>
        <w:t xml:space="preserve">How SLABS Work</w:t>
      </w:r>
    </w:p>
    <w:p>
      <w:pPr>
        <w:spacing w:after="200"/>
      </w:pPr>
      <w:r>
        <w:rPr>
          <w:rFonts w:ascii="Arial" w:cs="Arial" w:eastAsia="Arial" w:hAnsi="Arial"/>
          <w:sz w:val="24"/>
          <w:szCs w:val="24"/>
        </w:rPr>
        <w:t xml:space="preserve">Student loans are pooled by servicers like Sallie Mae, Navient, and Nelnet, then packaged into securities by Wall Street banks including Wells Fargo, JP Morgan, and Goldman Sachs. These securities are rated by agencies such as Moody's and Fitch, then sold to institutional investors in tranches representing different risk levels. Investors receive monthly payments from borrower loan payments, plus interest.</w:t>
      </w:r>
    </w:p>
    <w:p>
      <w:pPr>
        <w:pStyle w:val="Heading3"/>
        <w:spacing w:before="200" w:after="100"/>
      </w:pPr>
      <w:r>
        <w:rPr>
          <w:rFonts w:ascii="Arial" w:cs="Arial" w:eastAsia="Arial" w:hAnsi="Arial"/>
          <w:b/>
          <w:bCs/>
          <w:sz w:val="26"/>
          <w:szCs w:val="26"/>
        </w:rPr>
        <w:t xml:space="preserve">Why SLABS Are 'Bulletproof'</w:t>
      </w:r>
    </w:p>
    <w:p>
      <w:pPr>
        <w:spacing w:after="200"/>
      </w:pPr>
      <w:r>
        <w:rPr>
          <w:rFonts w:ascii="Arial" w:cs="Arial" w:eastAsia="Arial" w:hAnsi="Arial"/>
          <w:sz w:val="24"/>
          <w:szCs w:val="24"/>
        </w:rPr>
        <w:t xml:space="preserve">Unlike mortgage-backed securities, student loans have unique characteristics that make them exceptionally attractive to investors. First, student loans cannot be discharged in bankruptcy except under extreme circumstances, with fewer than 1,000 borrowers even attempting each year. Second, the government can garnish wages, tax refunds, unemployment benefits, and even Social Security checks from defaulted borrowers. Third, approximately 80% of outstanding SLABS ($160 billion) are backed by federally guaranteed FFEL loans, meaning investors are guaranteed repayment even if borrowers default.</w:t>
      </w:r>
    </w:p>
    <w:p>
      <w:pPr>
        <w:pStyle w:val="Heading2"/>
        <w:spacing w:before="300" w:after="150"/>
      </w:pPr>
      <w:r>
        <w:rPr>
          <w:rFonts w:ascii="Arial" w:cs="Arial" w:eastAsia="Arial" w:hAnsi="Arial"/>
          <w:b/>
          <w:bCs/>
          <w:sz w:val="28"/>
          <w:szCs w:val="28"/>
        </w:rPr>
        <w:t xml:space="preserve">Key Players and Networks</w:t>
      </w:r>
    </w:p>
    <w:p>
      <w:pPr>
        <w:pStyle w:val="Heading3"/>
        <w:spacing w:before="200" w:after="100"/>
      </w:pPr>
      <w:r>
        <w:rPr>
          <w:rFonts w:ascii="Arial" w:cs="Arial" w:eastAsia="Arial" w:hAnsi="Arial"/>
          <w:b/>
          <w:bCs/>
          <w:sz w:val="26"/>
          <w:szCs w:val="26"/>
        </w:rPr>
        <w:t xml:space="preserve">Sallie Mae / Navient Split (2014)</w:t>
      </w:r>
    </w:p>
    <w:p>
      <w:pPr>
        <w:spacing w:after="200"/>
      </w:pPr>
      <w:r>
        <w:rPr>
          <w:rFonts w:ascii="Arial" w:cs="Arial" w:eastAsia="Arial" w:hAnsi="Arial"/>
          <w:sz w:val="24"/>
          <w:szCs w:val="24"/>
        </w:rPr>
        <w:t xml:space="preserve">The Student Loan Marketing Association (Sallie Mae) was created by Congress in 1972 as a Government-Sponsored Enterprise. Privatized in 2004, Sallie Mae became the dominant player in student lending. In 2014, the company split into two entities: Sallie Mae Bank (private student loans, banking products) and Navient Corporation (federal loan servicing, SLABS securitization). Goldman Sachs and JP Morgan served as financial advisors for the $300 billion separation.</w:t>
      </w:r>
    </w:p>
    <w:p>
      <w:pPr>
        <w:pStyle w:val="Heading3"/>
        <w:spacing w:before="200" w:after="100"/>
      </w:pPr>
      <w:r>
        <w:rPr>
          <w:rFonts w:ascii="Arial" w:cs="Arial" w:eastAsia="Arial" w:hAnsi="Arial"/>
          <w:b/>
          <w:bCs/>
          <w:sz w:val="26"/>
          <w:szCs w:val="26"/>
        </w:rPr>
        <w:t xml:space="preserve">Navient: The Collection Machine</w:t>
      </w:r>
    </w:p>
    <w:p>
      <w:pPr>
        <w:spacing w:after="200"/>
      </w:pPr>
      <w:r>
        <w:rPr>
          <w:rFonts w:ascii="Arial" w:cs="Arial" w:eastAsia="Arial" w:hAnsi="Arial"/>
          <w:sz w:val="24"/>
          <w:szCs w:val="24"/>
        </w:rPr>
        <w:t xml:space="preserve">At its peak, Navient serviced one-quarter of all student loans in the United States and held the largest portfolio of FFEL and private education loans. The company funds most operations by manufacturing SLABS, bundling loans and selling them to investors. However, Navient's practices attracted massive legal scrutiny.</w:t>
      </w:r>
    </w:p>
    <w:p>
      <w:pPr>
        <w:spacing w:after="200"/>
      </w:pPr>
      <w:r>
        <w:rPr>
          <w:rFonts w:ascii="Arial" w:cs="Arial" w:eastAsia="Arial" w:hAnsi="Arial"/>
          <w:b/>
          <w:bCs/>
          <w:sz w:val="24"/>
          <w:szCs w:val="24"/>
        </w:rPr>
        <w:t xml:space="preserve">Navient Legal Actions and Settlements:</w:t>
      </w:r>
    </w:p>
    <w:p>
      <w:pPr>
        <w:spacing w:after="200"/>
      </w:pPr>
      <w:r>
        <w:rPr>
          <w:rFonts w:ascii="Arial" w:cs="Arial" w:eastAsia="Arial" w:hAnsi="Arial"/>
          <w:sz w:val="24"/>
          <w:szCs w:val="24"/>
        </w:rPr>
        <w:t xml:space="preserve">2014: $100 million DOJ/FDIC settlement for overcharging 78,000 military servicemembers</w:t>
      </w:r>
    </w:p>
    <w:p>
      <w:pPr>
        <w:spacing w:after="200"/>
      </w:pPr>
      <w:r>
        <w:rPr>
          <w:rFonts w:ascii="Arial" w:cs="Arial" w:eastAsia="Arial" w:hAnsi="Arial"/>
          <w:sz w:val="24"/>
          <w:szCs w:val="24"/>
        </w:rPr>
        <w:t xml:space="preserve">2022: $1.85 billion multistate settlement resolving allegations of 'widespread unfair, deceptive, and abusive student loan servicing practices' and predatory loan origination</w:t>
      </w:r>
    </w:p>
    <w:p>
      <w:pPr>
        <w:spacing w:after="200"/>
      </w:pPr>
      <w:r>
        <w:rPr>
          <w:rFonts w:ascii="Arial" w:cs="Arial" w:eastAsia="Arial" w:hAnsi="Arial"/>
          <w:sz w:val="24"/>
          <w:szCs w:val="24"/>
        </w:rPr>
        <w:t xml:space="preserve">2023: $198 million class action settlement for illegally collecting on loans that should have been discharged in bankruptcy</w:t>
      </w:r>
    </w:p>
    <w:p>
      <w:pPr>
        <w:spacing w:after="200"/>
      </w:pPr>
      <w:r>
        <w:rPr>
          <w:rFonts w:ascii="Arial" w:cs="Arial" w:eastAsia="Arial" w:hAnsi="Arial"/>
          <w:sz w:val="24"/>
          <w:szCs w:val="24"/>
        </w:rPr>
        <w:t xml:space="preserve">2024: Permanently banned from servicing federal student loans by CFPB, required to pay $120 million ($100 million borrower restitution + $20 million penalties)</w:t>
      </w:r>
    </w:p>
    <w:p>
      <w:pPr>
        <w:spacing w:after="200"/>
      </w:pPr>
      <w:r>
        <w:rPr>
          <w:rFonts w:ascii="Arial" w:cs="Arial" w:eastAsia="Arial" w:hAnsi="Arial"/>
          <w:sz w:val="24"/>
          <w:szCs w:val="24"/>
        </w:rPr>
        <w:t xml:space="preserve">As Senator Elizabeth Warren stated in 2016: 'This is our first major action on this, but it won't be our last.' Navient transferred its remaining portfolio to MOHELA in 2024.</w:t>
      </w:r>
    </w:p>
    <w:p>
      <w:pPr>
        <w:pStyle w:val="Heading3"/>
        <w:spacing w:before="200" w:after="100"/>
      </w:pPr>
      <w:r>
        <w:rPr>
          <w:rFonts w:ascii="Arial" w:cs="Arial" w:eastAsia="Arial" w:hAnsi="Arial"/>
          <w:b/>
          <w:bCs/>
          <w:sz w:val="26"/>
          <w:szCs w:val="26"/>
        </w:rPr>
        <w:t xml:space="preserve">Wall Street's Student Debt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Significance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Sallie Mae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Private loan origination, securitization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$20.3B private loan portfolio, first SLABS issuer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Navient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Federal/private servicing, SLABS creation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Banned 2024, $2B+ settlements, $300B serviced at peak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Nelnet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Federal loan servicing, SLABS issuance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Major servicer, private loan securitization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MOHELA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Nonprofit servicer, absorbed Navient portfolio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PSLF processor, largest servicer post-Navient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SoFi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Private refinancing, SLABS issuance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$18B+ SLABS issued since 2011 founding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Goldman Sachs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SLABS underwriting, advisory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Sallie Mae/Navient split advisor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JP Morgan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SLABS underwriting, advisory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Major SLABS market maker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Wells Fargo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Private lending, securitization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Major private student lender</w:t>
            </w:r>
          </w:p>
        </w:tc>
      </w:tr>
    </w:tbl>
    <w:p>
      <w:pPr>
        <w:spacing w:after="200"/>
      </w:pPr>
    </w:p>
    <w:p>
      <w:pPr>
        <w:pStyle w:val="Heading2"/>
        <w:spacing w:before="300" w:after="150"/>
      </w:pPr>
      <w:r>
        <w:rPr>
          <w:rFonts w:ascii="Arial" w:cs="Arial" w:eastAsia="Arial" w:hAnsi="Arial"/>
          <w:b/>
          <w:bCs/>
          <w:sz w:val="28"/>
          <w:szCs w:val="28"/>
        </w:rPr>
        <w:t xml:space="preserve">Investor Incentive Structure</w:t>
      </w:r>
    </w:p>
    <w:p>
      <w:pPr>
        <w:spacing w:after="200"/>
      </w:pPr>
      <w:r>
        <w:rPr>
          <w:rFonts w:ascii="Arial" w:cs="Arial" w:eastAsia="Arial" w:hAnsi="Arial"/>
          <w:sz w:val="24"/>
          <w:szCs w:val="24"/>
        </w:rPr>
        <w:t xml:space="preserve">The SLABS market creates perverse incentives that benefit investors at the expense of borrowers. As Rolling Stone reported: 'SLABS players gain from an increasing supply of student debtors saddled with heavy, almost inescapable burdens.' Servicers often have a stake in borrowers defaulting rather than paying smaller amounts over longer periods through income-driven repayment plans.</w:t>
      </w:r>
    </w:p>
    <w:p>
      <w:pPr>
        <w:spacing w:after="200"/>
      </w:pPr>
      <w:r>
        <w:rPr>
          <w:rFonts w:ascii="Arial" w:cs="Arial" w:eastAsia="Arial" w:hAnsi="Arial"/>
          <w:sz w:val="24"/>
          <w:szCs w:val="24"/>
        </w:rPr>
        <w:t xml:space="preserve">The 2005 bankruptcy law changes made student loans essentially non-dischargeable, which a corporate attorney described to the Wall Street Journal as making SLABS 'attractive primarily because of harsh bankruptcy legislation.' This creates what one analysis called a 'bulletproof asset class' where investors are protected while borrowers face wage garnishment, tax refund seizure, and Social Security garnishment.</w:t>
      </w:r>
    </w:p>
    <w:p>
      <w:r>
        <w:br w:type="page"/>
      </w:r>
    </w:p>
    <w:p>
      <w:pPr>
        <w:pStyle w:val="Heading1"/>
        <w:spacing w:before="400" w:after="200"/>
      </w:pPr>
      <w:r>
        <w:rPr>
          <w:rFonts w:ascii="Arial" w:cs="Arial" w:eastAsia="Arial" w:hAnsi="Arial"/>
          <w:b/>
          <w:bCs/>
          <w:sz w:val="36"/>
          <w:szCs w:val="36"/>
        </w:rPr>
        <w:t xml:space="preserve">SECTION 2: FOR-PROFIT COLLEGE EXTRACTION NETWORK</w:t>
      </w:r>
    </w:p>
    <w:p>
      <w:pPr>
        <w:pStyle w:val="Heading2"/>
        <w:spacing w:before="300" w:after="150"/>
      </w:pPr>
      <w:r>
        <w:rPr>
          <w:rFonts w:ascii="Arial" w:cs="Arial" w:eastAsia="Arial" w:hAnsi="Arial"/>
          <w:b/>
          <w:bCs/>
          <w:sz w:val="28"/>
          <w:szCs w:val="28"/>
        </w:rPr>
        <w:t xml:space="preserve">The Rise and Scandal of For-Profit Education</w:t>
      </w:r>
    </w:p>
    <w:p>
      <w:pPr>
        <w:spacing w:after="200"/>
      </w:pPr>
      <w:r>
        <w:rPr>
          <w:rFonts w:ascii="Arial" w:cs="Arial" w:eastAsia="Arial" w:hAnsi="Arial"/>
          <w:sz w:val="24"/>
          <w:szCs w:val="24"/>
        </w:rPr>
        <w:t xml:space="preserve">Between 1990 and 2010, enrollments at for-profit colleges increased by 600%, with nearly 2 million students (12% of all postsecondary students) enrolled by 2010. Wall Street found the sector highly attractive, with private equity firms pumping money into schools as federal loan dollars flowed to students. The model was simple: aggressive marketing to vulnerable populations, enrollment maximization, and federal student aid capture.</w:t>
      </w:r>
    </w:p>
    <w:p>
      <w:pPr>
        <w:pStyle w:val="Heading3"/>
        <w:spacing w:before="200" w:after="100"/>
      </w:pPr>
      <w:r>
        <w:rPr>
          <w:rFonts w:ascii="Arial" w:cs="Arial" w:eastAsia="Arial" w:hAnsi="Arial"/>
          <w:b/>
          <w:bCs/>
          <w:sz w:val="26"/>
          <w:szCs w:val="26"/>
        </w:rPr>
        <w:t xml:space="preserve">The For-Profit Collapse</w:t>
      </w:r>
    </w:p>
    <w:p>
      <w:pPr>
        <w:spacing w:after="200"/>
      </w:pPr>
      <w:r>
        <w:rPr>
          <w:rFonts w:ascii="Arial" w:cs="Arial" w:eastAsia="Arial" w:hAnsi="Arial"/>
          <w:sz w:val="24"/>
          <w:szCs w:val="24"/>
        </w:rPr>
        <w:t xml:space="preserve">The industry faced systematic collapse after federal investigations revealed widespread fraud. Corinthian Colleges, once valued with stock at $33 per share, collapsed to two cents in 2014 when the DOE suspended its federal aid access. ITT Technical Institute closed all 130+ campuses in 2016, stranding 40,000 students. The University of Phoenix saw enrollment plummet from 460,000 (2010) to 212,000 (2016).</w:t>
      </w:r>
    </w:p>
    <w:p>
      <w:pPr>
        <w:pStyle w:val="Heading2"/>
        <w:spacing w:before="300" w:after="150"/>
      </w:pPr>
      <w:r>
        <w:rPr>
          <w:rFonts w:ascii="Arial" w:cs="Arial" w:eastAsia="Arial" w:hAnsi="Arial"/>
          <w:b/>
          <w:bCs/>
          <w:sz w:val="28"/>
          <w:szCs w:val="28"/>
        </w:rPr>
        <w:t xml:space="preserve">Major For-Profit Scandals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3744"/>
        <w:gridCol w:w="3744"/>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Institution</w:t>
            </w:r>
          </w:p>
        </w:tc>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Violations</w:t>
            </w:r>
          </w:p>
        </w:tc>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Outcome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Corinthian Colleges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Overstated job placement rates, predatory lending, CFPB lawsuit 2014</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$30M DOE fine, bankruptcy 2015, $5.8B loans cancelled for 560,000 students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ITT Tech</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High-pressure private loans, fraud charges, DOJ probe, SEC fraud charges against executives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Closed 2016, 40,000 students stranded, 8,000 jobs lost, $12.9M settlements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DeVry University</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FTC sued for misleading students about job prospects, deceptive advertising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$49M FTC settlement, private equity acquired (Palm Ventures)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University of Phoenix</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'High-pressure sales culture,' FTC investigation, $10M Oregon lawsuit, HLC sanction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Stock crashed from $89 to $10/share, $1.14B PE buyout 2017, students owe $35B+</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Education Corp of America</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Loss of accreditation, financial collapse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Closed nearly all schools 2018, students stranded mid-semester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Art Institutes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Fraud accusations, financial mismanagement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Last campus closed 2023, decades of student complaints</w:t>
            </w:r>
          </w:p>
        </w:tc>
      </w:tr>
    </w:tbl>
    <w:p>
      <w:pPr>
        <w:spacing w:after="200"/>
      </w:pPr>
    </w:p>
    <w:p>
      <w:pPr>
        <w:pStyle w:val="Heading2"/>
        <w:spacing w:before="300" w:after="150"/>
      </w:pPr>
      <w:r>
        <w:rPr>
          <w:rFonts w:ascii="Arial" w:cs="Arial" w:eastAsia="Arial" w:hAnsi="Arial"/>
          <w:b/>
          <w:bCs/>
          <w:sz w:val="28"/>
          <w:szCs w:val="28"/>
        </w:rPr>
        <w:t xml:space="preserve">Private Equity Takeover</w:t>
      </w:r>
    </w:p>
    <w:p>
      <w:pPr>
        <w:spacing w:after="200"/>
      </w:pPr>
      <w:r>
        <w:rPr>
          <w:rFonts w:ascii="Arial" w:cs="Arial" w:eastAsia="Arial" w:hAnsi="Arial"/>
          <w:sz w:val="24"/>
          <w:szCs w:val="24"/>
        </w:rPr>
        <w:t xml:space="preserve">As public scrutiny increased, for-profit colleges went private to escape disclosure requirements. A 2018 research paper by professors from UC, University of Chicago, and NYU found that private equity takeovers of for-profit schools led to 'higher tuition, higher per-student debt, lower graduation rates, lower student loan repayment rates, and lower earnings among graduates.'</w:t>
      </w:r>
    </w:p>
    <w:p>
      <w:pPr>
        <w:pStyle w:val="Heading3"/>
        <w:spacing w:before="200" w:after="100"/>
      </w:pPr>
      <w:r>
        <w:rPr>
          <w:rFonts w:ascii="Arial" w:cs="Arial" w:eastAsia="Arial" w:hAnsi="Arial"/>
          <w:b/>
          <w:bCs/>
          <w:sz w:val="26"/>
          <w:szCs w:val="26"/>
        </w:rPr>
        <w:t xml:space="preserve">Apollo Education Group / University of Phoenix</w:t>
      </w:r>
    </w:p>
    <w:p>
      <w:pPr>
        <w:spacing w:after="200"/>
      </w:pPr>
      <w:r>
        <w:rPr>
          <w:rFonts w:ascii="Arial" w:cs="Arial" w:eastAsia="Arial" w:hAnsi="Arial"/>
          <w:sz w:val="24"/>
          <w:szCs w:val="24"/>
        </w:rPr>
        <w:t xml:space="preserve">The most significant private equity takeover involved Apollo Education Group, parent of the University of Phoenix. In 2017, Apollo Global Management (no relation to Apollo Education), The Vistria Group, and Najafi Companies acquired the company for $1.14 billion, a fraction of its 2009 peak valuation when shares traded at $89 (the acquisition price was $10/share).</w:t>
      </w:r>
    </w:p>
    <w:p>
      <w:pPr>
        <w:spacing w:after="200"/>
      </w:pPr>
      <w:r>
        <w:rPr>
          <w:rFonts w:ascii="Arial" w:cs="Arial" w:eastAsia="Arial" w:hAnsi="Arial"/>
          <w:b/>
          <w:bCs/>
          <w:sz w:val="24"/>
          <w:szCs w:val="24"/>
        </w:rPr>
        <w:t xml:space="preserve">Key Network Connections:</w:t>
      </w:r>
    </w:p>
    <w:p>
      <w:pPr>
        <w:spacing w:after="200"/>
      </w:pPr>
      <w:r>
        <w:rPr>
          <w:rFonts w:ascii="Arial" w:cs="Arial" w:eastAsia="Arial" w:hAnsi="Arial"/>
          <w:sz w:val="24"/>
          <w:szCs w:val="24"/>
        </w:rPr>
        <w:t xml:space="preserve">Tony Miller, Vistria Group partner and COO, was Deputy Secretary of Education under Obama (2009-2013). He became chairman of Apollo Education Group after the acquisition. The Carlyle Group held 20% of Apollo Global (international subsidiary) through a $199 million investment. The deal was approved by both the Department of Education and the Higher Learning Commission despite ongoing investigations.</w:t>
      </w:r>
    </w:p>
    <w:p>
      <w:pPr>
        <w:spacing w:after="200"/>
      </w:pPr>
      <w:r>
        <w:rPr>
          <w:rFonts w:ascii="Arial" w:cs="Arial" w:eastAsia="Arial" w:hAnsi="Arial"/>
          <w:sz w:val="24"/>
          <w:szCs w:val="24"/>
        </w:rPr>
        <w:t xml:space="preserve">In October 2025, Phoenix Education Partners re-listed on the NYSE at $32/share, with shares surging 18.8% to a $1.35 billion valuation. Apollo Global and Vistria achieved significant returns on their $1.1 billion investment after eight years of private ownership during which University of Phoenix students accumulated $35+ billion in student loan debt, more than any other US college.</w:t>
      </w:r>
    </w:p>
    <w:p>
      <w:pPr>
        <w:pStyle w:val="Heading3"/>
        <w:spacing w:before="200" w:after="100"/>
      </w:pPr>
      <w:r>
        <w:rPr>
          <w:rFonts w:ascii="Arial" w:cs="Arial" w:eastAsia="Arial" w:hAnsi="Arial"/>
          <w:b/>
          <w:bCs/>
          <w:sz w:val="26"/>
          <w:szCs w:val="26"/>
        </w:rPr>
        <w:t xml:space="preserve">Private Equity Firms in For-Profit Education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 Firm</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Education Holdings</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Notable Issues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Apollo Global Mgmt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University of Phoenix (via Apollo Ed Group)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Students owe $35B+, pitched as 'impact investing'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Vistria Group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University of Phoenix (with Apollo)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Obama admin ties (Tony Miller, former Deputy Sec of 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Palm Ventures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DeVry University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Acquired post-FTC scandal, shielded from disclosure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JLL Partners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Education Affiliates (Fortis, Ross)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$13M DOJ settlement for falsified admissions/aid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The Carlyle Group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Apollo Global (20% stake)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$199M investment in international expansion</w:t>
            </w:r>
          </w:p>
        </w:tc>
      </w:tr>
    </w:tbl>
    <w:p>
      <w:pPr>
        <w:spacing w:after="200"/>
      </w:pPr>
    </w:p>
    <w:p>
      <w:pPr>
        <w:spacing w:after="200"/>
      </w:pPr>
      <w:r>
        <w:rPr>
          <w:rFonts w:ascii="Arial" w:cs="Arial" w:eastAsia="Arial" w:hAnsi="Arial"/>
          <w:sz w:val="24"/>
          <w:szCs w:val="24"/>
        </w:rPr>
        <w:t xml:space="preserve">Senator Elizabeth Warren's 2019 probe found that 57 school groups and holding companies operate or operated for-profit schools, with private equity ownership often hidden from public view. The conversion to private ownership allows companies to avoid SEC disclosure requirements while continuing to access billions in federal student aid.</w:t>
      </w:r>
    </w:p>
    <w:p>
      <w:r>
        <w:br w:type="page"/>
      </w:r>
    </w:p>
    <w:p>
      <w:pPr>
        <w:pStyle w:val="Heading1"/>
        <w:spacing w:before="400" w:after="200"/>
      </w:pPr>
      <w:r>
        <w:rPr>
          <w:rFonts w:ascii="Arial" w:cs="Arial" w:eastAsia="Arial" w:hAnsi="Arial"/>
          <w:b/>
          <w:bCs/>
          <w:sz w:val="36"/>
          <w:szCs w:val="36"/>
        </w:rPr>
        <w:t xml:space="preserve">SECTION 3: ONLINE PROGRAM MANAGERS (OPMs)</w:t>
      </w:r>
    </w:p>
    <w:p>
      <w:pPr>
        <w:pStyle w:val="Heading2"/>
        <w:spacing w:before="300" w:after="150"/>
      </w:pPr>
      <w:r>
        <w:rPr>
          <w:rFonts w:ascii="Arial" w:cs="Arial" w:eastAsia="Arial" w:hAnsi="Arial"/>
          <w:b/>
          <w:bCs/>
          <w:sz w:val="28"/>
          <w:szCs w:val="28"/>
        </w:rPr>
        <w:t xml:space="preserve">The Hidden For-Profit Layer</w:t>
      </w:r>
    </w:p>
    <w:p>
      <w:pPr>
        <w:spacing w:after="200"/>
      </w:pPr>
      <w:r>
        <w:rPr>
          <w:rFonts w:ascii="Arial" w:cs="Arial" w:eastAsia="Arial" w:hAnsi="Arial"/>
          <w:sz w:val="24"/>
          <w:szCs w:val="24"/>
        </w:rPr>
        <w:t xml:space="preserve">Online Program Managers represent a new extraction mechanism that operates within supposedly nonprofit public universities. OPM companies contract with universities to build and market online degree programs, typically taking 40-60% of tuition revenue in exchange for marketing, recruitment, course development, and technology services. The OPM industry grew from $1.5 billion to $4.2 billion (2022), with projections to reach $11.5 billion by 2030.</w:t>
      </w:r>
    </w:p>
    <w:p>
      <w:pPr>
        <w:pStyle w:val="Heading3"/>
        <w:spacing w:before="200" w:after="100"/>
      </w:pPr>
      <w:r>
        <w:rPr>
          <w:rFonts w:ascii="Arial" w:cs="Arial" w:eastAsia="Arial" w:hAnsi="Arial"/>
          <w:b/>
          <w:bCs/>
          <w:sz w:val="26"/>
          <w:szCs w:val="26"/>
        </w:rPr>
        <w:t xml:space="preserve">Revenue-Sharing Model</w:t>
      </w:r>
    </w:p>
    <w:p>
      <w:pPr>
        <w:spacing w:after="200"/>
      </w:pPr>
      <w:r>
        <w:rPr>
          <w:rFonts w:ascii="Arial" w:cs="Arial" w:eastAsia="Arial" w:hAnsi="Arial"/>
          <w:sz w:val="24"/>
          <w:szCs w:val="24"/>
        </w:rPr>
        <w:t xml:space="preserve">The typical OPM contract involves the company covering upfront costs in exchange for long-term revenue sharing, often lasting 10-15 years. 2U, for example, spent $300-400 million annually on marketing and advertising, with 22% of all tuition costs going to 'customer acquisition.' Coursera spends more than one-third of revenues on sales and marketing. The Century Foundation found that OPM companies keep up to 60% of tuition in exchange for aggressive recruitment.</w:t>
      </w:r>
    </w:p>
    <w:p>
      <w:pPr>
        <w:pStyle w:val="Heading2"/>
        <w:spacing w:before="300" w:after="150"/>
      </w:pPr>
      <w:r>
        <w:rPr>
          <w:rFonts w:ascii="Arial" w:cs="Arial" w:eastAsia="Arial" w:hAnsi="Arial"/>
          <w:b/>
          <w:bCs/>
          <w:sz w:val="28"/>
          <w:szCs w:val="28"/>
        </w:rPr>
        <w:t xml:space="preserve">Major OPM Players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Company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Model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Scale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Issues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Revenue share (50%+), acquired edX for $800M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$1.62B revenue (2023), 50M learners claimed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Chapter 11 bankruptcy July 2024, stock fell from $90 to $1, WSJ exposed aggressive recruitment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Coursera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Revenue share, IPO 2021 at $6B valuation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142M learners, 17,500 degree students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Revenue decline in degree segment, 1/3+ of revenue to marketing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Academic Partnerships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Revenue share, acquired Wiley OPM for $110-150M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300+ university partners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PE-backed (now Risepoint), aggressive enrollment growth model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Kaplan/Purdue Global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For-profit-to-OPM conversion, 30-year contract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Former for-profit Kaplan University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Regulatory arbitrage: sold school to Purdue, became OPM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Zovio/Arizona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For-profit-to-OPM conversion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University of Arizona Global Campus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Former Ashford University, same playbook as Kaplan</w:t>
            </w:r>
          </w:p>
        </w:tc>
      </w:tr>
    </w:tbl>
    <w:p>
      <w:pPr>
        <w:spacing w:after="200"/>
      </w:pPr>
    </w:p>
    <w:p>
      <w:pPr>
        <w:pStyle w:val="Heading2"/>
        <w:spacing w:before="300" w:after="150"/>
      </w:pPr>
      <w:r>
        <w:rPr>
          <w:rFonts w:ascii="Arial" w:cs="Arial" w:eastAsia="Arial" w:hAnsi="Arial"/>
          <w:b/>
          <w:bCs/>
          <w:sz w:val="28"/>
          <w:szCs w:val="28"/>
        </w:rPr>
        <w:t xml:space="preserve">Regulatory Concerns and Criticism</w:t>
      </w:r>
    </w:p>
    <w:p>
      <w:pPr>
        <w:spacing w:after="200"/>
      </w:pPr>
      <w:r>
        <w:rPr>
          <w:rFonts w:ascii="Arial" w:cs="Arial" w:eastAsia="Arial" w:hAnsi="Arial"/>
          <w:sz w:val="24"/>
          <w:szCs w:val="24"/>
        </w:rPr>
        <w:t xml:space="preserve">Senators Elizabeth Warren and Sherrod Brown called for five OPMs (2U, Academic Partnerships, Bisk Education, Pearson Learning, Wiley) to disclose contract terms to determine whether they violated consumer protection laws. The Century Foundation reported that 'this growing private control is jeopardizing the quality of online programs, stripping control from colleges, and putting students at risk of predatory behavior.'</w:t>
      </w:r>
    </w:p>
    <w:p>
      <w:pPr>
        <w:pStyle w:val="Heading3"/>
        <w:spacing w:before="200" w:after="100"/>
      </w:pPr>
      <w:r>
        <w:rPr>
          <w:rFonts w:ascii="Arial" w:cs="Arial" w:eastAsia="Arial" w:hAnsi="Arial"/>
          <w:b/>
          <w:bCs/>
          <w:sz w:val="26"/>
          <w:szCs w:val="26"/>
        </w:rPr>
        <w:t xml:space="preserve">USC/2U Case Study</w:t>
      </w:r>
    </w:p>
    <w:p>
      <w:pPr>
        <w:spacing w:after="200"/>
      </w:pPr>
      <w:r>
        <w:rPr>
          <w:rFonts w:ascii="Arial" w:cs="Arial" w:eastAsia="Arial" w:hAnsi="Arial"/>
          <w:sz w:val="24"/>
          <w:szCs w:val="24"/>
        </w:rPr>
        <w:t xml:space="preserve">The Wall Street Journal investigation found that USC's online Master of Social Work program, provided by 2U, cost over six figures and led to low salaries for graduates. After years of 2U receiving more than half of tuition revenue, USC cancelled most of its contracts with the company. Dean Pedro Noguera stated: 'Our faculty were doing all the work, and 2U was receiving more than its fair share.'</w:t>
      </w:r>
    </w:p>
    <w:p>
      <w:pPr>
        <w:pStyle w:val="Heading3"/>
        <w:spacing w:before="200" w:after="100"/>
      </w:pPr>
      <w:r>
        <w:rPr>
          <w:rFonts w:ascii="Arial" w:cs="Arial" w:eastAsia="Arial" w:hAnsi="Arial"/>
          <w:b/>
          <w:bCs/>
          <w:sz w:val="26"/>
          <w:szCs w:val="26"/>
        </w:rPr>
        <w:t xml:space="preserve">Private Equity Connection</w:t>
      </w:r>
    </w:p>
    <w:p>
      <w:pPr>
        <w:spacing w:after="200"/>
      </w:pPr>
      <w:r>
        <w:rPr>
          <w:rFonts w:ascii="Arial" w:cs="Arial" w:eastAsia="Arial" w:hAnsi="Arial"/>
          <w:sz w:val="24"/>
          <w:szCs w:val="24"/>
        </w:rPr>
        <w:t xml:space="preserve">Research by the Student Borrower Protection Center found that OPM contracts backed by private equity or venture capital are 30% more likely to include recruitment services targeting marginalized students, 50% more likely to have revenue-share structures, 16% more likely to include expanded OPM involvement over time, and 13% more likely to include terms making contract termination difficult.</w:t>
      </w:r>
    </w:p>
    <w:p>
      <w:pPr>
        <w:spacing w:after="200"/>
      </w:pPr>
      <w:r>
        <w:rPr>
          <w:rFonts w:ascii="Arial" w:cs="Arial" w:eastAsia="Arial" w:hAnsi="Arial"/>
          <w:sz w:val="24"/>
          <w:szCs w:val="24"/>
        </w:rPr>
        <w:t xml:space="preserve">Minnesota became the first state to ban revenue-sharing OPM contracts for public colleges in May 2024, requiring flat fee structures instead.</w:t>
      </w:r>
    </w:p>
    <w:p>
      <w:r>
        <w:br w:type="page"/>
      </w:r>
    </w:p>
    <w:p>
      <w:pPr>
        <w:pStyle w:val="Heading1"/>
        <w:spacing w:before="400" w:after="200"/>
      </w:pPr>
      <w:r>
        <w:rPr>
          <w:rFonts w:ascii="Arial" w:cs="Arial" w:eastAsia="Arial" w:hAnsi="Arial"/>
          <w:b/>
          <w:bCs/>
          <w:sz w:val="36"/>
          <w:szCs w:val="36"/>
        </w:rPr>
        <w:t xml:space="preserve">SECTION 4: TEXTBOOK PUBLISHER OLIGOPOLY</w:t>
      </w:r>
    </w:p>
    <w:p>
      <w:pPr>
        <w:pStyle w:val="Heading2"/>
        <w:spacing w:before="300" w:after="150"/>
      </w:pPr>
      <w:r>
        <w:rPr>
          <w:rFonts w:ascii="Arial" w:cs="Arial" w:eastAsia="Arial" w:hAnsi="Arial"/>
          <w:b/>
          <w:bCs/>
          <w:sz w:val="28"/>
          <w:szCs w:val="28"/>
        </w:rPr>
        <w:t xml:space="preserve">Market Concentration</w:t>
      </w:r>
    </w:p>
    <w:p>
      <w:pPr>
        <w:spacing w:after="200"/>
      </w:pPr>
      <w:r>
        <w:rPr>
          <w:rFonts w:ascii="Arial" w:cs="Arial" w:eastAsia="Arial" w:hAnsi="Arial"/>
          <w:sz w:val="24"/>
          <w:szCs w:val="24"/>
        </w:rPr>
        <w:t xml:space="preserve">Five companies control 80% of the college textbook market: Pearson (40%), Cengage (24%), McGraw-Hill (21%), Wiley, and Macmillan. Total revenues for the top six publishers total approximately $3.3 billion annually. This concentration has created what economists describe as an oligopoly with 'monopoly pricing' characteristics.</w:t>
      </w:r>
    </w:p>
    <w:p>
      <w:pPr>
        <w:pStyle w:val="Heading3"/>
        <w:spacing w:before="200" w:after="100"/>
      </w:pPr>
      <w:r>
        <w:rPr>
          <w:rFonts w:ascii="Arial" w:cs="Arial" w:eastAsia="Arial" w:hAnsi="Arial"/>
          <w:b/>
          <w:bCs/>
          <w:sz w:val="26"/>
          <w:szCs w:val="26"/>
        </w:rPr>
        <w:t xml:space="preserve">The Principal-Agent Problem</w:t>
      </w:r>
    </w:p>
    <w:p>
      <w:pPr>
        <w:spacing w:after="200"/>
      </w:pPr>
      <w:r>
        <w:rPr>
          <w:rFonts w:ascii="Arial" w:cs="Arial" w:eastAsia="Arial" w:hAnsi="Arial"/>
          <w:sz w:val="24"/>
          <w:szCs w:val="24"/>
        </w:rPr>
        <w:t xml:space="preserve">The textbook market suffers from a fundamental market failure: the end consumers (students) do not select the product, while the people choosing the product (faculty) do not purchase it. This removes price from the purchasing decision, giving publishers disproportionate market power to set prices high. This is the primary reason prices are 'out of control' according to economist James V. Koch.</w:t>
      </w:r>
    </w:p>
    <w:p>
      <w:pPr>
        <w:pStyle w:val="Heading2"/>
        <w:spacing w:before="300" w:after="150"/>
      </w:pPr>
      <w:r>
        <w:rPr>
          <w:rFonts w:ascii="Arial" w:cs="Arial" w:eastAsia="Arial" w:hAnsi="Arial"/>
          <w:b/>
          <w:bCs/>
          <w:sz w:val="28"/>
          <w:szCs w:val="28"/>
        </w:rPr>
        <w:t xml:space="preserve">Price Increases and Market Manipulation</w:t>
      </w:r>
    </w:p>
    <w:p>
      <w:pPr>
        <w:spacing w:after="200"/>
      </w:pPr>
      <w:r>
        <w:rPr>
          <w:rFonts w:ascii="Arial" w:cs="Arial" w:eastAsia="Arial" w:hAnsi="Arial"/>
          <w:sz w:val="24"/>
          <w:szCs w:val="24"/>
        </w:rPr>
        <w:t xml:space="preserve">Textbook prices have increased at rates far exceeding general inflation. Publishers employ multiple strategies to eliminate the secondary (used book) market:</w:t>
      </w:r>
    </w:p>
    <w:p>
      <w:pPr>
        <w:spacing w:after="200"/>
      </w:pPr>
      <w:r>
        <w:rPr>
          <w:rFonts w:ascii="Arial" w:cs="Arial" w:eastAsia="Arial" w:hAnsi="Arial"/>
          <w:b/>
          <w:bCs/>
          <w:sz w:val="24"/>
          <w:szCs w:val="24"/>
        </w:rPr>
        <w:t xml:space="preserve">Edition Cycling: </w:t>
      </w:r>
    </w:p>
    <w:p>
      <w:pPr>
        <w:spacing w:after="200"/>
      </w:pPr>
      <w:r>
        <w:rPr>
          <w:rFonts w:ascii="Arial" w:cs="Arial" w:eastAsia="Arial" w:hAnsi="Arial"/>
          <w:sz w:val="24"/>
          <w:szCs w:val="24"/>
        </w:rPr>
        <w:t xml:space="preserve">Frequent new editions with minimal changes (reordered chapters, added sentences) force students to purchase new copies even when content is essentially identical.</w:t>
      </w:r>
    </w:p>
    <w:p>
      <w:pPr>
        <w:spacing w:after="200"/>
      </w:pPr>
      <w:r>
        <w:rPr>
          <w:rFonts w:ascii="Arial" w:cs="Arial" w:eastAsia="Arial" w:hAnsi="Arial"/>
          <w:b/>
          <w:bCs/>
          <w:sz w:val="24"/>
          <w:szCs w:val="24"/>
        </w:rPr>
        <w:t xml:space="preserve">Access Codes and Digital Licenses: </w:t>
      </w:r>
    </w:p>
    <w:p>
      <w:pPr>
        <w:spacing w:after="200"/>
      </w:pPr>
      <w:r>
        <w:rPr>
          <w:rFonts w:ascii="Arial" w:cs="Arial" w:eastAsia="Arial" w:hAnsi="Arial"/>
          <w:sz w:val="24"/>
          <w:szCs w:val="24"/>
        </w:rPr>
        <w:t xml:space="preserve">Publishers increasingly sell expiring 'access codes' for online homework systems and e-textbooks rather than physical books. Cengage CEO Michael Hansen stated the company hopes to 'recapture students who have been using our materials but have not given us any revenue' by eliminating the used book market.</w:t>
      </w:r>
    </w:p>
    <w:p>
      <w:pPr>
        <w:spacing w:after="200"/>
      </w:pPr>
      <w:r>
        <w:rPr>
          <w:rFonts w:ascii="Arial" w:cs="Arial" w:eastAsia="Arial" w:hAnsi="Arial"/>
          <w:b/>
          <w:bCs/>
          <w:sz w:val="24"/>
          <w:szCs w:val="24"/>
        </w:rPr>
        <w:t xml:space="preserve">Inclusive Access Programs: </w:t>
      </w:r>
    </w:p>
    <w:p>
      <w:pPr>
        <w:spacing w:after="200"/>
      </w:pPr>
      <w:r>
        <w:rPr>
          <w:rFonts w:ascii="Arial" w:cs="Arial" w:eastAsia="Arial" w:hAnsi="Arial"/>
          <w:sz w:val="24"/>
          <w:szCs w:val="24"/>
        </w:rPr>
        <w:t xml:space="preserve">Automatic billing programs where institutions subscribe students to digital materials upon course enrollment, passing costs through as fees. Independent bookstores filed a class-action lawsuit in 2020 alleging these programs constitute a 'conspiracy' to eliminate competitors and raise prices.</w:t>
      </w:r>
    </w:p>
    <w:p>
      <w:pPr>
        <w:pStyle w:val="Heading3"/>
        <w:spacing w:before="200" w:after="100"/>
      </w:pPr>
      <w:r>
        <w:rPr>
          <w:rFonts w:ascii="Arial" w:cs="Arial" w:eastAsia="Arial" w:hAnsi="Arial"/>
          <w:b/>
          <w:bCs/>
          <w:sz w:val="26"/>
          <w:szCs w:val="26"/>
        </w:rPr>
        <w:t xml:space="preserve">Cengage/McGraw-Hill Merger Attempt</w:t>
      </w:r>
    </w:p>
    <w:p>
      <w:pPr>
        <w:spacing w:after="200"/>
      </w:pPr>
      <w:r>
        <w:rPr>
          <w:rFonts w:ascii="Arial" w:cs="Arial" w:eastAsia="Arial" w:hAnsi="Arial"/>
          <w:sz w:val="24"/>
          <w:szCs w:val="24"/>
        </w:rPr>
        <w:t xml:space="preserve">In 2019, the second and third largest publishers announced a merger that would have created a combined entity controlling 41% of the market, rivaling Pearson. The merger was opposed by student organizations, consumer groups, and advocacy organizations who warned it would 'substantially lessen competition' and create a 'platform monopoly.' The merger ultimately failed, but both companies continue pursuing digital-first strategies designed to eliminate the used book market.</w:t>
      </w:r>
    </w:p>
    <w:p>
      <w:pPr>
        <w:spacing w:after="200"/>
      </w:pPr>
      <w:r>
        <w:rPr>
          <w:rFonts w:ascii="Arial" w:cs="Arial" w:eastAsia="Arial" w:hAnsi="Arial"/>
          <w:b/>
          <w:bCs/>
          <w:sz w:val="24"/>
          <w:szCs w:val="24"/>
        </w:rPr>
        <w:t xml:space="preserve">SPARC Warning: </w:t>
      </w:r>
    </w:p>
    <w:p>
      <w:pPr>
        <w:spacing w:after="200"/>
      </w:pPr>
      <w:r>
        <w:rPr>
          <w:rFonts w:ascii="Arial" w:cs="Arial" w:eastAsia="Arial" w:hAnsi="Arial"/>
          <w:sz w:val="24"/>
          <w:szCs w:val="24"/>
        </w:rPr>
        <w:t xml:space="preserve">'Cengage and McGraw-Hill's proposed merger is a step toward forming a monopoly over higher education data.' The advocacy group warned that publishers are building 'enormous data empires' from student performance data collected through digital platforms.</w:t>
      </w:r>
    </w:p>
    <w:p>
      <w:r>
        <w:br w:type="page"/>
      </w:r>
    </w:p>
    <w:p>
      <w:pPr>
        <w:pStyle w:val="Heading1"/>
        <w:spacing w:before="400" w:after="200"/>
      </w:pPr>
      <w:r>
        <w:rPr>
          <w:rFonts w:ascii="Arial" w:cs="Arial" w:eastAsia="Arial" w:hAnsi="Arial"/>
          <w:b/>
          <w:bCs/>
          <w:sz w:val="36"/>
          <w:szCs w:val="36"/>
        </w:rPr>
        <w:t xml:space="preserve">SECTION 5: UNIVERSITY ENDOWMENT INVESTMENT NETWORKS</w:t>
      </w:r>
    </w:p>
    <w:p>
      <w:pPr>
        <w:pStyle w:val="Heading2"/>
        <w:spacing w:before="300" w:after="150"/>
      </w:pPr>
      <w:r>
        <w:rPr>
          <w:rFonts w:ascii="Arial" w:cs="Arial" w:eastAsia="Arial" w:hAnsi="Arial"/>
          <w:b/>
          <w:bCs/>
          <w:sz w:val="28"/>
          <w:szCs w:val="28"/>
        </w:rPr>
        <w:t xml:space="preserve">Scale and Concentration</w:t>
      </w:r>
    </w:p>
    <w:p>
      <w:pPr>
        <w:spacing w:after="200"/>
      </w:pPr>
      <w:r>
        <w:rPr>
          <w:rFonts w:ascii="Arial" w:cs="Arial" w:eastAsia="Arial" w:hAnsi="Arial"/>
          <w:sz w:val="24"/>
          <w:szCs w:val="24"/>
        </w:rPr>
        <w:t xml:space="preserve">The top 50 university endowments hold $806.2 billion in assets (2024). The top five institutions alone control nearly 40% of total endowment assets: University of Texas System ($69B), Texas Permanent School Fund ($57B), Harvard ($56.9B), Stanford ($47.7B), and Yale ($44.1B). Total endowment spending reached $30 billion in FY2024, a 6.4% increase year-over-year.</w:t>
      </w:r>
    </w:p>
    <w:p>
      <w:pPr>
        <w:pStyle w:val="Heading2"/>
        <w:spacing w:before="300" w:after="150"/>
      </w:pPr>
      <w:r>
        <w:rPr>
          <w:rFonts w:ascii="Arial" w:cs="Arial" w:eastAsia="Arial" w:hAnsi="Arial"/>
          <w:b/>
          <w:bCs/>
          <w:sz w:val="28"/>
          <w:szCs w:val="28"/>
        </w:rPr>
        <w:t xml:space="preserve">The Yale Model and Alternative Investments</w:t>
      </w:r>
    </w:p>
    <w:p>
      <w:pPr>
        <w:spacing w:after="200"/>
      </w:pPr>
      <w:r>
        <w:rPr>
          <w:rFonts w:ascii="Arial" w:cs="Arial" w:eastAsia="Arial" w:hAnsi="Arial"/>
          <w:sz w:val="24"/>
          <w:szCs w:val="24"/>
        </w:rPr>
        <w:t xml:space="preserve">David Swensen, Yale's Chief Investment Officer from 1985 until his death in 2021, pioneered the 'Yale Model' of endowment investing. This strategy shifted from traditional 60% stocks / 40% bonds allocations to heavy investment in 'alternative' assets including private equity, venture capital, hedge funds, and real estate. Under Swensen, Yale's endowment achieved 11.8% average annual returns from 1999-2009.</w:t>
      </w:r>
    </w:p>
    <w:p>
      <w:pPr>
        <w:pStyle w:val="Heading3"/>
        <w:spacing w:before="200" w:after="100"/>
      </w:pPr>
      <w:r>
        <w:rPr>
          <w:rFonts w:ascii="Arial" w:cs="Arial" w:eastAsia="Arial" w:hAnsi="Arial"/>
          <w:b/>
          <w:bCs/>
          <w:sz w:val="26"/>
          <w:szCs w:val="26"/>
        </w:rPr>
        <w:t xml:space="preserve">Alternative Investment Allocation</w:t>
      </w:r>
    </w:p>
    <w:p>
      <w:pPr>
        <w:spacing w:after="200"/>
      </w:pPr>
      <w:r>
        <w:rPr>
          <w:rFonts w:ascii="Arial" w:cs="Arial" w:eastAsia="Arial" w:hAnsi="Arial"/>
          <w:sz w:val="24"/>
          <w:szCs w:val="24"/>
        </w:rPr>
        <w:t xml:space="preserve">The average university now holds 56% of endowment portfolios in alternative investments (2024, NACUBO). Yale maintains approximately 60% in alternatives. These investments create deep ties between universities and private equity, venture capital, and hedge fund managers.</w:t>
      </w:r>
    </w:p>
    <w:p>
      <w:pPr>
        <w:pStyle w:val="Heading2"/>
        <w:spacing w:before="300" w:after="150"/>
      </w:pPr>
      <w:r>
        <w:rPr>
          <w:rFonts w:ascii="Arial" w:cs="Arial" w:eastAsia="Arial" w:hAnsi="Arial"/>
          <w:b/>
          <w:bCs/>
          <w:sz w:val="28"/>
          <w:szCs w:val="28"/>
        </w:rPr>
        <w:t xml:space="preserve">Endowment Investment Allocations (Elite Universities)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560"/>
        <w:gridCol w:w="1560"/>
        <w:gridCol w:w="1560"/>
        <w:gridCol w:w="1560"/>
        <w:gridCol w:w="1248"/>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University</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Endowment</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Alternatives %</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FY24/25 Return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PE/VC Notable</w:t>
            </w:r>
          </w:p>
        </w:tc>
        <w:tc>
          <w:tcPr>
            <w:tcW w:type="dxa" w:w="124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Spending</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Harvard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$56.9B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11.9%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Selling $1B PE (2025)</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$2B+/year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Yale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$41.4B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Selling $2.5B PE (2025)</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$1.8B+/year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Stanford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$47.7B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Early FB, Google, Airbnb</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$2B+/year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$27.4B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55.5% (FY21)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Swensen protégé (Alexander)</w:t>
            </w:r>
          </w:p>
        </w:tc>
        <w:tc>
          <w:tcPr>
            <w:tcW w:type="dxa" w:w="124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$1.2B+/year</w:t>
            </w:r>
          </w:p>
        </w:tc>
      </w:tr>
    </w:tbl>
    <w:p>
      <w:pPr>
        <w:spacing w:after="200"/>
      </w:pPr>
    </w:p>
    <w:p>
      <w:pPr>
        <w:pStyle w:val="Heading2"/>
        <w:spacing w:before="300" w:after="150"/>
      </w:pPr>
      <w:r>
        <w:rPr>
          <w:rFonts w:ascii="Arial" w:cs="Arial" w:eastAsia="Arial" w:hAnsi="Arial"/>
          <w:b/>
          <w:bCs/>
          <w:sz w:val="28"/>
          <w:szCs w:val="28"/>
        </w:rPr>
        <w:t xml:space="preserve">The Yale Model Crisis (2025)</w:t>
      </w:r>
    </w:p>
    <w:p>
      <w:pPr>
        <w:spacing w:after="200"/>
      </w:pPr>
      <w:r>
        <w:rPr>
          <w:rFonts w:ascii="Arial" w:cs="Arial" w:eastAsia="Arial" w:hAnsi="Arial"/>
          <w:sz w:val="24"/>
          <w:szCs w:val="24"/>
        </w:rPr>
        <w:t xml:space="preserve">Despite decades of success, the Yale Model faces structural problems. Bloomberg reports that top universities have sold $4 billion of bonds in 2025 to raise cash. Harvard is selling $1 billion of private equity holdings, while Yale is selling $2.5 billion. The problem: when universities become over-allocated to illiquid investments with outstanding capital calls, they become vulnerable to cash flow crises.</w:t>
      </w:r>
    </w:p>
    <w:p>
      <w:pPr>
        <w:spacing w:after="200"/>
      </w:pPr>
      <w:r>
        <w:rPr>
          <w:rFonts w:ascii="Arial" w:cs="Arial" w:eastAsia="Arial" w:hAnsi="Arial"/>
          <w:sz w:val="24"/>
          <w:szCs w:val="24"/>
        </w:rPr>
        <w:t xml:space="preserve">As one analysis noted: 'The Yale Model works well, if and only if, an investor has cash to meet all commitments and does not need to rely on alternative investments for cash needs. When over-allocated, they can put their entire portfolio at risk.'</w:t>
      </w:r>
    </w:p>
    <w:p>
      <w:pPr>
        <w:pStyle w:val="Heading3"/>
        <w:spacing w:before="200" w:after="100"/>
      </w:pPr>
      <w:r>
        <w:rPr>
          <w:rFonts w:ascii="Arial" w:cs="Arial" w:eastAsia="Arial" w:hAnsi="Arial"/>
          <w:b/>
          <w:bCs/>
          <w:sz w:val="26"/>
          <w:szCs w:val="26"/>
        </w:rPr>
        <w:t xml:space="preserve">Endowment-Tuition Disconnect</w:t>
      </w:r>
    </w:p>
    <w:p>
      <w:pPr>
        <w:spacing w:after="200"/>
      </w:pPr>
      <w:r>
        <w:rPr>
          <w:rFonts w:ascii="Arial" w:cs="Arial" w:eastAsia="Arial" w:hAnsi="Arial"/>
          <w:sz w:val="24"/>
          <w:szCs w:val="24"/>
        </w:rPr>
        <w:t xml:space="preserve">Despite massive endowments, tuition continues rising. While endowments fund approximately 15% of operating expenses and 48% of endowment spending goes to financial aid, critics note that endowment growth has not translated to lower tuition. The top 50 endowments grew from $296 billion (2010) to $806 billion (2024), while tuition increased 27% at public four-year colleges in the same period.</w:t>
      </w:r>
    </w:p>
    <w:p>
      <w:r>
        <w:br w:type="page"/>
      </w:r>
    </w:p>
    <w:p>
      <w:pPr>
        <w:pStyle w:val="Heading1"/>
        <w:spacing w:before="400" w:after="200"/>
      </w:pPr>
      <w:r>
        <w:rPr>
          <w:rFonts w:ascii="Arial" w:cs="Arial" w:eastAsia="Arial" w:hAnsi="Arial"/>
          <w:b/>
          <w:bCs/>
          <w:sz w:val="36"/>
          <w:szCs w:val="36"/>
        </w:rPr>
        <w:t xml:space="preserve">SECTION 6: ADMINISTRATIVE EXPANSION AND COST STRUCTURE</w:t>
      </w:r>
    </w:p>
    <w:p>
      <w:pPr>
        <w:pStyle w:val="Heading2"/>
        <w:spacing w:before="300" w:after="150"/>
      </w:pPr>
      <w:r>
        <w:rPr>
          <w:rFonts w:ascii="Arial" w:cs="Arial" w:eastAsia="Arial" w:hAnsi="Arial"/>
          <w:b/>
          <w:bCs/>
          <w:sz w:val="28"/>
          <w:szCs w:val="28"/>
        </w:rPr>
        <w:t xml:space="preserve">The Administrative Bloat Phenomenon</w:t>
      </w:r>
    </w:p>
    <w:p>
      <w:pPr>
        <w:spacing w:after="200"/>
      </w:pPr>
      <w:r>
        <w:rPr>
          <w:rFonts w:ascii="Arial" w:cs="Arial" w:eastAsia="Arial" w:hAnsi="Arial"/>
          <w:sz w:val="24"/>
          <w:szCs w:val="24"/>
        </w:rPr>
        <w:t xml:space="preserve">Administrative spending at US public universities increased 6.3% from 2016-2021 (from $3,549 to $3,771 per full-time equivalent student), while instructional spending fell 4.7% (from $14,352 to $13,685 per FTE). The ratio of administrators to faculty has shrunk dramatically: in 1990, public research universities had approximately twice as many full-time faculty as administrators; by 2012, the two groups were nearly equal.</w:t>
      </w:r>
    </w:p>
    <w:p>
      <w:pPr>
        <w:pStyle w:val="Heading3"/>
        <w:spacing w:before="200" w:after="100"/>
      </w:pPr>
      <w:r>
        <w:rPr>
          <w:rFonts w:ascii="Arial" w:cs="Arial" w:eastAsia="Arial" w:hAnsi="Arial"/>
          <w:b/>
          <w:bCs/>
          <w:sz w:val="26"/>
          <w:szCs w:val="26"/>
        </w:rPr>
        <w:t xml:space="preserve">Historical Comparison</w:t>
      </w:r>
    </w:p>
    <w:p>
      <w:pPr>
        <w:spacing w:after="200"/>
      </w:pPr>
      <w:r>
        <w:rPr>
          <w:rFonts w:ascii="Arial" w:cs="Arial" w:eastAsia="Arial" w:hAnsi="Arial"/>
          <w:sz w:val="24"/>
          <w:szCs w:val="24"/>
        </w:rPr>
        <w:t xml:space="preserve">Administrative spending comprised 26% of total educational spending in 1980-81, while instructional spending comprised 41%. Three decades later, administrative spending made up 24% while instructional spending fell to 29%. The number of faculty per administrator declined 40% between 1990 and 2012, now averaging 2.5 faculty per administrator.</w:t>
      </w:r>
    </w:p>
    <w:p>
      <w:pPr>
        <w:pStyle w:val="Heading2"/>
        <w:spacing w:before="300" w:after="150"/>
      </w:pPr>
      <w:r>
        <w:rPr>
          <w:rFonts w:ascii="Arial" w:cs="Arial" w:eastAsia="Arial" w:hAnsi="Arial"/>
          <w:b/>
          <w:bCs/>
          <w:sz w:val="28"/>
          <w:szCs w:val="28"/>
        </w:rPr>
        <w:t xml:space="preserve">Case Study: Cornell University</w:t>
      </w:r>
    </w:p>
    <w:p>
      <w:pPr>
        <w:spacing w:after="200"/>
      </w:pPr>
      <w:r>
        <w:rPr>
          <w:rFonts w:ascii="Arial" w:cs="Arial" w:eastAsia="Arial" w:hAnsi="Arial"/>
          <w:sz w:val="24"/>
          <w:szCs w:val="24"/>
        </w:rPr>
        <w:t xml:space="preserve">Cornell spent $48,562,565 on administrative employment costs in 2021 and $90,480,604 in 2024, an 86% increase in just three years. This does not include the $500,000 increase in executive officer and key employee compensation. Meanwhile, the university forced 146 students to live in temporary quintuples and triples in dorm common rooms (2023-24), admitted 13% more freshmen to the class of 2029, and raised total cost of attendance above $96,000 annually ($100,000+ with health insurance).</w:t>
      </w:r>
    </w:p>
    <w:p>
      <w:pPr>
        <w:pStyle w:val="Heading2"/>
        <w:spacing w:before="300" w:after="150"/>
      </w:pPr>
      <w:r>
        <w:rPr>
          <w:rFonts w:ascii="Arial" w:cs="Arial" w:eastAsia="Arial" w:hAnsi="Arial"/>
          <w:b/>
          <w:bCs/>
          <w:sz w:val="28"/>
          <w:szCs w:val="28"/>
        </w:rPr>
        <w:t xml:space="preserve">Administrative Salary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Position/Category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Compensation Notes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David Swensen (Yale CIO, 2015)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$4.5M - highest paid Yale employee, exceeding president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UMD Vice Presidents/Deans (1998-2003)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Salaries increased up to 50% during 'financial retrenchment'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Average Faculty Salaries (2000-2012)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Essentially flat per Department of Education study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Section 4960 Excise Tax Threshold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$1M+ compensation triggers 21% excise tax for nonprofits</w:t>
            </w:r>
          </w:p>
        </w:tc>
      </w:tr>
    </w:tbl>
    <w:p>
      <w:pPr>
        <w:spacing w:after="200"/>
      </w:pPr>
    </w:p>
    <w:p>
      <w:pPr>
        <w:pStyle w:val="Heading3"/>
        <w:spacing w:before="200" w:after="100"/>
      </w:pPr>
      <w:r>
        <w:rPr>
          <w:rFonts w:ascii="Arial" w:cs="Arial" w:eastAsia="Arial" w:hAnsi="Arial"/>
          <w:b/>
          <w:bCs/>
          <w:sz w:val="26"/>
          <w:szCs w:val="26"/>
        </w:rPr>
        <w:t xml:space="preserve">Drivers of Administrative Growth</w:t>
      </w:r>
    </w:p>
    <w:p>
      <w:pPr>
        <w:spacing w:after="200"/>
      </w:pPr>
      <w:r>
        <w:rPr>
          <w:rFonts w:ascii="Arial" w:cs="Arial" w:eastAsia="Arial" w:hAnsi="Arial"/>
          <w:sz w:val="24"/>
          <w:szCs w:val="24"/>
        </w:rPr>
        <w:t xml:space="preserve">Legitimate factors include federal/state regulatory compliance (Clery Act, Title IX, FERPA), competition for enrollees driving investment in amenities, and changing student support needs. However, as economist Todd Zywicki noted: 'The two big cost drivers are bureaucrats and buildings. They actually look at the classroom as a place where they can conserve money.'</w:t>
      </w:r>
    </w:p>
    <w:p>
      <w:pPr>
        <w:spacing w:after="200"/>
      </w:pPr>
      <w:r>
        <w:rPr>
          <w:rFonts w:ascii="Arial" w:cs="Arial" w:eastAsia="Arial" w:hAnsi="Arial"/>
          <w:sz w:val="24"/>
          <w:szCs w:val="24"/>
        </w:rPr>
        <w:t xml:space="preserve">Unlike private sector corporations held accountable by shareholders seeking returns, nonprofit universities face no similar discipline. As Robert Martin wrote in Forbes: 'Businesses are very attuned to the problem of overhead and have a clear financial interest in periodically restructuring to eliminate excess bureaucracy. They must preserve profitability.'</w:t>
      </w:r>
    </w:p>
    <w:p>
      <w:r>
        <w:br w:type="page"/>
      </w:r>
    </w:p>
    <w:p>
      <w:pPr>
        <w:pStyle w:val="Heading1"/>
        <w:spacing w:before="400" w:after="200"/>
      </w:pPr>
      <w:r>
        <w:rPr>
          <w:rFonts w:ascii="Arial" w:cs="Arial" w:eastAsia="Arial" w:hAnsi="Arial"/>
          <w:b/>
          <w:bCs/>
          <w:sz w:val="36"/>
          <w:szCs w:val="36"/>
        </w:rPr>
        <w:t xml:space="preserve">SECTION 7: EXTRACTION NETWORK SYNTHESIS</w:t>
      </w:r>
    </w:p>
    <w:p>
      <w:pPr>
        <w:pStyle w:val="Heading2"/>
        <w:spacing w:before="300" w:after="150"/>
      </w:pPr>
      <w:r>
        <w:rPr>
          <w:rFonts w:ascii="Arial" w:cs="Arial" w:eastAsia="Arial" w:hAnsi="Arial"/>
          <w:b/>
          <w:bCs/>
          <w:sz w:val="28"/>
          <w:szCs w:val="28"/>
        </w:rPr>
        <w:t xml:space="preserve">The Complete Wealth Transfer System</w:t>
      </w:r>
    </w:p>
    <w:p>
      <w:pPr>
        <w:spacing w:after="200"/>
      </w:pPr>
      <w:r>
        <w:rPr>
          <w:rFonts w:ascii="Arial" w:cs="Arial" w:eastAsia="Arial" w:hAnsi="Arial"/>
          <w:sz w:val="24"/>
          <w:szCs w:val="24"/>
        </w:rPr>
        <w:t xml:space="preserve">The education industry operates as an integrated wealth extraction apparatus with multiple interconnected components, each capturing value at different stages of the student lifecycle.</w:t>
      </w:r>
    </w:p>
    <w:p>
      <w:pPr>
        <w:pStyle w:val="Heading3"/>
        <w:spacing w:before="200" w:after="100"/>
      </w:pPr>
      <w:r>
        <w:rPr>
          <w:rFonts w:ascii="Arial" w:cs="Arial" w:eastAsia="Arial" w:hAnsi="Arial"/>
          <w:b/>
          <w:bCs/>
          <w:sz w:val="26"/>
          <w:szCs w:val="26"/>
        </w:rPr>
        <w:t xml:space="preserve">Stage 1: Marketing and Recruitment</w:t>
      </w:r>
    </w:p>
    <w:p>
      <w:pPr>
        <w:spacing w:after="200"/>
      </w:pPr>
      <w:r>
        <w:rPr>
          <w:rFonts w:ascii="Arial" w:cs="Arial" w:eastAsia="Arial" w:hAnsi="Arial"/>
          <w:sz w:val="24"/>
          <w:szCs w:val="24"/>
        </w:rPr>
        <w:t xml:space="preserve">For-profit colleges, OPMs, and aggressive university marketing create demand through advertising that manufactures 'college mania.' OPMs spend $300-400 million annually on marketing. Publishers and testing companies (College Board, ETS) reinforce the college imperative.</w:t>
      </w:r>
    </w:p>
    <w:p>
      <w:pPr>
        <w:pStyle w:val="Heading3"/>
        <w:spacing w:before="200" w:after="100"/>
      </w:pPr>
      <w:r>
        <w:rPr>
          <w:rFonts w:ascii="Arial" w:cs="Arial" w:eastAsia="Arial" w:hAnsi="Arial"/>
          <w:b/>
          <w:bCs/>
          <w:sz w:val="26"/>
          <w:szCs w:val="26"/>
        </w:rPr>
        <w:t xml:space="preserve">Stage 2: Enrollment and Debt Origination</w:t>
      </w:r>
    </w:p>
    <w:p>
      <w:pPr>
        <w:spacing w:after="200"/>
      </w:pPr>
      <w:r>
        <w:rPr>
          <w:rFonts w:ascii="Arial" w:cs="Arial" w:eastAsia="Arial" w:hAnsi="Arial"/>
          <w:sz w:val="24"/>
          <w:szCs w:val="24"/>
        </w:rPr>
        <w:t xml:space="preserve">Students are enrolled in programs regardless of quality or employment outcomes. Federal student loans flow automatically. Private lenders like Sallie Mae capture overflow demand with higher-interest products. Textbook publishers extract additional revenue through mandatory access codes and 'inclusive access' programs.</w:t>
      </w:r>
    </w:p>
    <w:p>
      <w:pPr>
        <w:pStyle w:val="Heading3"/>
        <w:spacing w:before="200" w:after="100"/>
      </w:pPr>
      <w:r>
        <w:rPr>
          <w:rFonts w:ascii="Arial" w:cs="Arial" w:eastAsia="Arial" w:hAnsi="Arial"/>
          <w:b/>
          <w:bCs/>
          <w:sz w:val="26"/>
          <w:szCs w:val="26"/>
        </w:rPr>
        <w:t xml:space="preserve">Stage 3: Securitization and Investor Returns</w:t>
      </w:r>
    </w:p>
    <w:p>
      <w:pPr>
        <w:spacing w:after="200"/>
      </w:pPr>
      <w:r>
        <w:rPr>
          <w:rFonts w:ascii="Arial" w:cs="Arial" w:eastAsia="Arial" w:hAnsi="Arial"/>
          <w:sz w:val="24"/>
          <w:szCs w:val="24"/>
        </w:rPr>
        <w:t xml:space="preserve">Student loans are packaged into SLABS and sold to institutional investors. Wall Street banks earn fees for underwriting. Rating agencies validate securities. Investors receive steady returns backed by non-dischargeable debt and federal guarantees.</w:t>
      </w:r>
    </w:p>
    <w:p>
      <w:pPr>
        <w:pStyle w:val="Heading3"/>
        <w:spacing w:before="200" w:after="100"/>
      </w:pPr>
      <w:r>
        <w:rPr>
          <w:rFonts w:ascii="Arial" w:cs="Arial" w:eastAsia="Arial" w:hAnsi="Arial"/>
          <w:b/>
          <w:bCs/>
          <w:sz w:val="26"/>
          <w:szCs w:val="26"/>
        </w:rPr>
        <w:t xml:space="preserve">Stage 4: Servicing and Collection</w:t>
      </w:r>
    </w:p>
    <w:p>
      <w:pPr>
        <w:spacing w:after="200"/>
      </w:pPr>
      <w:r>
        <w:rPr>
          <w:rFonts w:ascii="Arial" w:cs="Arial" w:eastAsia="Arial" w:hAnsi="Arial"/>
          <w:sz w:val="24"/>
          <w:szCs w:val="24"/>
        </w:rPr>
        <w:t xml:space="preserve">Loan servicers (Navient, MOHELA, Nelnet) earn fees regardless of borrower outcomes. Perverse incentives favor default over income-driven repayment. Collection agencies pursue borrowers for decades, garnishing wages and Social Security.</w:t>
      </w:r>
    </w:p>
    <w:p>
      <w:pPr>
        <w:pStyle w:val="Heading3"/>
        <w:spacing w:before="200" w:after="100"/>
      </w:pPr>
      <w:r>
        <w:rPr>
          <w:rFonts w:ascii="Arial" w:cs="Arial" w:eastAsia="Arial" w:hAnsi="Arial"/>
          <w:b/>
          <w:bCs/>
          <w:sz w:val="26"/>
          <w:szCs w:val="26"/>
        </w:rPr>
        <w:t xml:space="preserve">Stage 5: Institutional Investment</w:t>
      </w:r>
    </w:p>
    <w:p>
      <w:pPr>
        <w:spacing w:after="200"/>
      </w:pPr>
      <w:r>
        <w:rPr>
          <w:rFonts w:ascii="Arial" w:cs="Arial" w:eastAsia="Arial" w:hAnsi="Arial"/>
          <w:sz w:val="24"/>
          <w:szCs w:val="24"/>
        </w:rPr>
        <w:t xml:space="preserve">University endowments invest in the same private equity firms, hedge funds, and financial institutions that profit from student debt. Endowment managers earn millions. Alternative investment allocation creates network ties between elite universities and extraction apparatus.</w:t>
      </w:r>
    </w:p>
    <w:p>
      <w:pPr>
        <w:pStyle w:val="Heading2"/>
        <w:spacing w:before="300" w:after="150"/>
      </w:pPr>
      <w:r>
        <w:rPr>
          <w:rFonts w:ascii="Arial" w:cs="Arial" w:eastAsia="Arial" w:hAnsi="Arial"/>
          <w:b/>
          <w:bCs/>
          <w:sz w:val="28"/>
          <w:szCs w:val="28"/>
        </w:rPr>
        <w:t xml:space="preserve">Network Map: Key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Entity 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Connection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Entity 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Apollo Global Mgmt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Acquired University of Phoenix for $1.14B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Vistria Group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Vistria Group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Tony Miller, former Deputy Secretary of Education (2009-13)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Dept of Education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Goldman Sachs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Financial advisor for Sallie Mae/Navient split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JP Morgan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Sallie Mae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Spun off Navient (2014), both securitize student loans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Navient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Kaplan (for-profit)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Sold to Purdue, became 30-year OPM contractor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Purdue Global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Yale Endowment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60% in alternatives, early investor in Google, Facebook, Airbnb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PE/VC Network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Acquired edX for $800M, took 50%+ of tuition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USC, Berkeley, etc.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Pearson/Cengage/McGraw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80% textbook market control, 'inclusive access' programs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Barnes &amp; Noble Ed</w:t>
            </w:r>
          </w:p>
        </w:tc>
      </w:tr>
    </w:tbl>
    <w:p>
      <w:pPr>
        <w:spacing w:after="200"/>
      </w:pPr>
    </w:p>
    <w:p>
      <w:pPr>
        <w:pStyle w:val="Heading2"/>
        <w:spacing w:before="300" w:after="150"/>
      </w:pPr>
      <w:r>
        <w:rPr>
          <w:rFonts w:ascii="Arial" w:cs="Arial" w:eastAsia="Arial" w:hAnsi="Arial"/>
          <w:b/>
          <w:bCs/>
          <w:sz w:val="28"/>
          <w:szCs w:val="28"/>
        </w:rPr>
        <w:t xml:space="preserve">Total Wealth Transfer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Extraction Channel</w:t>
            </w:r>
          </w:p>
        </w:tc>
        <w:tc>
          <w:tcPr>
            <w:tcW w:type="dxa" w:w="374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Annual/Cumulative Scale</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Total Outstanding Student Debt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$1.814 Trillion (cumulative)</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Annual New Student Borrowing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$99 Billion (2023-24)</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SLABS Outstanding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$170+ Billion</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OPM Industry Revenue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$4.2 Billion/year (2022)</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Textbook Publisher Revenue (Top 6)</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$3.3 Billion/year</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University Endowment AUM</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$873.7 Billion (2024)</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Annual Endowment Spending</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$30 Billion (2024)</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For-Profit College Debt (U of Phoenix alone)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$35+ Billion (cumulative)</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Navient Settlements/Fines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$2+ Billion (2014-2024)</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Corinthian Loan Cancellations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2"/>
                <w:szCs w:val="22"/>
              </w:rPr>
              <w:t xml:space="preserve">$5.8 Billion (560,000 students)</w:t>
            </w:r>
          </w:p>
        </w:tc>
      </w:tr>
    </w:tbl>
    <w:p>
      <w:pPr>
        <w:spacing w:after="200"/>
      </w:pPr>
    </w:p>
    <w:p>
      <w:r>
        <w:br w:type="page"/>
      </w:r>
    </w:p>
    <w:p>
      <w:pPr>
        <w:pStyle w:val="Heading1"/>
        <w:spacing w:before="400" w:after="200"/>
      </w:pPr>
      <w:r>
        <w:rPr>
          <w:rFonts w:ascii="Arial" w:cs="Arial" w:eastAsia="Arial" w:hAnsi="Arial"/>
          <w:b/>
          <w:bCs/>
          <w:sz w:val="36"/>
          <w:szCs w:val="36"/>
        </w:rPr>
        <w:t xml:space="preserve">CONCLUSION</w:t>
      </w:r>
    </w:p>
    <w:p>
      <w:pPr>
        <w:spacing w:after="200"/>
      </w:pPr>
      <w:r>
        <w:rPr>
          <w:rFonts w:ascii="Arial" w:cs="Arial" w:eastAsia="Arial" w:hAnsi="Arial"/>
          <w:sz w:val="24"/>
          <w:szCs w:val="24"/>
        </w:rPr>
        <w:t xml:space="preserve">The American education industry has been systematically transformed from a public good into a wealth extraction apparatus. The mechanisms documented in this audit operate in concert to transfer resources from students, families, and taxpayers to institutional investors, private equity firms, loan servicers, textbook publishers, and administrative bureaucracies.</w:t>
      </w:r>
    </w:p>
    <w:p>
      <w:pPr>
        <w:pStyle w:val="Heading2"/>
        <w:spacing w:before="300" w:after="150"/>
      </w:pPr>
      <w:r>
        <w:rPr>
          <w:rFonts w:ascii="Arial" w:cs="Arial" w:eastAsia="Arial" w:hAnsi="Arial"/>
          <w:b/>
          <w:bCs/>
          <w:sz w:val="28"/>
          <w:szCs w:val="28"/>
        </w:rPr>
        <w:t xml:space="preserve">Key Structural Features</w:t>
      </w:r>
    </w:p>
    <w:p>
      <w:pPr>
        <w:spacing w:after="200"/>
      </w:pPr>
      <w:r>
        <w:rPr>
          <w:rFonts w:ascii="Arial" w:cs="Arial" w:eastAsia="Arial" w:hAnsi="Arial"/>
          <w:b/>
          <w:bCs/>
          <w:sz w:val="24"/>
          <w:szCs w:val="24"/>
        </w:rPr>
        <w:t xml:space="preserve">1. Non-Dischargeability: </w:t>
      </w:r>
    </w:p>
    <w:p>
      <w:pPr>
        <w:spacing w:after="200"/>
      </w:pPr>
      <w:r>
        <w:rPr>
          <w:rFonts w:ascii="Arial" w:cs="Arial" w:eastAsia="Arial" w:hAnsi="Arial"/>
          <w:sz w:val="24"/>
          <w:szCs w:val="24"/>
        </w:rPr>
        <w:t xml:space="preserve">Student loans cannot be discharged in bankruptcy, creating a uniquely 'bulletproof' asset class for investors while trapping borrowers in perpetual debt.</w:t>
      </w:r>
    </w:p>
    <w:p>
      <w:pPr>
        <w:spacing w:after="200"/>
      </w:pPr>
      <w:r>
        <w:rPr>
          <w:rFonts w:ascii="Arial" w:cs="Arial" w:eastAsia="Arial" w:hAnsi="Arial"/>
          <w:b/>
          <w:bCs/>
          <w:sz w:val="24"/>
          <w:szCs w:val="24"/>
        </w:rPr>
        <w:t xml:space="preserve">2. Federal Guarantees: </w:t>
      </w:r>
    </w:p>
    <w:p>
      <w:pPr>
        <w:spacing w:after="200"/>
      </w:pPr>
      <w:r>
        <w:rPr>
          <w:rFonts w:ascii="Arial" w:cs="Arial" w:eastAsia="Arial" w:hAnsi="Arial"/>
          <w:sz w:val="24"/>
          <w:szCs w:val="24"/>
        </w:rPr>
        <w:t xml:space="preserve">Government backing of FFEL loans (80% of SLABS) socializes risk while privatizing returns.</w:t>
      </w:r>
    </w:p>
    <w:p>
      <w:pPr>
        <w:spacing w:after="200"/>
      </w:pPr>
      <w:r>
        <w:rPr>
          <w:rFonts w:ascii="Arial" w:cs="Arial" w:eastAsia="Arial" w:hAnsi="Arial"/>
          <w:b/>
          <w:bCs/>
          <w:sz w:val="24"/>
          <w:szCs w:val="24"/>
        </w:rPr>
        <w:t xml:space="preserve">3. Regulatory Capture: </w:t>
      </w:r>
    </w:p>
    <w:p>
      <w:pPr>
        <w:spacing w:after="200"/>
      </w:pPr>
      <w:r>
        <w:rPr>
          <w:rFonts w:ascii="Arial" w:cs="Arial" w:eastAsia="Arial" w:hAnsi="Arial"/>
          <w:sz w:val="24"/>
          <w:szCs w:val="24"/>
        </w:rPr>
        <w:t xml:space="preserve">Revolving door between Department of Education and private equity (Tony Miller/Vistria), weak accreditation enforcement, and exemptions for OPMs from incentive compensation rules.</w:t>
      </w:r>
    </w:p>
    <w:p>
      <w:pPr>
        <w:spacing w:after="200"/>
      </w:pPr>
      <w:r>
        <w:rPr>
          <w:rFonts w:ascii="Arial" w:cs="Arial" w:eastAsia="Arial" w:hAnsi="Arial"/>
          <w:b/>
          <w:bCs/>
          <w:sz w:val="24"/>
          <w:szCs w:val="24"/>
        </w:rPr>
        <w:t xml:space="preserve">4. Market Concentration: </w:t>
      </w:r>
    </w:p>
    <w:p>
      <w:pPr>
        <w:spacing w:after="200"/>
      </w:pPr>
      <w:r>
        <w:rPr>
          <w:rFonts w:ascii="Arial" w:cs="Arial" w:eastAsia="Arial" w:hAnsi="Arial"/>
          <w:sz w:val="24"/>
          <w:szCs w:val="24"/>
        </w:rPr>
        <w:t xml:space="preserve">Five textbook publishers control 80% of the market. A handful of loan servicers control federal and private loan portfolios. Private equity consolidates for-profit colleges.</w:t>
      </w:r>
    </w:p>
    <w:p>
      <w:pPr>
        <w:spacing w:after="200"/>
      </w:pPr>
      <w:r>
        <w:rPr>
          <w:rFonts w:ascii="Arial" w:cs="Arial" w:eastAsia="Arial" w:hAnsi="Arial"/>
          <w:b/>
          <w:bCs/>
          <w:sz w:val="24"/>
          <w:szCs w:val="24"/>
        </w:rPr>
        <w:t xml:space="preserve">5. Information Asymmetry: </w:t>
      </w:r>
    </w:p>
    <w:p>
      <w:pPr>
        <w:spacing w:after="200"/>
      </w:pPr>
      <w:r>
        <w:rPr>
          <w:rFonts w:ascii="Arial" w:cs="Arial" w:eastAsia="Arial" w:hAnsi="Arial"/>
          <w:sz w:val="24"/>
          <w:szCs w:val="24"/>
        </w:rPr>
        <w:t xml:space="preserve">Students cannot evaluate program quality or employment outcomes before enrolling. OPM contracts are hidden from public view. For-profit colleges going private escape disclosure requirements.</w:t>
      </w:r>
    </w:p>
    <w:p>
      <w:pPr>
        <w:spacing w:after="200"/>
      </w:pPr>
      <w:r>
        <w:rPr>
          <w:rFonts w:ascii="Arial" w:cs="Arial" w:eastAsia="Arial" w:hAnsi="Arial"/>
          <w:b/>
          <w:bCs/>
          <w:sz w:val="24"/>
          <w:szCs w:val="24"/>
        </w:rPr>
        <w:t xml:space="preserve">6. Misaligned Incentives: </w:t>
      </w:r>
    </w:p>
    <w:p>
      <w:pPr>
        <w:spacing w:after="200"/>
      </w:pPr>
      <w:r>
        <w:rPr>
          <w:rFonts w:ascii="Arial" w:cs="Arial" w:eastAsia="Arial" w:hAnsi="Arial"/>
          <w:sz w:val="24"/>
          <w:szCs w:val="24"/>
        </w:rPr>
        <w:t xml:space="preserve">Loan servicers profit from default. OPMs profit from enrollment regardless of completion. Publishers profit from eliminating the secondary market. Universities profit from administrative expansion.</w:t>
      </w:r>
    </w:p>
    <w:p>
      <w:pPr>
        <w:pStyle w:val="Heading2"/>
        <w:spacing w:before="300" w:after="150"/>
      </w:pPr>
      <w:r>
        <w:rPr>
          <w:rFonts w:ascii="Arial" w:cs="Arial" w:eastAsia="Arial" w:hAnsi="Arial"/>
          <w:b/>
          <w:bCs/>
          <w:sz w:val="28"/>
          <w:szCs w:val="28"/>
        </w:rPr>
        <w:t xml:space="preserve">Scale of Extraction</w:t>
      </w:r>
    </w:p>
    <w:p>
      <w:pPr>
        <w:spacing w:after="200"/>
      </w:pPr>
      <w:r>
        <w:rPr>
          <w:rFonts w:ascii="Arial" w:cs="Arial" w:eastAsia="Arial" w:hAnsi="Arial"/>
          <w:sz w:val="24"/>
          <w:szCs w:val="24"/>
        </w:rPr>
        <w:t xml:space="preserve">Total student debt has reached $1.814 trillion, affecting 42.5 million federal borrowers. Tuition has increased 1,200% since 1980, far exceeding general inflation. University endowments have grown to $873.7 billion while tuition continues rising. The extraction apparatus generates billions annually for Wall Street (SLABS underwriting, servicing fees), private equity (for-profit college and OPM investments), publishers (textbook and access code revenue), and administrators (compensation growth exceeding faculty).</w:t>
      </w:r>
    </w:p>
    <w:p>
      <w:pPr>
        <w:pStyle w:val="Heading2"/>
        <w:spacing w:before="300" w:after="150"/>
      </w:pPr>
      <w:r>
        <w:rPr>
          <w:rFonts w:ascii="Arial" w:cs="Arial" w:eastAsia="Arial" w:hAnsi="Arial"/>
          <w:b/>
          <w:bCs/>
          <w:sz w:val="28"/>
          <w:szCs w:val="28"/>
        </w:rPr>
        <w:t xml:space="preserve">Beneficiaries vs. Victims</w:t>
      </w:r>
    </w:p>
    <w:p>
      <w:pPr>
        <w:spacing w:after="200"/>
      </w:pPr>
      <w:r>
        <w:rPr>
          <w:rFonts w:ascii="Arial" w:cs="Arial" w:eastAsia="Arial" w:hAnsi="Arial"/>
          <w:sz w:val="24"/>
          <w:szCs w:val="24"/>
        </w:rPr>
        <w:t xml:space="preserve">Beneficiaries include Wall Street banks (Goldman Sachs, JP Morgan, Wells Fargo), private equity firms (Apollo Global, Vistria, Carlyle), loan servicers (Navient, Sallie Mae, MOHELA), textbook publishers (Pearson, Cengage, McGraw-Hill), OPM companies (2U, Academic Partnerships, Coursera), university endowment managers, and administrative bureaucracies.</w:t>
      </w:r>
    </w:p>
    <w:p>
      <w:pPr>
        <w:spacing w:after="200"/>
      </w:pPr>
      <w:r>
        <w:rPr>
          <w:rFonts w:ascii="Arial" w:cs="Arial" w:eastAsia="Arial" w:hAnsi="Arial"/>
          <w:sz w:val="24"/>
          <w:szCs w:val="24"/>
        </w:rPr>
        <w:t xml:space="preserve">Victims include 42.5 million student borrowers, particularly low-income and minority students targeted by for-profit colleges; taxpayers who guarantee federal loans and fund public universities; faculty whose salaries have stagnated while administrative compensation grows; and future generations who inherit an education system optimized for extraction rather than learning.</w:t>
      </w:r>
    </w:p>
    <w:p>
      <w:pPr>
        <w:spacing w:after="400"/>
      </w:pPr>
    </w:p>
    <w:p>
      <w:pPr>
        <w:spacing w:after="200"/>
      </w:pPr>
      <w:r>
        <w:rPr>
          <w:rFonts w:ascii="Arial" w:cs="Arial" w:eastAsia="Arial" w:hAnsi="Arial"/>
          <w:b/>
          <w:bCs/>
          <w:sz w:val="24"/>
          <w:szCs w:val="24"/>
        </w:rPr>
        <w:t xml:space="preserve">Document Classification: Confidential Research</w:t>
      </w:r>
    </w:p>
    <w:p>
      <w:pPr>
        <w:spacing w:after="200"/>
      </w:pPr>
      <w:r>
        <w:rPr>
          <w:rFonts w:ascii="Arial" w:cs="Arial" w:eastAsia="Arial" w:hAnsi="Arial"/>
          <w:sz w:val="24"/>
          <w:szCs w:val="24"/>
        </w:rPr>
        <w:t xml:space="preserve">Sources: Federal Reserve, Department of Education, SEC filings, NACUBO-Commonfund Study of Endowments, Government Accountability Office, Wall Street Journal, Rolling Stone, Century Foundation, Student Borrower Protection Center, SPARC, and primary company disclosures.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2026-01-30T10:38:43.465Z</dcterms:created>
  <dcterms:modified xsi:type="dcterms:W3CDTF">2026-01-30T10:38:43.466Z</dcterms:modified>
</cp:coreProperties>
</file>

<file path=docProps/custom.xml><?xml version="1.0" encoding="utf-8"?>
<Properties xmlns="http://schemas.openxmlformats.org/officeDocument/2006/custom-properties" xmlns:vt="http://schemas.openxmlformats.org/officeDocument/2006/docPropsVTypes"/>
</file>