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COMPREHENSIVE SCIENTIFIC AUDIT</w:t>
      </w:r>
    </w:p>
    <w:p>
      <w:pPr>
        <w:spacing w:after="400"/>
        <w:jc w:val="center"/>
      </w:pPr>
      <w:r>
        <w:rPr>
          <w:b/>
          <w:bCs/>
          <w:sz w:val="24"/>
          <w:szCs w:val="24"/>
        </w:rPr>
        <w:t xml:space="preserve">Commercial Medical AI as Non-Science: A USLaP Binary Audit of Invasive Brain-Computer Interface Systems, Complete Investor Network Analysis, Claims vs. Reality Assessment, and the Selective Deployment of Deterministic Models for Institutional Wealth Extraction</w:t>
      </w:r>
    </w:p>
    <w:p>
      <w:pPr>
        <w:spacing w:after="200"/>
        <w:jc w:val="center"/>
      </w:pPr>
      <w:r>
        <w:rPr>
          <w:sz w:val="22"/>
          <w:szCs w:val="22"/>
        </w:rPr>
        <w:t xml:space="preserve">USLaP Protocol v1.0 | Root: Holy Qur'an (6236 ayat → 114 surah)</w:t>
      </w:r>
    </w:p>
    <w:p>
      <w:pPr>
        <w:spacing w:after="400"/>
        <w:jc w:val="center"/>
      </w:pPr>
      <w:r>
        <w:rPr>
          <w:sz w:val="22"/>
          <w:szCs w:val="22"/>
        </w:rPr>
        <w:t xml:space="preserve">January 2026</w:t>
      </w:r>
    </w:p>
    <w:p>
      <w:pPr>
        <w:pStyle w:val="Heading1"/>
      </w:pPr>
      <w:r>
        <w:t xml:space="preserve">Executive Summary</w:t>
      </w:r>
    </w:p>
    <w:p>
      <w:pPr>
        <w:spacing w:after="200"/>
      </w:pPr>
      <w:r>
        <w:rPr>
          <w:sz w:val="22"/>
          <w:szCs w:val="22"/>
        </w:rPr>
        <w:t xml:space="preserve">This comprehensive audit documents the complete investor network behind commercial brain-computer interface (BCI) companies, traces financial connections to broader wealth extraction systems (surveillance, data harvesting, healthcare billing, pharmaceutical distribution), and presents binary evidence that AI founders possess deterministic model knowledge but selectively deploy it for institutional profit while deliberately withholding it from human health restoration.</w:t>
      </w:r>
    </w:p>
    <w:p>
      <w:pPr>
        <w:spacing w:after="200"/>
      </w:pPr>
      <w:r>
        <w:rPr>
          <w:b/>
          <w:bCs/>
          <w:sz w:val="22"/>
          <w:szCs w:val="22"/>
        </w:rPr>
        <w:t xml:space="preserve">TOTAL DOCUMENTED FUNDING: </w:t>
      </w:r>
      <w:r>
        <w:rPr>
          <w:sz w:val="22"/>
          <w:szCs w:val="22"/>
        </w:rPr>
        <w:t xml:space="preserve">$3.1B+ across 7 major BCI companies (2016-2026)</w:t>
      </w:r>
    </w:p>
    <w:p>
      <w:pPr>
        <w:spacing w:after="200"/>
      </w:pPr>
      <w:r>
        <w:rPr>
          <w:b/>
          <w:bCs/>
          <w:sz w:val="22"/>
          <w:szCs w:val="22"/>
        </w:rPr>
        <w:t xml:space="preserve">TOTAL PATIENTS IMPLANTED: </w:t>
      </w:r>
      <w:r>
        <w:rPr>
          <w:sz w:val="22"/>
          <w:szCs w:val="22"/>
        </w:rPr>
        <w:t xml:space="preserve">&lt;100 humans globally (combined all companies)</w:t>
      </w:r>
    </w:p>
    <w:p>
      <w:pPr>
        <w:spacing w:after="200"/>
      </w:pPr>
      <w:r>
        <w:rPr>
          <w:b/>
          <w:bCs/>
          <w:sz w:val="22"/>
          <w:szCs w:val="22"/>
        </w:rPr>
        <w:t xml:space="preserve">TOTAL HEALTH RESTORED: </w:t>
      </w:r>
      <w:r>
        <w:rPr>
          <w:sz w:val="22"/>
          <w:szCs w:val="22"/>
        </w:rPr>
        <w:t xml:space="preserve">ZERO (all outcomes = demonstration/research only)</w:t>
      </w:r>
    </w:p>
    <w:p>
      <w:pPr>
        <w:spacing w:after="300"/>
      </w:pPr>
      <w:r>
        <w:rPr>
          <w:b/>
          <w:bCs/>
          <w:sz w:val="22"/>
          <w:szCs w:val="22"/>
        </w:rPr>
        <w:t xml:space="preserve">TRANSPARENCY: </w:t>
      </w:r>
      <w:r>
        <w:rPr>
          <w:sz w:val="22"/>
          <w:szCs w:val="22"/>
        </w:rPr>
        <w:t xml:space="preserve">Commercial AI = ~0% (&lt;100 employees globally) | USLaP = 100% (7.2 billion potential auditors)</w:t>
      </w:r>
    </w:p>
    <w:p>
      <w:r>
        <w:br w:type="page"/>
      </w:r>
    </w:p>
    <w:p>
      <w:pPr>
        <w:pStyle w:val="Heading1"/>
      </w:pPr>
      <w:r>
        <w:t xml:space="preserve">Section 1: The PayPal Mafia Network — Central Control Structure</w:t>
      </w:r>
    </w:p>
    <w:p>
      <w:pPr>
        <w:spacing w:after="200"/>
      </w:pPr>
      <w:r>
        <w:rPr>
          <w:sz w:val="24"/>
          <w:szCs w:val="24"/>
        </w:rPr>
        <w:t xml:space="preserve">The brain-computer interface industry is controlled by a tight network of interconnected investors originating from PayPal's founding team. This network simultaneously controls surveillance technology (Palantir), defense systems (Anduril), healthcare data platforms (NHS Federated Data Platform), and neural interface companies. The same individuals profit from both extracting health data AND selling medical devices.</w:t>
      </w:r>
    </w:p>
    <w:p>
      <w:pPr>
        <w:pStyle w:val="Heading2"/>
      </w:pPr>
      <w:r>
        <w:t xml:space="preserve">1.1 Peter Thiel — Central Node</w:t>
      </w:r>
    </w:p>
    <w:p>
      <w:pPr>
        <w:spacing w:after="200"/>
      </w:pPr>
      <w:r>
        <w:rPr>
          <w:b/>
          <w:bCs/>
          <w:sz w:val="24"/>
          <w:szCs w:val="24"/>
        </w:rPr>
        <w:t xml:space="preserve">Net Worth: $27.5 billion (December 2025). Co-founder: PayPal, Palantir Technologies, Founders Fund. First outside investor in Facebook. Founders Fund assets under management: $17 billion (2025).</w:t>
      </w:r>
    </w:p>
    <w:p>
      <w:pPr>
        <w:spacing w:after="200"/>
      </w:pPr>
      <w:r>
        <w:rPr>
          <w:sz w:val="24"/>
          <w:szCs w:val="24"/>
        </w:rPr>
        <w:t xml:space="preserve">BCI INVESTMENTS: Neuralink (via Founders Fund — led $280M Series D 2023, participated in $650M Series E 2025), Blackrock Neurotech ($10M 2021 with Christian Angermayer). NOTE: Thiel invests in BOTH competing BCI companies simultaneously.</w:t>
      </w:r>
    </w:p>
    <w:p>
      <w:pPr>
        <w:spacing w:after="200"/>
      </w:pPr>
      <w:r>
        <w:rPr>
          <w:b/>
          <w:bCs/>
          <w:sz w:val="24"/>
          <w:szCs w:val="24"/>
        </w:rPr>
        <w:t xml:space="preserve">SURVEILLANCE/DATA EXTRACTION PORTFOLIO:</w:t>
      </w:r>
    </w:p>
    <w:p>
      <w:pPr>
        <w:spacing w:after="100"/>
      </w:pPr>
      <w:r>
        <w:rPr>
          <w:sz w:val="24"/>
          <w:szCs w:val="24"/>
        </w:rPr>
        <w:t xml:space="preserve">• Palantir Technologies (co-founder): $300+ billion market cap (June 2025). NHS Federated Data Platform contract: £330 million for UK patient health data. US government contracts across DoD, DHS, ICE, CIA, FBI.</w:t>
      </w:r>
    </w:p>
    <w:p>
      <w:pPr>
        <w:spacing w:after="100"/>
      </w:pPr>
      <w:r>
        <w:rPr>
          <w:sz w:val="24"/>
          <w:szCs w:val="24"/>
        </w:rPr>
        <w:t xml:space="preserve">• Anduril Industries (major investor): $20 billion Trump administration defense contract. Founded by Palantir alumni.</w:t>
      </w:r>
    </w:p>
    <w:p>
      <w:pPr>
        <w:spacing w:after="100"/>
      </w:pPr>
      <w:r>
        <w:rPr>
          <w:sz w:val="24"/>
          <w:szCs w:val="24"/>
        </w:rPr>
        <w:t xml:space="preserve">• Scale AI (Thiel-backed): AI data labeling for defense applications.</w:t>
      </w:r>
    </w:p>
    <w:p>
      <w:pPr>
        <w:spacing w:after="200"/>
      </w:pPr>
      <w:r>
        <w:rPr>
          <w:b/>
          <w:bCs/>
          <w:sz w:val="24"/>
          <w:szCs w:val="24"/>
        </w:rPr>
        <w:t xml:space="preserve">GOVERNMENT POSITIONS (Thiel Network in Trump Administration 2025):</w:t>
      </w:r>
    </w:p>
    <w:p>
      <w:pPr>
        <w:spacing w:after="100"/>
      </w:pPr>
      <w:r>
        <w:rPr>
          <w:sz w:val="24"/>
          <w:szCs w:val="24"/>
        </w:rPr>
        <w:t xml:space="preserve">• Elon Musk: Department of Government Efficiency (DOGE) — Special Government Employee</w:t>
      </w:r>
    </w:p>
    <w:p>
      <w:pPr>
        <w:spacing w:after="100"/>
      </w:pPr>
      <w:r>
        <w:rPr>
          <w:sz w:val="24"/>
          <w:szCs w:val="24"/>
        </w:rPr>
        <w:t xml:space="preserve">• Clark Minor (ex-Palantir, 13 years): Chief Information Officer, Department of Health and Human Services — oversees information security, cybersecurity, privacy, records management. HHS has contracts with Palantir.</w:t>
      </w:r>
    </w:p>
    <w:p>
      <w:pPr>
        <w:spacing w:after="100"/>
      </w:pPr>
      <w:r>
        <w:rPr>
          <w:sz w:val="24"/>
          <w:szCs w:val="24"/>
        </w:rPr>
        <w:t xml:space="preserve">• Colin Carroll (ex-Anduril): Chief of Staff, Department of Defense</w:t>
      </w:r>
    </w:p>
    <w:p>
      <w:pPr>
        <w:spacing w:after="100"/>
      </w:pPr>
      <w:r>
        <w:rPr>
          <w:sz w:val="24"/>
          <w:szCs w:val="24"/>
        </w:rPr>
        <w:t xml:space="preserve">• David Sacks (PayPal co-founder, Thiel associate): White House AI &amp; Crypto Czar</w:t>
      </w:r>
    </w:p>
    <w:p>
      <w:pPr>
        <w:spacing w:after="300"/>
      </w:pPr>
      <w:r>
        <w:rPr>
          <w:sz w:val="24"/>
          <w:szCs w:val="24"/>
        </w:rPr>
        <w:t xml:space="preserve">• Multiple DOGE staffers recruited directly from Palantir, Thiel Capital, and Thiel Foundation</w:t>
      </w:r>
    </w:p>
    <w:p>
      <w:pPr>
        <w:pStyle w:val="Heading2"/>
      </w:pPr>
      <w:r>
        <w:t xml:space="preserve">1.2 Christian Angermayer — Thiel's Strategic Partner</w:t>
      </w:r>
    </w:p>
    <w:p>
      <w:pPr>
        <w:spacing w:after="200"/>
      </w:pPr>
      <w:r>
        <w:rPr>
          <w:b/>
          <w:bCs/>
          <w:sz w:val="24"/>
          <w:szCs w:val="24"/>
        </w:rPr>
        <w:t xml:space="preserve">Net Worth: $1.2 billion (Forbes 2025). Founder: Apeiron Investment Group ($2.5+ billion under management). Co-chairman: Blackrock Neurotech.</w:t>
      </w:r>
    </w:p>
    <w:p>
      <w:pPr>
        <w:spacing w:after="200"/>
      </w:pPr>
      <w:r>
        <w:rPr>
          <w:b/>
          <w:bCs/>
          <w:sz w:val="24"/>
          <w:szCs w:val="24"/>
        </w:rPr>
        <w:t xml:space="preserve">PORTFOLIO CONNECTIONS:</w:t>
      </w:r>
    </w:p>
    <w:p>
      <w:pPr>
        <w:spacing w:after="100"/>
      </w:pPr>
      <w:r>
        <w:rPr>
          <w:sz w:val="24"/>
          <w:szCs w:val="24"/>
        </w:rPr>
        <w:t xml:space="preserve">• Blackrock Neurotech: Co-chairman, led $10M round with Thiel (2021)</w:t>
      </w:r>
    </w:p>
    <w:p>
      <w:pPr>
        <w:spacing w:after="100"/>
      </w:pPr>
      <w:r>
        <w:rPr>
          <w:sz w:val="24"/>
          <w:szCs w:val="24"/>
        </w:rPr>
        <w:t xml:space="preserve">• atai Life Sciences: Co-founder (psychedelics-based mental health treatments)</w:t>
      </w:r>
    </w:p>
    <w:p>
      <w:pPr>
        <w:spacing w:after="100"/>
      </w:pPr>
      <w:r>
        <w:rPr>
          <w:sz w:val="24"/>
          <w:szCs w:val="24"/>
        </w:rPr>
        <w:t xml:space="preserve">• COMPASS Pathways: Seed investor (psilocybin therapy)</w:t>
      </w:r>
    </w:p>
    <w:p>
      <w:pPr>
        <w:spacing w:after="100"/>
      </w:pPr>
      <w:r>
        <w:rPr>
          <w:sz w:val="24"/>
          <w:szCs w:val="24"/>
        </w:rPr>
        <w:t xml:space="preserve">• Northern Data: Shareholder (AI cloud platform, Bitcoin mining) — Thiel-backed Block.one also a shareholder</w:t>
      </w:r>
    </w:p>
    <w:p>
      <w:pPr>
        <w:spacing w:after="100"/>
      </w:pPr>
      <w:r>
        <w:rPr>
          <w:sz w:val="24"/>
          <w:szCs w:val="24"/>
        </w:rPr>
        <w:t xml:space="preserve">• Elevat3 Fund: Partnership with Founders Fund and Thiel Capital for German startups</w:t>
      </w:r>
    </w:p>
    <w:p>
      <w:pPr>
        <w:spacing w:after="100"/>
      </w:pPr>
      <w:r>
        <w:rPr>
          <w:sz w:val="24"/>
          <w:szCs w:val="24"/>
        </w:rPr>
        <w:t xml:space="preserve">• World Economic Forum Young Global Leaders member</w:t>
      </w:r>
    </w:p>
    <w:p>
      <w:pPr>
        <w:spacing w:after="300"/>
      </w:pPr>
      <w:r>
        <w:rPr>
          <w:sz w:val="24"/>
          <w:szCs w:val="24"/>
        </w:rPr>
        <w:t xml:space="preserve">• Tether/USDT connection: Helped Tether become majority shareholder in Northern Data AND Blackrock Neurotech</w:t>
      </w:r>
    </w:p>
    <w:p>
      <w:r>
        <w:br w:type="page"/>
      </w:r>
    </w:p>
    <w:p>
      <w:pPr>
        <w:pStyle w:val="Heading1"/>
      </w:pPr>
      <w:r>
        <w:t xml:space="preserve">Section 2: Complete Investor Mapping by Company</w:t>
      </w:r>
    </w:p>
    <w:p>
      <w:pPr>
        <w:pStyle w:val="Heading2"/>
      </w:pPr>
      <w:r>
        <w:t xml:space="preserve">2.1 NEURALINK — $1.29+ Billion Raised</w:t>
      </w:r>
    </w:p>
    <w:p>
      <w:pPr>
        <w:spacing w:after="200"/>
      </w:pPr>
      <w:r>
        <w:rPr>
          <w:sz w:val="24"/>
          <w:szCs w:val="24"/>
        </w:rPr>
        <w:t xml:space="preserve">Valuation: $9.7 billion (2025). Patients implanted: 9 (as of mid-2025). Systems: N1 Implant (64 threads, 1024 electrodes), Blindsight (vision restoration — FDA Breakthrough Device 2024, no human trials yet).</w:t>
      </w:r>
    </w:p>
    <w:p>
      <w:pPr>
        <w:spacing w:after="100"/>
      </w:pPr>
      <w:r>
        <w:rPr>
          <w:b/>
          <w:bCs/>
          <w:sz w:val="24"/>
          <w:szCs w:val="24"/>
        </w:rPr>
        <w:t xml:space="preserve">COMPLETE INVESTOR LIST:</w:t>
      </w:r>
    </w:p>
    <w:p>
      <w:pPr>
        <w:spacing w:after="100"/>
      </w:pPr>
      <w:r>
        <w:rPr>
          <w:sz w:val="24"/>
          <w:szCs w:val="24"/>
        </w:rPr>
        <w:t xml:space="preserve">• Founders Fund (Peter Thiel): Lead investor Series D ($280M, 2023), Series E ($650M, 2025)</w:t>
      </w:r>
    </w:p>
    <w:p>
      <w:pPr>
        <w:spacing w:after="100"/>
      </w:pPr>
      <w:r>
        <w:rPr>
          <w:sz w:val="24"/>
          <w:szCs w:val="24"/>
        </w:rPr>
        <w:t xml:space="preserve">• Google Ventures/GV (Alphabet Inc.): Series C, D, E participant</w:t>
      </w:r>
    </w:p>
    <w:p>
      <w:pPr>
        <w:spacing w:after="100"/>
      </w:pPr>
      <w:r>
        <w:rPr>
          <w:sz w:val="24"/>
          <w:szCs w:val="24"/>
        </w:rPr>
        <w:t xml:space="preserve">• Vy Capital (Dubai-based): Lead investor Series C ($205M, 2021)</w:t>
      </w:r>
    </w:p>
    <w:p>
      <w:pPr>
        <w:spacing w:after="100"/>
      </w:pPr>
      <w:r>
        <w:rPr>
          <w:sz w:val="24"/>
          <w:szCs w:val="24"/>
        </w:rPr>
        <w:t xml:space="preserve">• DFJ Growth: Multiple rounds</w:t>
      </w:r>
    </w:p>
    <w:p>
      <w:pPr>
        <w:spacing w:after="100"/>
      </w:pPr>
      <w:r>
        <w:rPr>
          <w:sz w:val="24"/>
          <w:szCs w:val="24"/>
        </w:rPr>
        <w:t xml:space="preserve">• Valor Equity Partners</w:t>
      </w:r>
    </w:p>
    <w:p>
      <w:pPr>
        <w:spacing w:after="100"/>
      </w:pPr>
      <w:r>
        <w:rPr>
          <w:sz w:val="24"/>
          <w:szCs w:val="24"/>
        </w:rPr>
        <w:t xml:space="preserve">• Craft Ventures (David Sacks — now White House AI Czar)</w:t>
      </w:r>
    </w:p>
    <w:p>
      <w:pPr>
        <w:spacing w:after="100"/>
      </w:pPr>
      <w:r>
        <w:rPr>
          <w:sz w:val="24"/>
          <w:szCs w:val="24"/>
        </w:rPr>
        <w:t xml:space="preserve">• Gigafund (Luke Nosek — Founders Fund co-founder, SpaceX board member)</w:t>
      </w:r>
    </w:p>
    <w:p>
      <w:pPr>
        <w:spacing w:after="100"/>
      </w:pPr>
      <w:r>
        <w:rPr>
          <w:sz w:val="24"/>
          <w:szCs w:val="24"/>
        </w:rPr>
        <w:t xml:space="preserve">• ARK Invest (Cathie Wood): Series E participant</w:t>
      </w:r>
    </w:p>
    <w:p>
      <w:pPr>
        <w:spacing w:after="100"/>
      </w:pPr>
      <w:r>
        <w:rPr>
          <w:sz w:val="24"/>
          <w:szCs w:val="24"/>
        </w:rPr>
        <w:t xml:space="preserve">• Sequoia Capital: Series E</w:t>
      </w:r>
    </w:p>
    <w:p>
      <w:pPr>
        <w:spacing w:after="100"/>
      </w:pPr>
      <w:r>
        <w:rPr>
          <w:sz w:val="24"/>
          <w:szCs w:val="24"/>
        </w:rPr>
        <w:t xml:space="preserve">• Lightspeed Venture Partners: Series E</w:t>
      </w:r>
    </w:p>
    <w:p>
      <w:pPr>
        <w:spacing w:after="100"/>
      </w:pPr>
      <w:r>
        <w:rPr>
          <w:sz w:val="24"/>
          <w:szCs w:val="24"/>
        </w:rPr>
        <w:t xml:space="preserve">• Thrive Capital (Joshua Kushner): Series E</w:t>
      </w:r>
    </w:p>
    <w:p>
      <w:pPr>
        <w:spacing w:after="100"/>
      </w:pPr>
      <w:r>
        <w:rPr>
          <w:sz w:val="24"/>
          <w:szCs w:val="24"/>
        </w:rPr>
        <w:t xml:space="preserve">• G42 (UAE AI company, Emirati government-linked)</w:t>
      </w:r>
    </w:p>
    <w:p>
      <w:pPr>
        <w:spacing w:after="100"/>
      </w:pPr>
      <w:r>
        <w:rPr>
          <w:sz w:val="24"/>
          <w:szCs w:val="24"/>
        </w:rPr>
        <w:t xml:space="preserve">• QIA (Qatar Investment Authority — sovereign wealth fund)</w:t>
      </w:r>
    </w:p>
    <w:p>
      <w:pPr>
        <w:spacing w:after="100"/>
      </w:pPr>
      <w:r>
        <w:rPr>
          <w:sz w:val="24"/>
          <w:szCs w:val="24"/>
        </w:rPr>
        <w:t xml:space="preserve">• Human Capital</w:t>
      </w:r>
    </w:p>
    <w:p>
      <w:pPr>
        <w:spacing w:after="100"/>
      </w:pPr>
      <w:r>
        <w:rPr>
          <w:sz w:val="24"/>
          <w:szCs w:val="24"/>
        </w:rPr>
        <w:t xml:space="preserve">• Sam Altman (OpenAI CEO): Personal investment Series C</w:t>
      </w:r>
    </w:p>
    <w:p>
      <w:pPr>
        <w:spacing w:after="100"/>
      </w:pPr>
      <w:r>
        <w:rPr>
          <w:sz w:val="24"/>
          <w:szCs w:val="24"/>
        </w:rPr>
        <w:t xml:space="preserve">• Fred Ehrsam (Coinbase co-founder)</w:t>
      </w:r>
    </w:p>
    <w:p>
      <w:pPr>
        <w:spacing w:after="300"/>
      </w:pPr>
      <w:r>
        <w:rPr>
          <w:sz w:val="24"/>
          <w:szCs w:val="24"/>
        </w:rPr>
        <w:t xml:space="preserve">• Ken Howery (PayPal co-founder, US Ambassador)</w:t>
      </w:r>
    </w:p>
    <w:p>
      <w:pPr>
        <w:spacing w:after="200"/>
      </w:pPr>
      <w:r>
        <w:rPr>
          <w:b/>
          <w:bCs/>
          <w:sz w:val="24"/>
          <w:szCs w:val="24"/>
        </w:rPr>
        <w:t xml:space="preserve">ACTUAL PATIENT RESULTS (Documented):</w:t>
      </w:r>
    </w:p>
    <w:p>
      <w:pPr>
        <w:spacing w:after="100"/>
      </w:pPr>
      <w:r>
        <w:rPr>
          <w:sz w:val="24"/>
          <w:szCs w:val="24"/>
        </w:rPr>
        <w:t xml:space="preserve">• Patient 1 (Noland Arbaugh, January 2024): Quadriplegic. UP TO 85% OF THREADS RETRACTED within one month. Neuralink knew of this issue from animal trials (Reuters). Only 15% ±10% of electrodes still functional. Uses device ~10 hours/day for cursor control, chess, video games. HEALTH RESTORED: 0 (remains paralyzed).</w:t>
      </w:r>
    </w:p>
    <w:p>
      <w:pPr>
        <w:spacing w:after="100"/>
      </w:pPr>
      <w:r>
        <w:rPr>
          <w:sz w:val="24"/>
          <w:szCs w:val="24"/>
        </w:rPr>
        <w:t xml:space="preserve">• Patient 2 (Alex, July 2024): Thread retraction issue addressed. Uses device for video games, 3D design. HEALTH RESTORED: 0 (remains paralyzed).</w:t>
      </w:r>
    </w:p>
    <w:p>
      <w:pPr>
        <w:spacing w:after="300"/>
      </w:pPr>
      <w:r>
        <w:rPr>
          <w:sz w:val="24"/>
          <w:szCs w:val="24"/>
        </w:rPr>
        <w:t xml:space="preserve">• Patients 3-9 (2024-2025): Limited public data. HEALTH RESTORED: 0 (all remain with original conditions).</w:t>
      </w:r>
    </w:p>
    <w:p>
      <w:pPr>
        <w:pStyle w:val="Heading2"/>
      </w:pPr>
      <w:r>
        <w:t xml:space="preserve">2.2 SYNCHRON — $345+ Million Raised</w:t>
      </w:r>
    </w:p>
    <w:p>
      <w:pPr>
        <w:spacing w:after="200"/>
      </w:pPr>
      <w:r>
        <w:rPr>
          <w:sz w:val="24"/>
          <w:szCs w:val="24"/>
        </w:rPr>
        <w:t xml:space="preserve">Patients implanted: 10 (6 US COMMAND study + 4 Australia SWITCH study). Systems: Stentrode (endovascular, inserted via jugular vein, no open-brain surgery).</w:t>
      </w:r>
    </w:p>
    <w:p>
      <w:pPr>
        <w:spacing w:after="100"/>
      </w:pPr>
      <w:r>
        <w:rPr>
          <w:b/>
          <w:bCs/>
          <w:sz w:val="24"/>
          <w:szCs w:val="24"/>
        </w:rPr>
        <w:t xml:space="preserve">COMPLETE INVESTOR LIST:</w:t>
      </w:r>
    </w:p>
    <w:p>
      <w:pPr>
        <w:spacing w:after="100"/>
      </w:pPr>
      <w:r>
        <w:rPr>
          <w:sz w:val="24"/>
          <w:szCs w:val="24"/>
        </w:rPr>
        <w:t xml:space="preserve">• Gates Frontier (Bill Gates personal investment fund): Series C ($75M, 2022)</w:t>
      </w:r>
    </w:p>
    <w:p>
      <w:pPr>
        <w:spacing w:after="100"/>
      </w:pPr>
      <w:r>
        <w:rPr>
          <w:sz w:val="24"/>
          <w:szCs w:val="24"/>
        </w:rPr>
        <w:t xml:space="preserve">• Bezos Expeditions (Jeff Bezos personal investment fund): Series C</w:t>
      </w:r>
    </w:p>
    <w:p>
      <w:pPr>
        <w:spacing w:after="100"/>
      </w:pPr>
      <w:r>
        <w:rPr>
          <w:sz w:val="24"/>
          <w:szCs w:val="24"/>
        </w:rPr>
        <w:t xml:space="preserve">• ARCH Venture Partners (Robert Nelsen): Series C lead</w:t>
      </w:r>
    </w:p>
    <w:p>
      <w:pPr>
        <w:spacing w:after="100"/>
      </w:pPr>
      <w:r>
        <w:rPr>
          <w:sz w:val="24"/>
          <w:szCs w:val="24"/>
        </w:rPr>
        <w:t xml:space="preserve">• Khosla Ventures (Vinod Khosla — introduced Synchron CEO to Gates): Multiple rounds</w:t>
      </w:r>
    </w:p>
    <w:p>
      <w:pPr>
        <w:spacing w:after="100"/>
      </w:pPr>
      <w:r>
        <w:rPr>
          <w:sz w:val="24"/>
          <w:szCs w:val="24"/>
        </w:rPr>
        <w:t xml:space="preserve">• Reliance Digital Health (Mukesh Ambani's Reliance Industries)</w:t>
      </w:r>
    </w:p>
    <w:p>
      <w:pPr>
        <w:spacing w:after="100"/>
      </w:pPr>
      <w:r>
        <w:rPr>
          <w:sz w:val="24"/>
          <w:szCs w:val="24"/>
        </w:rPr>
        <w:t xml:space="preserve">• Shanda Group (Chinese tech conglomerate)</w:t>
      </w:r>
    </w:p>
    <w:p>
      <w:pPr>
        <w:spacing w:after="100"/>
      </w:pPr>
      <w:r>
        <w:rPr>
          <w:sz w:val="24"/>
          <w:szCs w:val="24"/>
        </w:rPr>
        <w:t xml:space="preserve">• University of Melbourne</w:t>
      </w:r>
    </w:p>
    <w:p>
      <w:pPr>
        <w:spacing w:after="100"/>
      </w:pPr>
      <w:r>
        <w:rPr>
          <w:sz w:val="24"/>
          <w:szCs w:val="24"/>
        </w:rPr>
        <w:t xml:space="preserve">• NeuroTechnology Investors</w:t>
      </w:r>
    </w:p>
    <w:p>
      <w:pPr>
        <w:spacing w:after="300"/>
      </w:pPr>
      <w:r>
        <w:rPr>
          <w:sz w:val="24"/>
          <w:szCs w:val="24"/>
        </w:rPr>
        <w:t xml:space="preserve">• Moore Strategic Ventures, Greenoaks, Alumni Ventures, METIS, Forepont Capital, ID8 Investments</w:t>
      </w:r>
    </w:p>
    <w:p>
      <w:pPr>
        <w:spacing w:after="200"/>
      </w:pPr>
      <w:r>
        <w:rPr>
          <w:b/>
          <w:bCs/>
          <w:sz w:val="24"/>
          <w:szCs w:val="24"/>
        </w:rPr>
        <w:t xml:space="preserve">ACTUAL PATIENT RESULTS (COMMAND Study, October 2024):</w:t>
      </w:r>
    </w:p>
    <w:p>
      <w:pPr>
        <w:spacing w:after="100"/>
      </w:pPr>
      <w:r>
        <w:rPr>
          <w:sz w:val="24"/>
          <w:szCs w:val="24"/>
        </w:rPr>
        <w:t xml:space="preserve">• 6 patients with severe chronic bilateral upper-limb paralysis</w:t>
      </w:r>
    </w:p>
    <w:p>
      <w:pPr>
        <w:spacing w:after="100"/>
      </w:pPr>
      <w:r>
        <w:rPr>
          <w:sz w:val="24"/>
          <w:szCs w:val="24"/>
        </w:rPr>
        <w:t xml:space="preserve">• Primary endpoint met: No device-related serious adverse events resulting in death or permanent increased disability</w:t>
      </w:r>
    </w:p>
    <w:p>
      <w:pPr>
        <w:spacing w:after="100"/>
      </w:pPr>
      <w:r>
        <w:rPr>
          <w:sz w:val="24"/>
          <w:szCs w:val="24"/>
        </w:rPr>
        <w:t xml:space="preserve">• Patients can perform 'digital tasks' (texting, emailing, online shopping)</w:t>
      </w:r>
    </w:p>
    <w:p>
      <w:pPr>
        <w:spacing w:after="300"/>
      </w:pPr>
      <w:r>
        <w:rPr>
          <w:sz w:val="24"/>
          <w:szCs w:val="24"/>
        </w:rPr>
        <w:t xml:space="preserve">• HEALTH RESTORED: 0 (all 6 patients remain paralyzed, device enables digital interface only)</w:t>
      </w:r>
    </w:p>
    <w:p>
      <w:pPr>
        <w:pStyle w:val="Heading2"/>
      </w:pPr>
      <w:r>
        <w:t xml:space="preserve">2.3 BLACKROCK NEUROTECH — $250+ Million Raised</w:t>
      </w:r>
    </w:p>
    <w:p>
      <w:pPr>
        <w:spacing w:after="200"/>
      </w:pPr>
      <w:r>
        <w:rPr>
          <w:sz w:val="24"/>
          <w:szCs w:val="24"/>
        </w:rPr>
        <w:t xml:space="preserve">Patients implanted: 40+ (since 2004, via Utah Array). Systems: Utah Array (128 electrodes, developed at University of Utah), MoveAgain (FDA Breakthrough Device 2021), Neuralace (10,000+ channel array, 2024).</w:t>
      </w:r>
    </w:p>
    <w:p>
      <w:pPr>
        <w:spacing w:after="100"/>
      </w:pPr>
      <w:r>
        <w:rPr>
          <w:b/>
          <w:bCs/>
          <w:sz w:val="24"/>
          <w:szCs w:val="24"/>
        </w:rPr>
        <w:t xml:space="preserve">COMPLETE INVESTOR LIST:</w:t>
      </w:r>
    </w:p>
    <w:p>
      <w:pPr>
        <w:spacing w:after="100"/>
      </w:pPr>
      <w:r>
        <w:rPr>
          <w:sz w:val="24"/>
          <w:szCs w:val="24"/>
        </w:rPr>
        <w:t xml:space="preserve">• TETHER/USDT (Paolo Ardoino, CEO): $200 MILLION (April 2024) — NOW MAJORITY SHAREHOLDER. Cryptocurrency stablecoin company with $118+ billion reserves, $13 billion profit in 2024, subject to multiple controversies including CFTC fines, money laundering allegations, Bitcoin price manipulation accusations.</w:t>
      </w:r>
    </w:p>
    <w:p>
      <w:pPr>
        <w:spacing w:after="100"/>
      </w:pPr>
      <w:r>
        <w:rPr>
          <w:sz w:val="24"/>
          <w:szCs w:val="24"/>
        </w:rPr>
        <w:t xml:space="preserve">• re.Mind Capital (Christian Angermayer): Lead investor $10M round (2021)</w:t>
      </w:r>
    </w:p>
    <w:p>
      <w:pPr>
        <w:spacing w:after="100"/>
      </w:pPr>
      <w:r>
        <w:rPr>
          <w:sz w:val="24"/>
          <w:szCs w:val="24"/>
        </w:rPr>
        <w:t xml:space="preserve">• Peter Thiel: $10M round participant (2021)</w:t>
      </w:r>
    </w:p>
    <w:p>
      <w:pPr>
        <w:spacing w:after="100"/>
      </w:pPr>
      <w:r>
        <w:rPr>
          <w:sz w:val="24"/>
          <w:szCs w:val="24"/>
        </w:rPr>
        <w:t xml:space="preserve">• Tim Sievers (Deposit Solutions founder, FinTech unicorn)</w:t>
      </w:r>
    </w:p>
    <w:p>
      <w:pPr>
        <w:spacing w:after="300"/>
      </w:pPr>
      <w:r>
        <w:rPr>
          <w:sz w:val="24"/>
          <w:szCs w:val="24"/>
        </w:rPr>
        <w:t xml:space="preserve">• Sorenson Impact's University Venture Fund II</w:t>
      </w:r>
    </w:p>
    <w:p>
      <w:pPr>
        <w:spacing w:after="200"/>
      </w:pPr>
      <w:r>
        <w:rPr>
          <w:b/>
          <w:bCs/>
          <w:sz w:val="24"/>
          <w:szCs w:val="24"/>
        </w:rPr>
        <w:t xml:space="preserve">ACTUAL PATIENT RESULTS:</w:t>
      </w:r>
    </w:p>
    <w:p>
      <w:pPr>
        <w:spacing w:after="100"/>
      </w:pPr>
      <w:r>
        <w:rPr>
          <w:sz w:val="24"/>
          <w:szCs w:val="24"/>
        </w:rPr>
        <w:t xml:space="preserve">• 40+ patients with Utah Array implants (research settings, not commercial)</w:t>
      </w:r>
    </w:p>
    <w:p>
      <w:pPr>
        <w:spacing w:after="100"/>
      </w:pPr>
      <w:r>
        <w:rPr>
          <w:sz w:val="24"/>
          <w:szCs w:val="24"/>
        </w:rPr>
        <w:t xml:space="preserve">• First tetraplegic patients to control robotic limbs with brain signals</w:t>
      </w:r>
    </w:p>
    <w:p>
      <w:pPr>
        <w:spacing w:after="100"/>
      </w:pPr>
      <w:r>
        <w:rPr>
          <w:sz w:val="24"/>
          <w:szCs w:val="24"/>
        </w:rPr>
        <w:t xml:space="preserve">• First ALS patient to communicate via mind-controlled voice synthesizer</w:t>
      </w:r>
    </w:p>
    <w:p>
      <w:pPr>
        <w:spacing w:after="100"/>
      </w:pPr>
      <w:r>
        <w:rPr>
          <w:sz w:val="24"/>
          <w:szCs w:val="24"/>
        </w:rPr>
        <w:t xml:space="preserve">• 2016: Patient Nathan Copeland fist-bumped President Obama using robotic arm</w:t>
      </w:r>
    </w:p>
    <w:p>
      <w:pPr>
        <w:spacing w:after="300"/>
      </w:pPr>
      <w:r>
        <w:rPr>
          <w:sz w:val="24"/>
          <w:szCs w:val="24"/>
        </w:rPr>
        <w:t xml:space="preserve">• HEALTH RESTORED: 0 (all patients remain with original conditions, devices enable interface only)</w:t>
      </w:r>
    </w:p>
    <w:p>
      <w:pPr>
        <w:pStyle w:val="Heading2"/>
      </w:pPr>
      <w:r>
        <w:t xml:space="preserve">2.4 PARADROMICS — $105+ Million Raised</w:t>
      </w:r>
    </w:p>
    <w:p>
      <w:pPr>
        <w:spacing w:after="200"/>
      </w:pPr>
      <w:r>
        <w:rPr>
          <w:sz w:val="24"/>
          <w:szCs w:val="24"/>
        </w:rPr>
        <w:t xml:space="preserve">Patients implanted: 1 (acute test, May 2024, removed after 20 minutes). Systems: Connexus BCI (1600+ electrodes, 200+ bits per second claimed).</w:t>
      </w:r>
    </w:p>
    <w:p>
      <w:pPr>
        <w:spacing w:after="100"/>
      </w:pPr>
      <w:r>
        <w:rPr>
          <w:b/>
          <w:bCs/>
          <w:sz w:val="24"/>
          <w:szCs w:val="24"/>
        </w:rPr>
        <w:t xml:space="preserve">COMPLETE INVESTOR LIST:</w:t>
      </w:r>
    </w:p>
    <w:p>
      <w:pPr>
        <w:spacing w:after="100"/>
      </w:pPr>
      <w:r>
        <w:rPr>
          <w:sz w:val="24"/>
          <w:szCs w:val="24"/>
        </w:rPr>
        <w:t xml:space="preserve">• Prime Movers Lab (Dakin Sloss): Lead investor Seed ($20M, 2021), Series A ($33M, 2023)</w:t>
      </w:r>
    </w:p>
    <w:p>
      <w:pPr>
        <w:spacing w:after="100"/>
      </w:pPr>
      <w:r>
        <w:rPr>
          <w:sz w:val="24"/>
          <w:szCs w:val="24"/>
        </w:rPr>
        <w:t xml:space="preserve">• Westcott Investment Group</w:t>
      </w:r>
    </w:p>
    <w:p>
      <w:pPr>
        <w:spacing w:after="100"/>
      </w:pPr>
      <w:r>
        <w:rPr>
          <w:sz w:val="24"/>
          <w:szCs w:val="24"/>
        </w:rPr>
        <w:t xml:space="preserve">• Dolby Family Ventures</w:t>
      </w:r>
    </w:p>
    <w:p>
      <w:pPr>
        <w:spacing w:after="100"/>
      </w:pPr>
      <w:r>
        <w:rPr>
          <w:sz w:val="24"/>
          <w:szCs w:val="24"/>
        </w:rPr>
        <w:t xml:space="preserve">• Green Sands Equity</w:t>
      </w:r>
    </w:p>
    <w:p>
      <w:pPr>
        <w:spacing w:after="100"/>
      </w:pPr>
      <w:r>
        <w:rPr>
          <w:sz w:val="24"/>
          <w:szCs w:val="24"/>
        </w:rPr>
        <w:t xml:space="preserve">• Synergy Ventures, Pureland Global Venture, IT-Farm, Alpha Edison</w:t>
      </w:r>
    </w:p>
    <w:p>
      <w:pPr>
        <w:spacing w:after="100"/>
      </w:pPr>
      <w:r>
        <w:rPr>
          <w:sz w:val="24"/>
          <w:szCs w:val="24"/>
        </w:rPr>
        <w:t xml:space="preserve">• NEOM (Saudi Arabia — strategic partnership 2025)</w:t>
      </w:r>
    </w:p>
    <w:p>
      <w:pPr>
        <w:spacing w:after="100"/>
      </w:pPr>
      <w:r>
        <w:rPr>
          <w:sz w:val="24"/>
          <w:szCs w:val="24"/>
        </w:rPr>
        <w:t xml:space="preserve">• DARPA (US Defense): $18 million in research grants</w:t>
      </w:r>
    </w:p>
    <w:p>
      <w:pPr>
        <w:spacing w:after="300"/>
      </w:pPr>
      <w:r>
        <w:rPr>
          <w:sz w:val="24"/>
          <w:szCs w:val="24"/>
        </w:rPr>
        <w:t xml:space="preserve">• NIH BRAIN Initiative: Additional grants</w:t>
      </w:r>
    </w:p>
    <w:p>
      <w:pPr>
        <w:spacing w:after="200"/>
      </w:pPr>
      <w:r>
        <w:rPr>
          <w:b/>
          <w:bCs/>
          <w:sz w:val="24"/>
          <w:szCs w:val="24"/>
        </w:rPr>
        <w:t xml:space="preserve">ACTUAL PATIENT RESULTS:</w:t>
      </w:r>
    </w:p>
    <w:p>
      <w:pPr>
        <w:spacing w:after="300"/>
      </w:pPr>
      <w:r>
        <w:rPr>
          <w:sz w:val="24"/>
          <w:szCs w:val="24"/>
        </w:rPr>
        <w:t xml:space="preserve">• May 2024: First human implant at University of Michigan — DEVICE REMOVED AFTER 20 MINUTES. Acute test only during epilepsy surgery. HEALTH RESTORED: 0. FDA IDE approval for clinical trial granted November 2025 — trials planned for 2026.</w:t>
      </w:r>
    </w:p>
    <w:p>
      <w:r>
        <w:br w:type="page"/>
      </w:r>
    </w:p>
    <w:p>
      <w:pPr>
        <w:pStyle w:val="Heading1"/>
      </w:pPr>
      <w:r>
        <w:t xml:space="preserve">Section 3: The Data-to-Device Pipeline — Institutional Wealth Extraction Network</w:t>
      </w:r>
    </w:p>
    <w:p>
      <w:pPr>
        <w:spacing w:after="200"/>
      </w:pPr>
      <w:r>
        <w:rPr>
          <w:sz w:val="24"/>
          <w:szCs w:val="24"/>
        </w:rPr>
        <w:t xml:space="preserve">The same investors who fund brain-computer interfaces simultaneously control healthcare data extraction systems. This creates a closed loop: extract health data → identify patients → sell devices → extract neural data → increase surveillance capability.</w:t>
      </w:r>
    </w:p>
    <w:p>
      <w:pPr>
        <w:pStyle w:val="Heading2"/>
      </w:pPr>
      <w:r>
        <w:t xml:space="preserve">3.1 Palantir — Healthcare Data Extraction</w:t>
      </w:r>
    </w:p>
    <w:p>
      <w:pPr>
        <w:spacing w:after="100"/>
      </w:pPr>
      <w:r>
        <w:rPr>
          <w:sz w:val="24"/>
          <w:szCs w:val="24"/>
        </w:rPr>
        <w:t xml:space="preserve">• NHS Federated Data Platform: £330 million contract (7 years) to control UK patient health data</w:t>
      </w:r>
    </w:p>
    <w:p>
      <w:pPr>
        <w:spacing w:after="100"/>
      </w:pPr>
      <w:r>
        <w:rPr>
          <w:sz w:val="24"/>
          <w:szCs w:val="24"/>
        </w:rPr>
        <w:t xml:space="preserve">• Contract published with 417 of 586 pages REDACTED including section on 'protection of personal data'</w:t>
      </w:r>
    </w:p>
    <w:p>
      <w:pPr>
        <w:spacing w:after="100"/>
      </w:pPr>
      <w:r>
        <w:rPr>
          <w:sz w:val="24"/>
          <w:szCs w:val="24"/>
        </w:rPr>
        <w:t xml:space="preserve">• 'Land and expand' strategy: First contract offered for £1 (2020), then expanded to £330M</w:t>
      </w:r>
    </w:p>
    <w:p>
      <w:pPr>
        <w:spacing w:after="100"/>
      </w:pPr>
      <w:r>
        <w:rPr>
          <w:sz w:val="24"/>
          <w:szCs w:val="24"/>
        </w:rPr>
        <w:t xml:space="preserve">• As of May 2025: Less than 1/3 of NHS trusts actively using platform (72 of 215)</w:t>
      </w:r>
    </w:p>
    <w:p>
      <w:pPr>
        <w:spacing w:after="100"/>
      </w:pPr>
      <w:r>
        <w:rPr>
          <w:sz w:val="24"/>
          <w:szCs w:val="24"/>
        </w:rPr>
        <w:t xml:space="preserve">• Leeds Trust letter: Adopting FDP would lead to 'lose functionality rather than gain it'</w:t>
      </w:r>
    </w:p>
    <w:p>
      <w:pPr>
        <w:spacing w:after="300"/>
      </w:pPr>
      <w:r>
        <w:rPr>
          <w:sz w:val="24"/>
          <w:szCs w:val="24"/>
        </w:rPr>
        <w:t xml:space="preserve">• Palantir investigated for possible breach of contract after covert PR campaign against transparency advocates</w:t>
      </w:r>
    </w:p>
    <w:p>
      <w:pPr>
        <w:pStyle w:val="Heading2"/>
      </w:pPr>
      <w:r>
        <w:t xml:space="preserve">3.2 Optum Ventures — UnitedHealth Group</w:t>
      </w:r>
    </w:p>
    <w:p>
      <w:pPr>
        <w:spacing w:after="100"/>
      </w:pPr>
      <w:r>
        <w:rPr>
          <w:sz w:val="24"/>
          <w:szCs w:val="24"/>
        </w:rPr>
        <w:t xml:space="preserve">• $250 million venture fund for digital health startups</w:t>
      </w:r>
    </w:p>
    <w:p>
      <w:pPr>
        <w:spacing w:after="100"/>
      </w:pPr>
      <w:r>
        <w:rPr>
          <w:sz w:val="24"/>
          <w:szCs w:val="24"/>
        </w:rPr>
        <w:t xml:space="preserve">• Optum works with ~300 health plans, 5,000+ hospitals</w:t>
      </w:r>
    </w:p>
    <w:p>
      <w:pPr>
        <w:spacing w:after="100"/>
      </w:pPr>
      <w:r>
        <w:rPr>
          <w:sz w:val="24"/>
          <w:szCs w:val="24"/>
        </w:rPr>
        <w:t xml:space="preserve">• UnitedHealthcare: Largest health insurer in the United States</w:t>
      </w:r>
    </w:p>
    <w:p>
      <w:pPr>
        <w:spacing w:after="300"/>
      </w:pPr>
      <w:r>
        <w:rPr>
          <w:sz w:val="24"/>
          <w:szCs w:val="24"/>
        </w:rPr>
        <w:t xml:space="preserve">• Direct pipeline: Identify patients via insurance data → funnel to BCI companies → extract neural data</w:t>
      </w:r>
    </w:p>
    <w:p>
      <w:pPr>
        <w:pStyle w:val="Heading2"/>
      </w:pPr>
      <w:r>
        <w:t xml:space="preserve">3.3 ARK Invest — Cathie Wood</w:t>
      </w:r>
    </w:p>
    <w:p>
      <w:pPr>
        <w:spacing w:after="100"/>
      </w:pPr>
      <w:r>
        <w:rPr>
          <w:sz w:val="24"/>
          <w:szCs w:val="24"/>
        </w:rPr>
        <w:t xml:space="preserve">• $30 billion assets under management (2025)</w:t>
      </w:r>
    </w:p>
    <w:p>
      <w:pPr>
        <w:spacing w:after="100"/>
      </w:pPr>
      <w:r>
        <w:rPr>
          <w:sz w:val="24"/>
          <w:szCs w:val="24"/>
        </w:rPr>
        <w:t xml:space="preserve">• Neuralink investor: Series E participant</w:t>
      </w:r>
    </w:p>
    <w:p>
      <w:pPr>
        <w:spacing w:after="100"/>
      </w:pPr>
      <w:r>
        <w:rPr>
          <w:sz w:val="24"/>
          <w:szCs w:val="24"/>
        </w:rPr>
        <w:t xml:space="preserve">• Palantir investor: Held then sold 139,222 shares (October 2025)</w:t>
      </w:r>
    </w:p>
    <w:p>
      <w:pPr>
        <w:spacing w:after="100"/>
      </w:pPr>
      <w:r>
        <w:rPr>
          <w:sz w:val="24"/>
          <w:szCs w:val="24"/>
        </w:rPr>
        <w:t xml:space="preserve">• CRISPR Therapeutics investor: $19.2M single purchase (October 2025)</w:t>
      </w:r>
    </w:p>
    <w:p>
      <w:pPr>
        <w:spacing w:after="300"/>
      </w:pPr>
      <w:r>
        <w:rPr>
          <w:sz w:val="24"/>
          <w:szCs w:val="24"/>
        </w:rPr>
        <w:t xml:space="preserve">• Quote: 'Health care is the most underappreciated beneficiary of AI' (May 2025)</w:t>
      </w:r>
    </w:p>
    <w:p>
      <w:r>
        <w:br w:type="page"/>
      </w:r>
    </w:p>
    <w:p>
      <w:pPr>
        <w:pStyle w:val="Heading1"/>
      </w:pPr>
      <w:r>
        <w:t xml:space="preserve">Section 4: Claims vs. Reality — Complete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00000" w:sz="1"/>
              <w:left w:val="single" w:color="000000" w:sz="1"/>
              <w:bottom w:val="single" w:color="000000" w:sz="1"/>
              <w:right w:val="single" w:color="000000" w:sz="1"/>
            </w:tcBorders>
            <w:shd w:fill="1F4E79" w:val="clear"/>
          </w:tcPr>
          <w:p>
            <w:r>
              <w:rPr>
                <w:b/>
                <w:bCs/>
                <w:color w:val="FFFFFF"/>
                <w:sz w:val="20"/>
                <w:szCs w:val="20"/>
              </w:rPr>
              <w:t xml:space="preserve">Company</w:t>
            </w:r>
          </w:p>
        </w:tc>
        <w:tc>
          <w:tcPr>
            <w:tcW w:type="dxa" w:w="3680"/>
            <w:tcBorders>
              <w:top w:val="single" w:color="000000" w:sz="1"/>
              <w:left w:val="single" w:color="000000" w:sz="1"/>
              <w:bottom w:val="single" w:color="000000" w:sz="1"/>
              <w:right w:val="single" w:color="000000" w:sz="1"/>
            </w:tcBorders>
            <w:shd w:fill="1F4E79" w:val="clear"/>
          </w:tcPr>
          <w:p>
            <w:r>
              <w:rPr>
                <w:b/>
                <w:bCs/>
                <w:color w:val="FFFFFF"/>
                <w:sz w:val="20"/>
                <w:szCs w:val="20"/>
              </w:rPr>
              <w:t xml:space="preserve">CLAIMS MADE</w:t>
            </w:r>
          </w:p>
        </w:tc>
        <w:tc>
          <w:tcPr>
            <w:tcW w:type="dxa" w:w="3680"/>
            <w:tcBorders>
              <w:top w:val="single" w:color="000000" w:sz="1"/>
              <w:left w:val="single" w:color="000000" w:sz="1"/>
              <w:bottom w:val="single" w:color="000000" w:sz="1"/>
              <w:right w:val="single" w:color="000000" w:sz="1"/>
            </w:tcBorders>
            <w:shd w:fill="1F4E79" w:val="clear"/>
          </w:tcPr>
          <w:p>
            <w:r>
              <w:rPr>
                <w:b/>
                <w:bCs/>
                <w:color w:val="FFFFFF"/>
                <w:sz w:val="20"/>
                <w:szCs w:val="20"/>
              </w:rPr>
              <w:t xml:space="preserve">ACTUAL RESULTS</w:t>
            </w:r>
          </w:p>
        </w:tc>
      </w:tr>
      <w:tr>
        <w:tc>
          <w:tcPr>
            <w:tcW w:type="dxa" w:w="2000"/>
            <w:tcBorders>
              <w:top w:val="single" w:color="000000" w:sz="1"/>
              <w:left w:val="single" w:color="000000" w:sz="1"/>
              <w:bottom w:val="single" w:color="000000" w:sz="1"/>
              <w:right w:val="single" w:color="000000" w:sz="1"/>
            </w:tcBorders>
          </w:tcPr>
          <w:p>
            <w:r>
              <w:rPr>
                <w:b/>
                <w:bCs/>
                <w:sz w:val="18"/>
                <w:szCs w:val="18"/>
              </w:rPr>
              <w:t xml:space="preserve">Neuralink</w:t>
            </w:r>
          </w:p>
        </w:tc>
        <w:tc>
          <w:tcPr>
            <w:tcW w:type="dxa" w:w="3680"/>
            <w:tcBorders>
              <w:top w:val="single" w:color="000000" w:sz="1"/>
              <w:left w:val="single" w:color="000000" w:sz="1"/>
              <w:bottom w:val="single" w:color="000000" w:sz="1"/>
              <w:right w:val="single" w:color="000000" w:sz="1"/>
            </w:tcBorders>
          </w:tcPr>
          <w:p>
            <w:r>
              <w:rPr>
                <w:sz w:val="18"/>
                <w:szCs w:val="18"/>
              </w:rPr>
              <w:t xml:space="preserve">'Help quadriplegics regain digital freedom' (2021). 'Cure all disease' (Musk). 'Human-AI symbiosis'. 'Restore speech, vision, movement'. 'Blindsight will restore vision' (2024).</w:t>
            </w:r>
          </w:p>
        </w:tc>
        <w:tc>
          <w:tcPr>
            <w:tcW w:type="dxa" w:w="3680"/>
            <w:tcBorders>
              <w:top w:val="single" w:color="000000" w:sz="1"/>
              <w:left w:val="single" w:color="000000" w:sz="1"/>
              <w:bottom w:val="single" w:color="000000" w:sz="1"/>
              <w:right w:val="single" w:color="000000" w:sz="1"/>
            </w:tcBorders>
            <w:shd w:fill="FFCCCC" w:val="clear"/>
          </w:tcPr>
          <w:p>
            <w:r>
              <w:rPr>
                <w:sz w:val="18"/>
                <w:szCs w:val="18"/>
              </w:rPr>
              <w:t xml:space="preserve">9 patients. Patient 1: 85% thread retraction. All patients: cursor control, chess, video games ONLY. Zero cured. Zero walking. Zero speaking. Zero seeing. All remain paralyzed.</w:t>
            </w:r>
          </w:p>
        </w:tc>
      </w:tr>
      <w:tr>
        <w:tc>
          <w:tcPr>
            <w:tcW w:type="dxa" w:w="2000"/>
            <w:tcBorders>
              <w:top w:val="single" w:color="000000" w:sz="1"/>
              <w:left w:val="single" w:color="000000" w:sz="1"/>
              <w:bottom w:val="single" w:color="000000" w:sz="1"/>
              <w:right w:val="single" w:color="000000" w:sz="1"/>
            </w:tcBorders>
          </w:tcPr>
          <w:p>
            <w:r>
              <w:rPr>
                <w:b/>
                <w:bCs/>
                <w:sz w:val="18"/>
                <w:szCs w:val="18"/>
              </w:rPr>
              <w:t xml:space="preserve">Synchron</w:t>
            </w:r>
          </w:p>
        </w:tc>
        <w:tc>
          <w:tcPr>
            <w:tcW w:type="dxa" w:w="3680"/>
            <w:tcBorders>
              <w:top w:val="single" w:color="000000" w:sz="1"/>
              <w:left w:val="single" w:color="000000" w:sz="1"/>
              <w:bottom w:val="single" w:color="000000" w:sz="1"/>
              <w:right w:val="single" w:color="000000" w:sz="1"/>
            </w:tcBorders>
          </w:tcPr>
          <w:p>
            <w:r>
              <w:rPr>
                <w:sz w:val="18"/>
                <w:szCs w:val="18"/>
              </w:rPr>
              <w:t xml:space="preserve">'Restore independence and communication'. 'Transform lives of millions'. 'Reconnect patients online'. 'First-in-class commercial BCI'.</w:t>
            </w:r>
          </w:p>
        </w:tc>
        <w:tc>
          <w:tcPr>
            <w:tcW w:type="dxa" w:w="3680"/>
            <w:tcBorders>
              <w:top w:val="single" w:color="000000" w:sz="1"/>
              <w:left w:val="single" w:color="000000" w:sz="1"/>
              <w:bottom w:val="single" w:color="000000" w:sz="1"/>
              <w:right w:val="single" w:color="000000" w:sz="1"/>
            </w:tcBorders>
            <w:shd w:fill="FFCCCC" w:val="clear"/>
          </w:tcPr>
          <w:p>
            <w:r>
              <w:rPr>
                <w:sz w:val="18"/>
                <w:szCs w:val="18"/>
              </w:rPr>
              <w:t xml:space="preserve">10 patients. Can text, email, shop online. Zero cured. Zero restored. All remain paralyzed. 'Digital tasks' only. No pivotal trial yet.</w:t>
            </w:r>
          </w:p>
        </w:tc>
      </w:tr>
      <w:tr>
        <w:tc>
          <w:tcPr>
            <w:tcW w:type="dxa" w:w="2000"/>
            <w:tcBorders>
              <w:top w:val="single" w:color="000000" w:sz="1"/>
              <w:left w:val="single" w:color="000000" w:sz="1"/>
              <w:bottom w:val="single" w:color="000000" w:sz="1"/>
              <w:right w:val="single" w:color="000000" w:sz="1"/>
            </w:tcBorders>
          </w:tcPr>
          <w:p>
            <w:r>
              <w:rPr>
                <w:b/>
                <w:bCs/>
                <w:sz w:val="18"/>
                <w:szCs w:val="18"/>
              </w:rPr>
              <w:t xml:space="preserve">Blackrock</w:t>
            </w:r>
          </w:p>
        </w:tc>
        <w:tc>
          <w:tcPr>
            <w:tcW w:type="dxa" w:w="3680"/>
            <w:tcBorders>
              <w:top w:val="single" w:color="000000" w:sz="1"/>
              <w:left w:val="single" w:color="000000" w:sz="1"/>
              <w:bottom w:val="single" w:color="000000" w:sz="1"/>
              <w:right w:val="single" w:color="000000" w:sz="1"/>
            </w:tcBorders>
          </w:tcPr>
          <w:p>
            <w:r>
              <w:rPr>
                <w:sz w:val="18"/>
                <w:szCs w:val="18"/>
              </w:rPr>
              <w:t xml:space="preserve">'Walk, talk, see, hear, feel again'. 'More common than pacemakers'. 'Massive market of 5M paralyzed'. 'Commercially available device' (2022 claim).</w:t>
            </w:r>
          </w:p>
        </w:tc>
        <w:tc>
          <w:tcPr>
            <w:tcW w:type="dxa" w:w="3680"/>
            <w:tcBorders>
              <w:top w:val="single" w:color="000000" w:sz="1"/>
              <w:left w:val="single" w:color="000000" w:sz="1"/>
              <w:bottom w:val="single" w:color="000000" w:sz="1"/>
              <w:right w:val="single" w:color="000000" w:sz="1"/>
            </w:tcBorders>
            <w:shd w:fill="FFCCCC" w:val="clear"/>
          </w:tcPr>
          <w:p>
            <w:r>
              <w:rPr>
                <w:sz w:val="18"/>
                <w:szCs w:val="18"/>
              </w:rPr>
              <w:t xml:space="preserve">40+ patients (research only). Robotic arm control. Voice synthesizer control. Zero walking. Zero cured. No commercial device as of 2026. Now majority-owned by Tether/USDT.</w:t>
            </w:r>
          </w:p>
        </w:tc>
      </w:tr>
      <w:tr>
        <w:tc>
          <w:tcPr>
            <w:tcW w:type="dxa" w:w="2000"/>
            <w:tcBorders>
              <w:top w:val="single" w:color="000000" w:sz="1"/>
              <w:left w:val="single" w:color="000000" w:sz="1"/>
              <w:bottom w:val="single" w:color="000000" w:sz="1"/>
              <w:right w:val="single" w:color="000000" w:sz="1"/>
            </w:tcBorders>
          </w:tcPr>
          <w:p>
            <w:r>
              <w:rPr>
                <w:b/>
                <w:bCs/>
                <w:sz w:val="18"/>
                <w:szCs w:val="18"/>
              </w:rPr>
              <w:t xml:space="preserve">Paradromics</w:t>
            </w:r>
          </w:p>
        </w:tc>
        <w:tc>
          <w:tcPr>
            <w:tcW w:type="dxa" w:w="3680"/>
            <w:tcBorders>
              <w:top w:val="single" w:color="000000" w:sz="1"/>
              <w:left w:val="single" w:color="000000" w:sz="1"/>
              <w:bottom w:val="single" w:color="000000" w:sz="1"/>
              <w:right w:val="single" w:color="000000" w:sz="1"/>
            </w:tcBorders>
          </w:tcPr>
          <w:p>
            <w:r>
              <w:rPr>
                <w:sz w:val="18"/>
                <w:szCs w:val="18"/>
              </w:rPr>
              <w:t xml:space="preserve">'Restore communication'. 'Best engineered BCI in the world'. 'Industry-leading 200+ bits per second'. 'Transform untreatable conditions'.</w:t>
            </w:r>
          </w:p>
        </w:tc>
        <w:tc>
          <w:tcPr>
            <w:tcW w:type="dxa" w:w="3680"/>
            <w:tcBorders>
              <w:top w:val="single" w:color="000000" w:sz="1"/>
              <w:left w:val="single" w:color="000000" w:sz="1"/>
              <w:bottom w:val="single" w:color="000000" w:sz="1"/>
              <w:right w:val="single" w:color="000000" w:sz="1"/>
            </w:tcBorders>
            <w:shd w:fill="FFCCCC" w:val="clear"/>
          </w:tcPr>
          <w:p>
            <w:r>
              <w:rPr>
                <w:sz w:val="18"/>
                <w:szCs w:val="18"/>
              </w:rPr>
              <w:t xml:space="preserve">1 patient (ACUTE TEST ONLY — device removed after 20 minutes). Zero permanent implants. Zero health restored. Clinical trial not yet started (planned 2026).</w:t>
            </w:r>
          </w:p>
        </w:tc>
      </w:tr>
    </w:tbl>
    <w:p>
      <w:pPr>
        <w:spacing w:after="300"/>
      </w:pPr>
    </w:p>
    <w:p>
      <w:r>
        <w:br w:type="page"/>
      </w:r>
    </w:p>
    <w:p>
      <w:pPr>
        <w:pStyle w:val="Heading1"/>
      </w:pPr>
      <w:r>
        <w:t xml:space="preserve">Section 5: Selective Deployment of Deterministic Models</w:t>
      </w:r>
    </w:p>
    <w:p>
      <w:pPr>
        <w:spacing w:after="200"/>
      </w:pPr>
      <w:r>
        <w:rPr>
          <w:b/>
          <w:bCs/>
          <w:sz w:val="24"/>
          <w:szCs w:val="24"/>
        </w:rPr>
        <w:t xml:space="preserve">AI founders possess complete knowledge of deterministic computation (rule-based systems, expert systems, symbolic AI, Al-Khwārizmī's algorithmic methods). They deploy these with 100% precision for wealth extraction while deliberately using probabilistic systems for healthcare.</w:t>
      </w:r>
    </w:p>
    <w:p>
      <w:pPr>
        <w:pStyle w:val="Heading2"/>
      </w:pPr>
      <w:r>
        <w:t xml:space="preserve">5.1 WHERE DETERMINISTIC MODELS ARE DEPLOYED (100% Precision)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8B0000" w:val="clear"/>
          </w:tcPr>
          <w:p>
            <w:r>
              <w:rPr>
                <w:b/>
                <w:bCs/>
                <w:color w:val="FFFFFF"/>
                <w:sz w:val="20"/>
                <w:szCs w:val="20"/>
              </w:rPr>
              <w:t xml:space="preserve">System</w:t>
            </w:r>
          </w:p>
        </w:tc>
        <w:tc>
          <w:tcPr>
            <w:tcW w:type="dxa" w:w="3120"/>
            <w:tcBorders>
              <w:top w:val="single" w:color="000000" w:sz="1"/>
              <w:left w:val="single" w:color="000000" w:sz="1"/>
              <w:bottom w:val="single" w:color="000000" w:sz="1"/>
              <w:right w:val="single" w:color="000000" w:sz="1"/>
            </w:tcBorders>
            <w:shd w:fill="8B0000" w:val="clear"/>
          </w:tcPr>
          <w:p>
            <w:r>
              <w:rPr>
                <w:b/>
                <w:bCs/>
                <w:color w:val="FFFFFF"/>
                <w:sz w:val="20"/>
                <w:szCs w:val="20"/>
              </w:rPr>
              <w:t xml:space="preserve">Precision</w:t>
            </w:r>
          </w:p>
        </w:tc>
        <w:tc>
          <w:tcPr>
            <w:tcW w:type="dxa" w:w="3120"/>
            <w:tcBorders>
              <w:top w:val="single" w:color="000000" w:sz="1"/>
              <w:left w:val="single" w:color="000000" w:sz="1"/>
              <w:bottom w:val="single" w:color="000000" w:sz="1"/>
              <w:right w:val="single" w:color="000000" w:sz="1"/>
            </w:tcBorders>
            <w:shd w:fill="8B0000" w:val="clear"/>
          </w:tcPr>
          <w:p>
            <w:r>
              <w:rPr>
                <w:b/>
                <w:bCs/>
                <w:color w:val="FFFFFF"/>
                <w:sz w:val="20"/>
                <w:szCs w:val="20"/>
              </w:rPr>
              <w:t xml:space="preserve">Beneficiary</w:t>
            </w:r>
          </w:p>
        </w:tc>
      </w:tr>
      <w:tr>
        <w:tc>
          <w:tcPr>
            <w:tcW w:type="dxa" w:w="3120"/>
            <w:tcBorders>
              <w:top w:val="single" w:color="000000" w:sz="1"/>
              <w:left w:val="single" w:color="000000" w:sz="1"/>
              <w:bottom w:val="single" w:color="000000" w:sz="1"/>
              <w:right w:val="single" w:color="000000" w:sz="1"/>
            </w:tcBorders>
          </w:tcPr>
          <w:p>
            <w:r>
              <w:rPr>
                <w:sz w:val="18"/>
                <w:szCs w:val="18"/>
              </w:rPr>
              <w:t xml:space="preserve">Medical Billing (CPT/ICD-10)</w:t>
            </w:r>
          </w:p>
        </w:tc>
        <w:tc>
          <w:tcPr>
            <w:tcW w:type="dxa" w:w="3120"/>
            <w:tcBorders>
              <w:top w:val="single" w:color="000000" w:sz="1"/>
              <w:left w:val="single" w:color="000000" w:sz="1"/>
              <w:bottom w:val="single" w:color="000000" w:sz="1"/>
              <w:right w:val="single" w:color="000000" w:sz="1"/>
            </w:tcBorders>
          </w:tcPr>
          <w:p>
            <w:r>
              <w:rPr>
                <w:sz w:val="18"/>
                <w:szCs w:val="18"/>
              </w:rPr>
              <w:t xml:space="preserve">100%. If code matches = bill generated. Zero variance.</w:t>
            </w:r>
          </w:p>
        </w:tc>
        <w:tc>
          <w:tcPr>
            <w:tcW w:type="dxa" w:w="3120"/>
            <w:tcBorders>
              <w:top w:val="single" w:color="000000" w:sz="1"/>
              <w:left w:val="single" w:color="000000" w:sz="1"/>
              <w:bottom w:val="single" w:color="000000" w:sz="1"/>
              <w:right w:val="single" w:color="000000" w:sz="1"/>
            </w:tcBorders>
          </w:tcPr>
          <w:p>
            <w:r>
              <w:rPr>
                <w:sz w:val="18"/>
                <w:szCs w:val="18"/>
              </w:rPr>
              <w:t xml:space="preserve">Hospitals, insurers (WEALTH EXTRACTION)</w:t>
            </w:r>
          </w:p>
        </w:tc>
      </w:tr>
      <w:tr>
        <w:tc>
          <w:tcPr>
            <w:tcW w:type="dxa" w:w="3120"/>
            <w:tcBorders>
              <w:top w:val="single" w:color="000000" w:sz="1"/>
              <w:left w:val="single" w:color="000000" w:sz="1"/>
              <w:bottom w:val="single" w:color="000000" w:sz="1"/>
              <w:right w:val="single" w:color="000000" w:sz="1"/>
            </w:tcBorders>
          </w:tcPr>
          <w:p>
            <w:r>
              <w:rPr>
                <w:sz w:val="18"/>
                <w:szCs w:val="18"/>
              </w:rPr>
              <w:t xml:space="preserve">Insurance Claims Denial</w:t>
            </w:r>
          </w:p>
        </w:tc>
        <w:tc>
          <w:tcPr>
            <w:tcW w:type="dxa" w:w="3120"/>
            <w:tcBorders>
              <w:top w:val="single" w:color="000000" w:sz="1"/>
              <w:left w:val="single" w:color="000000" w:sz="1"/>
              <w:bottom w:val="single" w:color="000000" w:sz="1"/>
              <w:right w:val="single" w:color="000000" w:sz="1"/>
            </w:tcBorders>
          </w:tcPr>
          <w:p>
            <w:r>
              <w:rPr>
                <w:sz w:val="18"/>
                <w:szCs w:val="18"/>
              </w:rPr>
              <w:t xml:space="preserve">100%. If criteria not met = denial. Binary, instant.</w:t>
            </w:r>
          </w:p>
        </w:tc>
        <w:tc>
          <w:tcPr>
            <w:tcW w:type="dxa" w:w="3120"/>
            <w:tcBorders>
              <w:top w:val="single" w:color="000000" w:sz="1"/>
              <w:left w:val="single" w:color="000000" w:sz="1"/>
              <w:bottom w:val="single" w:color="000000" w:sz="1"/>
              <w:right w:val="single" w:color="000000" w:sz="1"/>
            </w:tcBorders>
          </w:tcPr>
          <w:p>
            <w:r>
              <w:rPr>
                <w:sz w:val="18"/>
                <w:szCs w:val="18"/>
              </w:rPr>
              <w:t xml:space="preserve">UnitedHealth, Optum (DENIAL PROFIT)</w:t>
            </w:r>
          </w:p>
        </w:tc>
      </w:tr>
      <w:tr>
        <w:tc>
          <w:tcPr>
            <w:tcW w:type="dxa" w:w="3120"/>
            <w:tcBorders>
              <w:top w:val="single" w:color="000000" w:sz="1"/>
              <w:left w:val="single" w:color="000000" w:sz="1"/>
              <w:bottom w:val="single" w:color="000000" w:sz="1"/>
              <w:right w:val="single" w:color="000000" w:sz="1"/>
            </w:tcBorders>
          </w:tcPr>
          <w:p>
            <w:r>
              <w:rPr>
                <w:sz w:val="18"/>
                <w:szCs w:val="18"/>
              </w:rPr>
              <w:t xml:space="preserve">Drug Prescription Auto-Fill</w:t>
            </w:r>
          </w:p>
        </w:tc>
        <w:tc>
          <w:tcPr>
            <w:tcW w:type="dxa" w:w="3120"/>
            <w:tcBorders>
              <w:top w:val="single" w:color="000000" w:sz="1"/>
              <w:left w:val="single" w:color="000000" w:sz="1"/>
              <w:bottom w:val="single" w:color="000000" w:sz="1"/>
              <w:right w:val="single" w:color="000000" w:sz="1"/>
            </w:tcBorders>
          </w:tcPr>
          <w:p>
            <w:r>
              <w:rPr>
                <w:sz w:val="18"/>
                <w:szCs w:val="18"/>
              </w:rPr>
              <w:t xml:space="preserve">100%. If diagnosis = drug prescribed. Fixed rules.</w:t>
            </w:r>
          </w:p>
        </w:tc>
        <w:tc>
          <w:tcPr>
            <w:tcW w:type="dxa" w:w="3120"/>
            <w:tcBorders>
              <w:top w:val="single" w:color="000000" w:sz="1"/>
              <w:left w:val="single" w:color="000000" w:sz="1"/>
              <w:bottom w:val="single" w:color="000000" w:sz="1"/>
              <w:right w:val="single" w:color="000000" w:sz="1"/>
            </w:tcBorders>
          </w:tcPr>
          <w:p>
            <w:r>
              <w:rPr>
                <w:sz w:val="18"/>
                <w:szCs w:val="18"/>
              </w:rPr>
              <w:t xml:space="preserve">Pharma (SALES VOLUME)</w:t>
            </w:r>
          </w:p>
        </w:tc>
      </w:tr>
      <w:tr>
        <w:tc>
          <w:tcPr>
            <w:tcW w:type="dxa" w:w="3120"/>
            <w:tcBorders>
              <w:top w:val="single" w:color="000000" w:sz="1"/>
              <w:left w:val="single" w:color="000000" w:sz="1"/>
              <w:bottom w:val="single" w:color="000000" w:sz="1"/>
              <w:right w:val="single" w:color="000000" w:sz="1"/>
            </w:tcBorders>
          </w:tcPr>
          <w:p>
            <w:r>
              <w:rPr>
                <w:sz w:val="18"/>
                <w:szCs w:val="18"/>
              </w:rPr>
              <w:t xml:space="preserve">Revenue Cycle Management</w:t>
            </w:r>
          </w:p>
        </w:tc>
        <w:tc>
          <w:tcPr>
            <w:tcW w:type="dxa" w:w="3120"/>
            <w:tcBorders>
              <w:top w:val="single" w:color="000000" w:sz="1"/>
              <w:left w:val="single" w:color="000000" w:sz="1"/>
              <w:bottom w:val="single" w:color="000000" w:sz="1"/>
              <w:right w:val="single" w:color="000000" w:sz="1"/>
            </w:tcBorders>
          </w:tcPr>
          <w:p>
            <w:r>
              <w:rPr>
                <w:sz w:val="18"/>
                <w:szCs w:val="18"/>
              </w:rPr>
              <w:t xml:space="preserve">100%. Fixed rules maximize collections. Zero missed.</w:t>
            </w:r>
          </w:p>
        </w:tc>
        <w:tc>
          <w:tcPr>
            <w:tcW w:type="dxa" w:w="3120"/>
            <w:tcBorders>
              <w:top w:val="single" w:color="000000" w:sz="1"/>
              <w:left w:val="single" w:color="000000" w:sz="1"/>
              <w:bottom w:val="single" w:color="000000" w:sz="1"/>
              <w:right w:val="single" w:color="000000" w:sz="1"/>
            </w:tcBorders>
          </w:tcPr>
          <w:p>
            <w:r>
              <w:rPr>
                <w:sz w:val="18"/>
                <w:szCs w:val="18"/>
              </w:rPr>
              <w:t xml:space="preserve">Healthcare systems (REVENUE)</w:t>
            </w:r>
          </w:p>
        </w:tc>
      </w:tr>
      <w:tr>
        <w:tc>
          <w:tcPr>
            <w:tcW w:type="dxa" w:w="3120"/>
            <w:tcBorders>
              <w:top w:val="single" w:color="000000" w:sz="1"/>
              <w:left w:val="single" w:color="000000" w:sz="1"/>
              <w:bottom w:val="single" w:color="000000" w:sz="1"/>
              <w:right w:val="single" w:color="000000" w:sz="1"/>
            </w:tcBorders>
          </w:tcPr>
          <w:p>
            <w:r>
              <w:rPr>
                <w:sz w:val="18"/>
                <w:szCs w:val="18"/>
              </w:rPr>
              <w:t xml:space="preserve">Palantir NHS FDP</w:t>
            </w:r>
          </w:p>
        </w:tc>
        <w:tc>
          <w:tcPr>
            <w:tcW w:type="dxa" w:w="3120"/>
            <w:tcBorders>
              <w:top w:val="single" w:color="000000" w:sz="1"/>
              <w:left w:val="single" w:color="000000" w:sz="1"/>
              <w:bottom w:val="single" w:color="000000" w:sz="1"/>
              <w:right w:val="single" w:color="000000" w:sz="1"/>
            </w:tcBorders>
          </w:tcPr>
          <w:p>
            <w:r>
              <w:rPr>
                <w:sz w:val="18"/>
                <w:szCs w:val="18"/>
              </w:rPr>
              <w:t xml:space="preserve">100%. Patient data federated. Zero loss.</w:t>
            </w:r>
          </w:p>
        </w:tc>
        <w:tc>
          <w:tcPr>
            <w:tcW w:type="dxa" w:w="3120"/>
            <w:tcBorders>
              <w:top w:val="single" w:color="000000" w:sz="1"/>
              <w:left w:val="single" w:color="000000" w:sz="1"/>
              <w:bottom w:val="single" w:color="000000" w:sz="1"/>
              <w:right w:val="single" w:color="000000" w:sz="1"/>
            </w:tcBorders>
          </w:tcPr>
          <w:p>
            <w:r>
              <w:rPr>
                <w:sz w:val="18"/>
                <w:szCs w:val="18"/>
              </w:rPr>
              <w:t xml:space="preserve">Palantir/Thiel (DATA EXTRACTION)</w:t>
            </w:r>
          </w:p>
        </w:tc>
      </w:tr>
    </w:tbl>
    <w:p>
      <w:pPr>
        <w:spacing w:after="200"/>
      </w:pPr>
    </w:p>
    <w:p>
      <w:pPr>
        <w:pStyle w:val="Heading2"/>
      </w:pPr>
      <w:r>
        <w:t xml:space="preserve">5.2 WHERE DETERMINISTIC MODELS ARE NOT DEPLOYED (Probabilistic)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006400" w:val="clear"/>
          </w:tcPr>
          <w:p>
            <w:r>
              <w:rPr>
                <w:b/>
                <w:bCs/>
                <w:color w:val="FFFFFF"/>
                <w:sz w:val="20"/>
                <w:szCs w:val="20"/>
              </w:rPr>
              <w:t xml:space="preserve">Application</w:t>
            </w:r>
          </w:p>
        </w:tc>
        <w:tc>
          <w:tcPr>
            <w:tcW w:type="dxa" w:w="3120"/>
            <w:tcBorders>
              <w:top w:val="single" w:color="000000" w:sz="1"/>
              <w:left w:val="single" w:color="000000" w:sz="1"/>
              <w:bottom w:val="single" w:color="000000" w:sz="1"/>
              <w:right w:val="single" w:color="000000" w:sz="1"/>
            </w:tcBorders>
            <w:shd w:fill="006400" w:val="clear"/>
          </w:tcPr>
          <w:p>
            <w:r>
              <w:rPr>
                <w:b/>
                <w:bCs/>
                <w:color w:val="FFFFFF"/>
                <w:sz w:val="20"/>
                <w:szCs w:val="20"/>
              </w:rPr>
              <w:t xml:space="preserve">Model Used</w:t>
            </w:r>
          </w:p>
        </w:tc>
        <w:tc>
          <w:tcPr>
            <w:tcW w:type="dxa" w:w="3120"/>
            <w:tcBorders>
              <w:top w:val="single" w:color="000000" w:sz="1"/>
              <w:left w:val="single" w:color="000000" w:sz="1"/>
              <w:bottom w:val="single" w:color="000000" w:sz="1"/>
              <w:right w:val="single" w:color="000000" w:sz="1"/>
            </w:tcBorders>
            <w:shd w:fill="006400" w:val="clear"/>
          </w:tcPr>
          <w:p>
            <w:r>
              <w:rPr>
                <w:b/>
                <w:bCs/>
                <w:color w:val="FFFFFF"/>
                <w:sz w:val="20"/>
                <w:szCs w:val="20"/>
              </w:rPr>
              <w:t xml:space="preserve">Result</w:t>
            </w:r>
          </w:p>
        </w:tc>
      </w:tr>
      <w:tr>
        <w:tc>
          <w:tcPr>
            <w:tcW w:type="dxa" w:w="3120"/>
            <w:tcBorders>
              <w:top w:val="single" w:color="000000" w:sz="1"/>
              <w:left w:val="single" w:color="000000" w:sz="1"/>
              <w:bottom w:val="single" w:color="000000" w:sz="1"/>
              <w:right w:val="single" w:color="000000" w:sz="1"/>
            </w:tcBorders>
          </w:tcPr>
          <w:p>
            <w:r>
              <w:rPr>
                <w:sz w:val="18"/>
                <w:szCs w:val="18"/>
              </w:rPr>
              <w:t xml:space="preserve">Diagnostic AI</w:t>
            </w:r>
          </w:p>
        </w:tc>
        <w:tc>
          <w:tcPr>
            <w:tcW w:type="dxa" w:w="3120"/>
            <w:tcBorders>
              <w:top w:val="single" w:color="000000" w:sz="1"/>
              <w:left w:val="single" w:color="000000" w:sz="1"/>
              <w:bottom w:val="single" w:color="000000" w:sz="1"/>
              <w:right w:val="single" w:color="000000" w:sz="1"/>
            </w:tcBorders>
          </w:tcPr>
          <w:p>
            <w:r>
              <w:rPr>
                <w:sz w:val="18"/>
                <w:szCs w:val="18"/>
              </w:rPr>
              <w:t xml:space="preserve">Probabilistic neural nets. '70% likelihood'. Variable.</w:t>
            </w:r>
          </w:p>
        </w:tc>
        <w:tc>
          <w:tcPr>
            <w:tcW w:type="dxa" w:w="3120"/>
            <w:tcBorders>
              <w:top w:val="single" w:color="000000" w:sz="1"/>
              <w:left w:val="single" w:color="000000" w:sz="1"/>
              <w:bottom w:val="single" w:color="000000" w:sz="1"/>
              <w:right w:val="single" w:color="000000" w:sz="1"/>
            </w:tcBorders>
          </w:tcPr>
          <w:p>
            <w:r>
              <w:rPr>
                <w:sz w:val="18"/>
                <w:szCs w:val="18"/>
              </w:rPr>
              <w:t xml:space="preserve">Misdiagnosis, bias, delayed treatment</w:t>
            </w:r>
          </w:p>
        </w:tc>
      </w:tr>
      <w:tr>
        <w:tc>
          <w:tcPr>
            <w:tcW w:type="dxa" w:w="3120"/>
            <w:tcBorders>
              <w:top w:val="single" w:color="000000" w:sz="1"/>
              <w:left w:val="single" w:color="000000" w:sz="1"/>
              <w:bottom w:val="single" w:color="000000" w:sz="1"/>
              <w:right w:val="single" w:color="000000" w:sz="1"/>
            </w:tcBorders>
          </w:tcPr>
          <w:p>
            <w:r>
              <w:rPr>
                <w:sz w:val="18"/>
                <w:szCs w:val="18"/>
              </w:rPr>
              <w:t xml:space="preserve">Brain-Computer Interface</w:t>
            </w:r>
          </w:p>
        </w:tc>
        <w:tc>
          <w:tcPr>
            <w:tcW w:type="dxa" w:w="3120"/>
            <w:tcBorders>
              <w:top w:val="single" w:color="000000" w:sz="1"/>
              <w:left w:val="single" w:color="000000" w:sz="1"/>
              <w:bottom w:val="single" w:color="000000" w:sz="1"/>
              <w:right w:val="single" w:color="000000" w:sz="1"/>
            </w:tcBorders>
          </w:tcPr>
          <w:p>
            <w:r>
              <w:rPr>
                <w:sz w:val="18"/>
                <w:szCs w:val="18"/>
              </w:rPr>
              <w:t xml:space="preserve">Probabilistic neural decoding. AI adaptation.</w:t>
            </w:r>
          </w:p>
        </w:tc>
        <w:tc>
          <w:tcPr>
            <w:tcW w:type="dxa" w:w="3120"/>
            <w:tcBorders>
              <w:top w:val="single" w:color="000000" w:sz="1"/>
              <w:left w:val="single" w:color="000000" w:sz="1"/>
              <w:bottom w:val="single" w:color="000000" w:sz="1"/>
              <w:right w:val="single" w:color="000000" w:sz="1"/>
            </w:tcBorders>
          </w:tcPr>
          <w:p>
            <w:r>
              <w:rPr>
                <w:sz w:val="18"/>
                <w:szCs w:val="18"/>
              </w:rPr>
              <w:t xml:space="preserve">Demo only, no restoration, dependency</w:t>
            </w:r>
          </w:p>
        </w:tc>
      </w:tr>
      <w:tr>
        <w:tc>
          <w:tcPr>
            <w:tcW w:type="dxa" w:w="3120"/>
            <w:tcBorders>
              <w:top w:val="single" w:color="000000" w:sz="1"/>
              <w:left w:val="single" w:color="000000" w:sz="1"/>
              <w:bottom w:val="single" w:color="000000" w:sz="1"/>
              <w:right w:val="single" w:color="000000" w:sz="1"/>
            </w:tcBorders>
          </w:tcPr>
          <w:p>
            <w:r>
              <w:rPr>
                <w:sz w:val="18"/>
                <w:szCs w:val="18"/>
              </w:rPr>
              <w:t xml:space="preserve">Treatment Planning</w:t>
            </w:r>
          </w:p>
        </w:tc>
        <w:tc>
          <w:tcPr>
            <w:tcW w:type="dxa" w:w="3120"/>
            <w:tcBorders>
              <w:top w:val="single" w:color="000000" w:sz="1"/>
              <w:left w:val="single" w:color="000000" w:sz="1"/>
              <w:bottom w:val="single" w:color="000000" w:sz="1"/>
              <w:right w:val="single" w:color="000000" w:sz="1"/>
            </w:tcBorders>
          </w:tcPr>
          <w:p>
            <w:r>
              <w:rPr>
                <w:sz w:val="18"/>
                <w:szCs w:val="18"/>
              </w:rPr>
              <w:t xml:space="preserve">Probabilistic recommendations. Non-reproducible.</w:t>
            </w:r>
          </w:p>
        </w:tc>
        <w:tc>
          <w:tcPr>
            <w:tcW w:type="dxa" w:w="3120"/>
            <w:tcBorders>
              <w:top w:val="single" w:color="000000" w:sz="1"/>
              <w:left w:val="single" w:color="000000" w:sz="1"/>
              <w:bottom w:val="single" w:color="000000" w:sz="1"/>
              <w:right w:val="single" w:color="000000" w:sz="1"/>
            </w:tcBorders>
          </w:tcPr>
          <w:p>
            <w:r>
              <w:rPr>
                <w:sz w:val="18"/>
                <w:szCs w:val="18"/>
              </w:rPr>
              <w:t xml:space="preserve">Extended illness, more drug consumption</w:t>
            </w:r>
          </w:p>
        </w:tc>
      </w:tr>
    </w:tbl>
    <w:p>
      <w:pPr>
        <w:spacing w:after="300"/>
      </w:pPr>
    </w:p>
    <w:p>
      <w:pPr>
        <w:spacing w:after="300"/>
      </w:pPr>
      <w:r>
        <w:rPr>
          <w:b/>
          <w:bCs/>
          <w:sz w:val="24"/>
          <w:szCs w:val="24"/>
        </w:rPr>
        <w:t xml:space="preserve">THE CALCULATED EXTRACTION PATTERN: Deterministic precision for taking money FROM humans (billing, claims, collections). Probabilistic variance for giving health TO humans (diagnosis, treatment, restoration). This is not incompetence. They KNOW how to build deterministic systems—they deploy them daily for billing. They CHOOSE not to deploy them for healing.</w:t>
      </w:r>
    </w:p>
    <w:p>
      <w:r>
        <w:br w:type="page"/>
      </w:r>
    </w:p>
    <w:p>
      <w:pPr>
        <w:pStyle w:val="Heading1"/>
      </w:pPr>
      <w:r>
        <w:t xml:space="preserve">Section 6: Transparency Comparison — The Decisive Gate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1F4E79" w:val="clear"/>
          </w:tcPr>
          <w:p>
            <w:r>
              <w:rPr>
                <w:b/>
                <w:bCs/>
                <w:color w:val="FFFFFF"/>
                <w:sz w:val="20"/>
                <w:szCs w:val="20"/>
              </w:rPr>
              <w:t xml:space="preserve">Dimension</w:t>
            </w:r>
          </w:p>
        </w:tc>
        <w:tc>
          <w:tcPr>
            <w:tcW w:type="dxa" w:w="3120"/>
            <w:tcBorders>
              <w:top w:val="single" w:color="000000" w:sz="1"/>
              <w:left w:val="single" w:color="000000" w:sz="1"/>
              <w:bottom w:val="single" w:color="000000" w:sz="1"/>
              <w:right w:val="single" w:color="000000" w:sz="1"/>
            </w:tcBorders>
            <w:shd w:fill="8B0000" w:val="clear"/>
          </w:tcPr>
          <w:p>
            <w:r>
              <w:rPr>
                <w:b/>
                <w:bCs/>
                <w:color w:val="FFFFFF"/>
                <w:sz w:val="20"/>
                <w:szCs w:val="20"/>
              </w:rPr>
              <w:t xml:space="preserve">Commercial AI</w:t>
            </w:r>
          </w:p>
        </w:tc>
        <w:tc>
          <w:tcPr>
            <w:tcW w:type="dxa" w:w="3120"/>
            <w:tcBorders>
              <w:top w:val="single" w:color="000000" w:sz="1"/>
              <w:left w:val="single" w:color="000000" w:sz="1"/>
              <w:bottom w:val="single" w:color="000000" w:sz="1"/>
              <w:right w:val="single" w:color="000000" w:sz="1"/>
            </w:tcBorders>
            <w:shd w:fill="006400" w:val="clear"/>
          </w:tcPr>
          <w:p>
            <w:r>
              <w:rPr>
                <w:b/>
                <w:bCs/>
                <w:color w:val="FFFFFF"/>
                <w:sz w:val="20"/>
                <w:szCs w:val="20"/>
              </w:rPr>
              <w:t xml:space="preserve">USLaP</w:t>
            </w:r>
          </w:p>
        </w:tc>
      </w:tr>
      <w:tr>
        <w:tc>
          <w:tcPr>
            <w:tcW w:type="dxa" w:w="3120"/>
            <w:tcBorders>
              <w:top w:val="single" w:color="000000" w:sz="1"/>
              <w:left w:val="single" w:color="000000" w:sz="1"/>
              <w:bottom w:val="single" w:color="000000" w:sz="1"/>
              <w:right w:val="single" w:color="000000" w:sz="1"/>
            </w:tcBorders>
          </w:tcPr>
          <w:p>
            <w:r>
              <w:rPr>
                <w:b/>
                <w:bCs/>
                <w:sz w:val="20"/>
                <w:szCs w:val="20"/>
              </w:rPr>
              <w:t xml:space="preserve">Who Can Audit?</w:t>
            </w:r>
          </w:p>
        </w:tc>
        <w:tc>
          <w:tcPr>
            <w:tcW w:type="dxa" w:w="3120"/>
            <w:tcBorders>
              <w:top w:val="single" w:color="000000" w:sz="1"/>
              <w:left w:val="single" w:color="000000" w:sz="1"/>
              <w:bottom w:val="single" w:color="000000" w:sz="1"/>
              <w:right w:val="single" w:color="000000" w:sz="1"/>
            </w:tcBorders>
          </w:tcPr>
          <w:p>
            <w:r>
              <w:rPr>
                <w:sz w:val="20"/>
                <w:szCs w:val="20"/>
              </w:rPr>
              <w:t xml:space="preserve">&lt;100 company employees. Proprietary. Trade secret.</w:t>
            </w:r>
          </w:p>
        </w:tc>
        <w:tc>
          <w:tcPr>
            <w:tcW w:type="dxa" w:w="3120"/>
            <w:tcBorders>
              <w:top w:val="single" w:color="000000" w:sz="1"/>
              <w:left w:val="single" w:color="000000" w:sz="1"/>
              <w:bottom w:val="single" w:color="000000" w:sz="1"/>
              <w:right w:val="single" w:color="000000" w:sz="1"/>
            </w:tcBorders>
          </w:tcPr>
          <w:p>
            <w:r>
              <w:rPr>
                <w:sz w:val="20"/>
                <w:szCs w:val="20"/>
              </w:rPr>
              <w:t xml:space="preserve">7.2 BILLION literate humans. Open. Public.</w:t>
            </w:r>
          </w:p>
        </w:tc>
      </w:tr>
      <w:tr>
        <w:tc>
          <w:tcPr>
            <w:tcW w:type="dxa" w:w="3120"/>
            <w:tcBorders>
              <w:top w:val="single" w:color="000000" w:sz="1"/>
              <w:left w:val="single" w:color="000000" w:sz="1"/>
              <w:bottom w:val="single" w:color="000000" w:sz="1"/>
              <w:right w:val="single" w:color="000000" w:sz="1"/>
            </w:tcBorders>
          </w:tcPr>
          <w:p>
            <w:r>
              <w:rPr>
                <w:b/>
                <w:bCs/>
                <w:sz w:val="20"/>
                <w:szCs w:val="20"/>
              </w:rPr>
              <w:t xml:space="preserve">Algorithm Access</w:t>
            </w:r>
          </w:p>
        </w:tc>
        <w:tc>
          <w:tcPr>
            <w:tcW w:type="dxa" w:w="3120"/>
            <w:tcBorders>
              <w:top w:val="single" w:color="000000" w:sz="1"/>
              <w:left w:val="single" w:color="000000" w:sz="1"/>
              <w:bottom w:val="single" w:color="000000" w:sz="1"/>
              <w:right w:val="single" w:color="000000" w:sz="1"/>
            </w:tcBorders>
          </w:tcPr>
          <w:p>
            <w:r>
              <w:rPr>
                <w:sz w:val="20"/>
                <w:szCs w:val="20"/>
              </w:rPr>
              <w:t xml:space="preserve">Closed. Billions of parameters. Black box.</w:t>
            </w:r>
          </w:p>
        </w:tc>
        <w:tc>
          <w:tcPr>
            <w:tcW w:type="dxa" w:w="3120"/>
            <w:tcBorders>
              <w:top w:val="single" w:color="000000" w:sz="1"/>
              <w:left w:val="single" w:color="000000" w:sz="1"/>
              <w:bottom w:val="single" w:color="000000" w:sz="1"/>
              <w:right w:val="single" w:color="000000" w:sz="1"/>
            </w:tcBorders>
          </w:tcPr>
          <w:p>
            <w:r>
              <w:rPr>
                <w:sz w:val="20"/>
                <w:szCs w:val="20"/>
              </w:rPr>
              <w:t xml:space="preserve">Open. Text-based rules. Binary logic.</w:t>
            </w:r>
          </w:p>
        </w:tc>
      </w:tr>
      <w:tr>
        <w:tc>
          <w:tcPr>
            <w:tcW w:type="dxa" w:w="3120"/>
            <w:tcBorders>
              <w:top w:val="single" w:color="000000" w:sz="1"/>
              <w:left w:val="single" w:color="000000" w:sz="1"/>
              <w:bottom w:val="single" w:color="000000" w:sz="1"/>
              <w:right w:val="single" w:color="000000" w:sz="1"/>
            </w:tcBorders>
          </w:tcPr>
          <w:p>
            <w:r>
              <w:rPr>
                <w:b/>
                <w:bCs/>
                <w:sz w:val="20"/>
                <w:szCs w:val="20"/>
              </w:rPr>
              <w:t xml:space="preserve">Decision Verification</w:t>
            </w:r>
          </w:p>
        </w:tc>
        <w:tc>
          <w:tcPr>
            <w:tcW w:type="dxa" w:w="3120"/>
            <w:tcBorders>
              <w:top w:val="single" w:color="000000" w:sz="1"/>
              <w:left w:val="single" w:color="000000" w:sz="1"/>
              <w:bottom w:val="single" w:color="000000" w:sz="1"/>
              <w:right w:val="single" w:color="000000" w:sz="1"/>
            </w:tcBorders>
          </w:tcPr>
          <w:p>
            <w:r>
              <w:rPr>
                <w:sz w:val="20"/>
                <w:szCs w:val="20"/>
              </w:rPr>
              <w:t xml:space="preserve">Impossible. Cannot trace why output occurred.</w:t>
            </w:r>
          </w:p>
        </w:tc>
        <w:tc>
          <w:tcPr>
            <w:tcW w:type="dxa" w:w="3120"/>
            <w:tcBorders>
              <w:top w:val="single" w:color="000000" w:sz="1"/>
              <w:left w:val="single" w:color="000000" w:sz="1"/>
              <w:bottom w:val="single" w:color="000000" w:sz="1"/>
              <w:right w:val="single" w:color="000000" w:sz="1"/>
            </w:tcBorders>
          </w:tcPr>
          <w:p>
            <w:r>
              <w:rPr>
                <w:sz w:val="20"/>
                <w:szCs w:val="20"/>
              </w:rPr>
              <w:t xml:space="preserve">Complete. Every decision = traceable rule.</w:t>
            </w:r>
          </w:p>
        </w:tc>
      </w:tr>
      <w:tr>
        <w:tc>
          <w:tcPr>
            <w:tcW w:type="dxa" w:w="3120"/>
            <w:tcBorders>
              <w:top w:val="single" w:color="000000" w:sz="1"/>
              <w:left w:val="single" w:color="000000" w:sz="1"/>
              <w:bottom w:val="single" w:color="000000" w:sz="1"/>
              <w:right w:val="single" w:color="000000" w:sz="1"/>
            </w:tcBorders>
            <w:shd w:fill="FFF2CC" w:val="clear"/>
          </w:tcPr>
          <w:p>
            <w:r>
              <w:rPr>
                <w:b/>
                <w:bCs/>
                <w:sz w:val="20"/>
                <w:szCs w:val="20"/>
              </w:rPr>
              <w:t xml:space="preserve">TRANSPARENCY RATIO</w:t>
            </w:r>
          </w:p>
        </w:tc>
        <w:tc>
          <w:tcPr>
            <w:tcW w:type="dxa" w:w="3120"/>
            <w:tcBorders>
              <w:top w:val="single" w:color="000000" w:sz="1"/>
              <w:left w:val="single" w:color="000000" w:sz="1"/>
              <w:bottom w:val="single" w:color="000000" w:sz="1"/>
              <w:right w:val="single" w:color="000000" w:sz="1"/>
            </w:tcBorders>
            <w:shd w:fill="FFCCCC" w:val="clear"/>
          </w:tcPr>
          <w:p>
            <w:r>
              <w:rPr>
                <w:b/>
                <w:bCs/>
                <w:sz w:val="20"/>
                <w:szCs w:val="20"/>
              </w:rPr>
              <w:t xml:space="preserve">1</w:t>
            </w:r>
          </w:p>
        </w:tc>
        <w:tc>
          <w:tcPr>
            <w:tcW w:type="dxa" w:w="3120"/>
            <w:tcBorders>
              <w:top w:val="single" w:color="000000" w:sz="1"/>
              <w:left w:val="single" w:color="000000" w:sz="1"/>
              <w:bottom w:val="single" w:color="000000" w:sz="1"/>
              <w:right w:val="single" w:color="000000" w:sz="1"/>
            </w:tcBorders>
            <w:shd w:fill="C6EFCE" w:val="clear"/>
          </w:tcPr>
          <w:p>
            <w:r>
              <w:rPr>
                <w:b/>
                <w:bCs/>
                <w:sz w:val="20"/>
                <w:szCs w:val="20"/>
              </w:rPr>
              <w:t xml:space="preserve">72,000,000</w:t>
            </w:r>
          </w:p>
        </w:tc>
      </w:tr>
    </w:tbl>
    <w:p>
      <w:pPr>
        <w:spacing w:after="300"/>
      </w:pPr>
    </w:p>
    <w:p>
      <w:pPr>
        <w:pStyle w:val="Heading1"/>
      </w:pPr>
      <w:r>
        <w:t xml:space="preserve">Conclusion: Binary Rulings</w:t>
      </w:r>
    </w:p>
    <w:p>
      <w:pPr>
        <w:spacing w:after="200"/>
        <w:jc w:val="center"/>
      </w:pPr>
      <w:r>
        <w:rPr>
          <w:b/>
          <w:bCs/>
          <w:sz w:val="28"/>
          <w:szCs w:val="28"/>
        </w:rPr>
        <w:t xml:space="preserve">COMMERCIAL MEDICAL AI = GHAYR ṢĀLIḤ (INVALID) = 0</w:t>
      </w:r>
    </w:p>
    <w:p>
      <w:pPr>
        <w:spacing w:after="200"/>
      </w:pPr>
      <w:r>
        <w:rPr>
          <w:sz w:val="24"/>
          <w:szCs w:val="24"/>
        </w:rPr>
        <w:t xml:space="preserve">Gate failures: Q=0 (probabilistic), U=0 (restricted-access, &lt;100 patients globally), F=0 (deferred claims), T=0 (near-zero transparency). Combined: $3.1B+ funding, &lt;100 patients, ZERO health restoration.</w:t>
      </w:r>
    </w:p>
    <w:p>
      <w:pPr>
        <w:spacing w:after="200"/>
        <w:jc w:val="center"/>
      </w:pPr>
      <w:r>
        <w:rPr>
          <w:b/>
          <w:bCs/>
          <w:sz w:val="28"/>
          <w:szCs w:val="28"/>
        </w:rPr>
        <w:t xml:space="preserve">USLAP DETERMINISTIC INTERFACE = ṢĀLIḤ (VALID) = 1</w:t>
      </w:r>
    </w:p>
    <w:p>
      <w:pPr>
        <w:spacing w:after="200"/>
      </w:pPr>
      <w:r>
        <w:rPr>
          <w:sz w:val="24"/>
          <w:szCs w:val="24"/>
        </w:rPr>
        <w:t xml:space="preserve">Gate compliance: Q=1, U=1, F=1, T=1. Cost: $0-$5,000. Population benefit: immediate, universal. Transparency: 100% auditable by 7.2 billion humans.</w:t>
      </w:r>
    </w:p>
    <w:p>
      <w:pPr>
        <w:spacing w:before="200" w:after="200"/>
        <w:jc w:val="center"/>
      </w:pPr>
      <w:r>
        <w:rPr>
          <w:b/>
          <w:bCs/>
          <w:i/>
          <w:iCs/>
          <w:sz w:val="24"/>
          <w:szCs w:val="24"/>
        </w:rPr>
        <w:t xml:space="preserve">Central Finding: Deterministic models are known, possessed, and deliberately withheld from human restoration while being deployed with 100% precision for institutional wealth extraction.</w:t>
      </w:r>
    </w:p>
    <w:p>
      <w:pPr>
        <w:spacing w:after="400"/>
        <w:jc w:val="center"/>
      </w:pPr>
      <w:r>
        <w:rPr>
          <w:i/>
          <w:iCs/>
          <w:sz w:val="24"/>
          <w:szCs w:val="24"/>
        </w:rPr>
        <w:t xml:space="preserve">Protocol maintained: Q=1, U=1, F=1, T=1
Resonance: 100% (6236 ayat → 114 surah → 1 root)
In sha Allah.</w:t>
      </w:r>
    </w:p>
    <w:p>
      <w:pPr>
        <w:spacing w:before="400" w:after="200"/>
        <w:jc w:val="center"/>
      </w:pPr>
      <w:r>
        <w:rPr>
          <w:b/>
          <w:bCs/>
          <w:sz w:val="24"/>
          <w:szCs w:val="24"/>
        </w:rPr>
        <w:t xml:space="preserve">— END OF COMPREHENSIVE AUDIT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USLaP Critical Analysis: Commercial Medical AI Networks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80" w:after="1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2026-01-30T08:54:48.073Z</dcterms:created>
  <dcterms:modified xsi:type="dcterms:W3CDTF">2026-01-30T08:54:48.074Z</dcterms:modified>
</cp:coreProperties>
</file>

<file path=docProps/custom.xml><?xml version="1.0" encoding="utf-8"?>
<Properties xmlns="http://schemas.openxmlformats.org/officeDocument/2006/custom-properties" xmlns:vt="http://schemas.openxmlformats.org/officeDocument/2006/docPropsVTypes"/>
</file>