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6"/>
          <w:szCs w:val="36"/>
        </w:rPr>
        <w:t xml:space="preserve">PALANTIR TECHNOLOGIES INC.</w:t>
      </w:r>
    </w:p>
    <w:p>
      <w:pPr>
        <w:spacing w:after="120"/>
        <w:jc w:val="center"/>
      </w:pPr>
      <w:r>
        <w:rPr>
          <w:b/>
          <w:bCs/>
          <w:sz w:val="28"/>
          <w:szCs w:val="28"/>
        </w:rPr>
        <w:t xml:space="preserve">Institutional Network Analysis</w:t>
      </w:r>
    </w:p>
    <w:p>
      <w:pPr>
        <w:spacing w:after="120"/>
        <w:jc w:val="center"/>
      </w:pPr>
      <w:r>
        <w:rPr>
          <w:i/>
          <w:iCs/>
          <w:sz w:val="22"/>
          <w:szCs w:val="22"/>
        </w:rPr>
        <w:t xml:space="preserve">Comprehensive Register of Contracts, Partnerships, and Documented Operations</w:t>
      </w:r>
    </w:p>
    <w:p>
      <w:pPr>
        <w:spacing w:after="400"/>
        <w:jc w:val="center"/>
      </w:pPr>
      <w:r>
        <w:rPr>
          <w:sz w:val="20"/>
          <w:szCs w:val="20"/>
        </w:rPr>
        <w:t xml:space="preserve">Compiled from Public Records, SEC Filings, USASpending.gov, and Investigative Journalism</w:t>
      </w:r>
    </w:p>
    <w:p>
      <w:pPr>
        <w:pStyle w:val="Heading1"/>
      </w:pPr>
      <w:r>
        <w:t xml:space="preserve">Section 1: Corporate Foundation and Ownership Structure</w:t>
      </w:r>
    </w:p>
    <w:p>
      <w:pPr>
        <w:pStyle w:val="Heading2"/>
      </w:pPr>
      <w:r>
        <w:t xml:space="preserve">1.1 Founding and Initial Capitalization</w:t>
      </w:r>
    </w:p>
    <w:p>
      <w:pPr>
        <w:spacing w:after="200"/>
      </w:pPr>
      <w:r>
        <w:rPr>
          <w:b/>
          <w:bCs/>
        </w:rPr>
        <w:t xml:space="preserve">Incorporation Date: </w:t>
      </w:r>
      <w:r>
        <w:t xml:space="preserve">2003 (Palo Alto, California)</w:t>
      </w:r>
    </w:p>
    <w:p>
      <w:pPr>
        <w:spacing w:after="200"/>
      </w:pPr>
      <w:r>
        <w:rPr>
          <w:b/>
          <w:bCs/>
        </w:rPr>
        <w:t xml:space="preserve">Current Headquarters: </w:t>
      </w:r>
      <w:r>
        <w:t xml:space="preserve">Denver, Colorado (relocated from Palo Alto)</w:t>
      </w:r>
    </w:p>
    <w:p>
      <w:pPr>
        <w:spacing w:after="200"/>
      </w:pPr>
      <w:r>
        <w:rPr>
          <w:b/>
          <w:bCs/>
        </w:rPr>
        <w:t xml:space="preserve">Named After: </w:t>
      </w:r>
      <w:r>
        <w:t xml:space="preserve">Palantir (seeing stone) from J.R.R. Tolkien's The Lord of the Rings</w:t>
      </w:r>
    </w:p>
    <w:p>
      <w:pPr>
        <w:pStyle w:val="Heading3"/>
      </w:pPr>
      <w:r>
        <w:t xml:space="preserve">Founders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000"/>
        <w:gridCol w:w="4020"/>
      </w:tblGrid>
      <w:tr>
        <w:tc>
          <w:tcPr>
            <w:tcW w:type="dxa" w:w="234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b/>
                <w:bCs/>
              </w:rPr>
              <w:t xml:space="preserve">Name</w:t>
            </w:r>
          </w:p>
        </w:tc>
        <w:tc>
          <w:tcPr>
            <w:tcW w:type="dxa" w:w="3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b/>
                <w:bCs/>
              </w:rPr>
              <w:t xml:space="preserve">Role</w:t>
            </w:r>
          </w:p>
        </w:tc>
        <w:tc>
          <w:tcPr>
            <w:tcW w:type="dxa" w:w="402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b/>
                <w:bCs/>
              </w:rPr>
              <w:t xml:space="preserve">Background Connection</w:t>
            </w:r>
          </w:p>
        </w:tc>
      </w:tr>
      <w:tr>
        <w:tc>
          <w:tcPr>
            <w:tcW w:type="dxa" w:w="2340"/>
            <w:tcBorders>
              <w:top w:val="single" w:color="888888" w:sz="1"/>
              <w:left w:val="single" w:color="888888" w:sz="1"/>
              <w:bottom w:val="single" w:color="888888" w:sz="1"/>
              <w:right w:val="single" w:color="888888" w:sz="1"/>
            </w:tcBorders>
            <w:tcMar>
              <w:top w:type="dxa" w:w="80"/>
              <w:left w:type="dxa" w:w="120"/>
              <w:bottom w:type="dxa" w:w="80"/>
              <w:right w:type="dxa" w:w="120"/>
            </w:tcMar>
          </w:tcPr>
          <w:p>
            <w:r>
              <w:t xml:space="preserve">Peter Thiel</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t xml:space="preserve">Co-founder, Chairman</w:t>
            </w:r>
          </w:p>
        </w:tc>
        <w:tc>
          <w:tcPr>
            <w:tcW w:type="dxa" w:w="4020"/>
            <w:tcBorders>
              <w:top w:val="single" w:color="888888" w:sz="1"/>
              <w:left w:val="single" w:color="888888" w:sz="1"/>
              <w:bottom w:val="single" w:color="888888" w:sz="1"/>
              <w:right w:val="single" w:color="888888" w:sz="1"/>
            </w:tcBorders>
            <w:tcMar>
              <w:top w:type="dxa" w:w="80"/>
              <w:left w:type="dxa" w:w="120"/>
              <w:bottom w:type="dxa" w:w="80"/>
              <w:right w:type="dxa" w:w="120"/>
            </w:tcMar>
          </w:tcPr>
          <w:p>
            <w:r>
              <w:t xml:space="preserve">PayPal co-founder; Founders Fund partner</w:t>
            </w:r>
          </w:p>
        </w:tc>
      </w:tr>
      <w:tr>
        <w:tc>
          <w:tcPr>
            <w:tcW w:type="dxa" w:w="2340"/>
            <w:tcBorders>
              <w:top w:val="single" w:color="888888" w:sz="1"/>
              <w:left w:val="single" w:color="888888" w:sz="1"/>
              <w:bottom w:val="single" w:color="888888" w:sz="1"/>
              <w:right w:val="single" w:color="888888" w:sz="1"/>
            </w:tcBorders>
            <w:tcMar>
              <w:top w:type="dxa" w:w="80"/>
              <w:left w:type="dxa" w:w="120"/>
              <w:bottom w:type="dxa" w:w="80"/>
              <w:right w:type="dxa" w:w="120"/>
            </w:tcMar>
          </w:tcPr>
          <w:p>
            <w:r>
              <w:t xml:space="preserve">Alex Karp</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t xml:space="preserve">Co-founder, CEO</w:t>
            </w:r>
          </w:p>
        </w:tc>
        <w:tc>
          <w:tcPr>
            <w:tcW w:type="dxa" w:w="4020"/>
            <w:tcBorders>
              <w:top w:val="single" w:color="888888" w:sz="1"/>
              <w:left w:val="single" w:color="888888" w:sz="1"/>
              <w:bottom w:val="single" w:color="888888" w:sz="1"/>
              <w:right w:val="single" w:color="888888" w:sz="1"/>
            </w:tcBorders>
            <w:tcMar>
              <w:top w:type="dxa" w:w="80"/>
              <w:left w:type="dxa" w:w="120"/>
              <w:bottom w:type="dxa" w:w="80"/>
              <w:right w:type="dxa" w:w="120"/>
            </w:tcMar>
          </w:tcPr>
          <w:p>
            <w:r>
              <w:t xml:space="preserve">Stanford Law School colleague of Thiel</w:t>
            </w:r>
          </w:p>
        </w:tc>
      </w:tr>
      <w:tr>
        <w:tc>
          <w:tcPr>
            <w:tcW w:type="dxa" w:w="2340"/>
            <w:tcBorders>
              <w:top w:val="single" w:color="888888" w:sz="1"/>
              <w:left w:val="single" w:color="888888" w:sz="1"/>
              <w:bottom w:val="single" w:color="888888" w:sz="1"/>
              <w:right w:val="single" w:color="888888" w:sz="1"/>
            </w:tcBorders>
            <w:tcMar>
              <w:top w:type="dxa" w:w="80"/>
              <w:left w:type="dxa" w:w="120"/>
              <w:bottom w:type="dxa" w:w="80"/>
              <w:right w:type="dxa" w:w="120"/>
            </w:tcMar>
          </w:tcPr>
          <w:p>
            <w:r>
              <w:t xml:space="preserve">Joe Lonsdale</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t xml:space="preserve">Co-founder</w:t>
            </w:r>
          </w:p>
        </w:tc>
        <w:tc>
          <w:tcPr>
            <w:tcW w:type="dxa" w:w="4020"/>
            <w:tcBorders>
              <w:top w:val="single" w:color="888888" w:sz="1"/>
              <w:left w:val="single" w:color="888888" w:sz="1"/>
              <w:bottom w:val="single" w:color="888888" w:sz="1"/>
              <w:right w:val="single" w:color="888888" w:sz="1"/>
            </w:tcBorders>
            <w:tcMar>
              <w:top w:type="dxa" w:w="80"/>
              <w:left w:type="dxa" w:w="120"/>
              <w:bottom w:type="dxa" w:w="80"/>
              <w:right w:type="dxa" w:w="120"/>
            </w:tcMar>
          </w:tcPr>
          <w:p>
            <w:r>
              <w:t xml:space="preserve">Stanford; later founded 8VC, Addepar</w:t>
            </w:r>
          </w:p>
        </w:tc>
      </w:tr>
      <w:tr>
        <w:tc>
          <w:tcPr>
            <w:tcW w:type="dxa" w:w="2340"/>
            <w:tcBorders>
              <w:top w:val="single" w:color="888888" w:sz="1"/>
              <w:left w:val="single" w:color="888888" w:sz="1"/>
              <w:bottom w:val="single" w:color="888888" w:sz="1"/>
              <w:right w:val="single" w:color="888888" w:sz="1"/>
            </w:tcBorders>
            <w:tcMar>
              <w:top w:type="dxa" w:w="80"/>
              <w:left w:type="dxa" w:w="120"/>
              <w:bottom w:type="dxa" w:w="80"/>
              <w:right w:type="dxa" w:w="120"/>
            </w:tcMar>
          </w:tcPr>
          <w:p>
            <w:r>
              <w:t xml:space="preserve">Stephen Cohen</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t xml:space="preserve">Co-founder</w:t>
            </w:r>
          </w:p>
        </w:tc>
        <w:tc>
          <w:tcPr>
            <w:tcW w:type="dxa" w:w="4020"/>
            <w:tcBorders>
              <w:top w:val="single" w:color="888888" w:sz="1"/>
              <w:left w:val="single" w:color="888888" w:sz="1"/>
              <w:bottom w:val="single" w:color="888888" w:sz="1"/>
              <w:right w:val="single" w:color="888888" w:sz="1"/>
            </w:tcBorders>
            <w:tcMar>
              <w:top w:type="dxa" w:w="80"/>
              <w:left w:type="dxa" w:w="120"/>
              <w:bottom w:type="dxa" w:w="80"/>
              <w:right w:type="dxa" w:w="120"/>
            </w:tcMar>
          </w:tcPr>
          <w:p>
            <w:r>
              <w:t xml:space="preserve">Stanford University student</w:t>
            </w:r>
          </w:p>
        </w:tc>
      </w:tr>
      <w:tr>
        <w:tc>
          <w:tcPr>
            <w:tcW w:type="dxa" w:w="2340"/>
            <w:tcBorders>
              <w:top w:val="single" w:color="888888" w:sz="1"/>
              <w:left w:val="single" w:color="888888" w:sz="1"/>
              <w:bottom w:val="single" w:color="888888" w:sz="1"/>
              <w:right w:val="single" w:color="888888" w:sz="1"/>
            </w:tcBorders>
            <w:tcMar>
              <w:top w:type="dxa" w:w="80"/>
              <w:left w:type="dxa" w:w="120"/>
              <w:bottom w:type="dxa" w:w="80"/>
              <w:right w:type="dxa" w:w="120"/>
            </w:tcMar>
          </w:tcPr>
          <w:p>
            <w:r>
              <w:t xml:space="preserve">Nathan Gettings</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t xml:space="preserve">Co-founder</w:t>
            </w:r>
          </w:p>
        </w:tc>
        <w:tc>
          <w:tcPr>
            <w:tcW w:type="dxa" w:w="4020"/>
            <w:tcBorders>
              <w:top w:val="single" w:color="888888" w:sz="1"/>
              <w:left w:val="single" w:color="888888" w:sz="1"/>
              <w:bottom w:val="single" w:color="888888" w:sz="1"/>
              <w:right w:val="single" w:color="888888" w:sz="1"/>
            </w:tcBorders>
            <w:tcMar>
              <w:top w:type="dxa" w:w="80"/>
              <w:left w:type="dxa" w:w="120"/>
              <w:bottom w:type="dxa" w:w="80"/>
              <w:right w:type="dxa" w:w="120"/>
            </w:tcMar>
          </w:tcPr>
          <w:p>
            <w:r>
              <w:t xml:space="preserve">PayPal engineer</w:t>
            </w:r>
          </w:p>
        </w:tc>
      </w:tr>
    </w:tbl>
    <w:p>
      <w:pPr>
        <w:pStyle w:val="Heading3"/>
        <w:spacing w:before="300" w:after="200"/>
      </w:pPr>
      <w:r>
        <w:t xml:space="preserve">Initial Funding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b/>
                <w:bCs/>
              </w:rPr>
              <w:t xml:space="preserve">Source</w:t>
            </w:r>
          </w:p>
        </w:tc>
        <w:tc>
          <w:tcPr>
            <w:tcW w:type="dxa" w:w="234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b/>
                <w:bCs/>
              </w:rPr>
              <w:t xml:space="preserve">Amount</w:t>
            </w:r>
          </w:p>
        </w:tc>
        <w:tc>
          <w:tcPr>
            <w:tcW w:type="dxa" w:w="468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b/>
                <w:bCs/>
              </w:rPr>
              <w:t xml:space="preserve">Significance</w:t>
            </w:r>
          </w:p>
        </w:tc>
      </w:tr>
      <w:tr>
        <w:tc>
          <w:tcPr>
            <w:tcW w:type="dxa" w:w="2340"/>
            <w:tcBorders>
              <w:top w:val="single" w:color="888888" w:sz="1"/>
              <w:left w:val="single" w:color="888888" w:sz="1"/>
              <w:bottom w:val="single" w:color="888888" w:sz="1"/>
              <w:right w:val="single" w:color="888888" w:sz="1"/>
            </w:tcBorders>
            <w:tcMar>
              <w:top w:type="dxa" w:w="80"/>
              <w:left w:type="dxa" w:w="120"/>
              <w:bottom w:type="dxa" w:w="80"/>
              <w:right w:type="dxa" w:w="120"/>
            </w:tcMar>
          </w:tcPr>
          <w:p>
            <w:r>
              <w:t xml:space="preserve">Peter Thiel (personal)</w:t>
            </w:r>
          </w:p>
        </w:tc>
        <w:tc>
          <w:tcPr>
            <w:tcW w:type="dxa" w:w="2340"/>
            <w:tcBorders>
              <w:top w:val="single" w:color="888888" w:sz="1"/>
              <w:left w:val="single" w:color="888888" w:sz="1"/>
              <w:bottom w:val="single" w:color="888888" w:sz="1"/>
              <w:right w:val="single" w:color="888888" w:sz="1"/>
            </w:tcBorders>
            <w:tcMar>
              <w:top w:type="dxa" w:w="80"/>
              <w:left w:type="dxa" w:w="120"/>
              <w:bottom w:type="dxa" w:w="80"/>
              <w:right w:type="dxa" w:w="120"/>
            </w:tcMar>
          </w:tcPr>
          <w:p>
            <w:r>
              <w:t xml:space="preserve">$30 million</w:t>
            </w:r>
          </w:p>
        </w:tc>
        <w:tc>
          <w:tcPr>
            <w:tcW w:type="dxa" w:w="4680"/>
            <w:tcBorders>
              <w:top w:val="single" w:color="888888" w:sz="1"/>
              <w:left w:val="single" w:color="888888" w:sz="1"/>
              <w:bottom w:val="single" w:color="888888" w:sz="1"/>
              <w:right w:val="single" w:color="888888" w:sz="1"/>
            </w:tcBorders>
            <w:tcMar>
              <w:top w:type="dxa" w:w="80"/>
              <w:left w:type="dxa" w:w="120"/>
              <w:bottom w:type="dxa" w:w="80"/>
              <w:right w:type="dxa" w:w="120"/>
            </w:tcMar>
          </w:tcPr>
          <w:p>
            <w:r>
              <w:t xml:space="preserve">Seed capital per WSJ</w:t>
            </w:r>
          </w:p>
        </w:tc>
      </w:tr>
      <w:tr>
        <w:tc>
          <w:tcPr>
            <w:tcW w:type="dxa" w:w="2340"/>
            <w:tcBorders>
              <w:top w:val="single" w:color="888888" w:sz="1"/>
              <w:left w:val="single" w:color="888888" w:sz="1"/>
              <w:bottom w:val="single" w:color="888888" w:sz="1"/>
              <w:right w:val="single" w:color="888888" w:sz="1"/>
            </w:tcBorders>
            <w:tcMar>
              <w:top w:type="dxa" w:w="80"/>
              <w:left w:type="dxa" w:w="120"/>
              <w:bottom w:type="dxa" w:w="80"/>
              <w:right w:type="dxa" w:w="120"/>
            </w:tcMar>
          </w:tcPr>
          <w:p>
            <w:r>
              <w:t xml:space="preserve">In-Q-Tel (CIA)</w:t>
            </w:r>
          </w:p>
        </w:tc>
        <w:tc>
          <w:tcPr>
            <w:tcW w:type="dxa" w:w="2340"/>
            <w:tcBorders>
              <w:top w:val="single" w:color="888888" w:sz="1"/>
              <w:left w:val="single" w:color="888888" w:sz="1"/>
              <w:bottom w:val="single" w:color="888888" w:sz="1"/>
              <w:right w:val="single" w:color="888888" w:sz="1"/>
            </w:tcBorders>
            <w:tcMar>
              <w:top w:type="dxa" w:w="80"/>
              <w:left w:type="dxa" w:w="120"/>
              <w:bottom w:type="dxa" w:w="80"/>
              <w:right w:type="dxa" w:w="120"/>
            </w:tcMar>
          </w:tcPr>
          <w:p>
            <w:r>
              <w:t xml:space="preserve">$2 million</w:t>
            </w:r>
          </w:p>
        </w:tc>
        <w:tc>
          <w:tcPr>
            <w:tcW w:type="dxa" w:w="4680"/>
            <w:tcBorders>
              <w:top w:val="single" w:color="888888" w:sz="1"/>
              <w:left w:val="single" w:color="888888" w:sz="1"/>
              <w:bottom w:val="single" w:color="888888" w:sz="1"/>
              <w:right w:val="single" w:color="888888" w:sz="1"/>
            </w:tcBorders>
            <w:tcMar>
              <w:top w:type="dxa" w:w="80"/>
              <w:left w:type="dxa" w:w="120"/>
              <w:bottom w:type="dxa" w:w="80"/>
              <w:right w:type="dxa" w:w="120"/>
            </w:tcMar>
          </w:tcPr>
          <w:p>
            <w:r>
              <w:t xml:space="preserve">2004-2005; CIA venture capital arm</w:t>
            </w:r>
          </w:p>
        </w:tc>
      </w:tr>
    </w:tbl>
    <w:p>
      <w:pPr>
        <w:spacing w:before="300" w:after="200"/>
      </w:pPr>
      <w:r>
        <w:rPr>
          <w:b/>
          <w:bCs/>
        </w:rPr>
        <w:t xml:space="preserve">PayPal Fraud Detection Origin: </w:t>
      </w:r>
      <w:r>
        <w:t xml:space="preserve">According to Anthony King, the FBI first recognized the success of PayPal's fraud detection system (named 'Igor') and requested it for detecting financial crime. Palantir evolved from that software.</w:t>
      </w:r>
    </w:p>
    <w:p>
      <w:r>
        <w:br w:type="page"/>
      </w:r>
    </w:p>
    <w:p>
      <w:pPr>
        <w:pStyle w:val="Heading1"/>
      </w:pPr>
      <w:r>
        <w:t xml:space="preserve">Section 2: Department of Defense Contracts Register</w:t>
      </w:r>
    </w:p>
    <w:p>
      <w:pPr>
        <w:spacing w:after="200"/>
      </w:pPr>
      <w:r>
        <w:rPr>
          <w:b/>
          <w:bCs/>
        </w:rPr>
        <w:t xml:space="preserve">Total DOD Contract Value (2008-September 2024): </w:t>
      </w:r>
      <w:r>
        <w:t xml:space="preserve">Approximately $1.65 billion (USASpending.gov)</w:t>
      </w:r>
    </w:p>
    <w:p>
      <w:pPr>
        <w:pStyle w:val="Heading2"/>
      </w:pPr>
      <w:r>
        <w:t xml:space="preserve">2.1 Project Maven (Maven Smart System)</w:t>
      </w:r>
    </w:p>
    <w:p>
      <w:pPr>
        <w:spacing w:after="200"/>
      </w:pPr>
      <w:r>
        <w:rPr>
          <w:b/>
          <w:bCs/>
        </w:rPr>
        <w:t xml:space="preserve">Project Origin: </w:t>
      </w:r>
      <w:r>
        <w:t xml:space="preserve">Established by U.S. Deputy Secretary of Defense memo on April 26, 2017. Originally led by Robert O. Work.</w:t>
      </w:r>
    </w:p>
    <w:p>
      <w:pPr>
        <w:spacing w:after="200"/>
      </w:pPr>
      <w:r>
        <w:rPr>
          <w:b/>
          <w:bCs/>
        </w:rPr>
        <w:t xml:space="preserve">Google Withdrawal: </w:t>
      </w:r>
      <w:r>
        <w:t xml:space="preserve">In 2018, Google declined to renew its Project Maven contract after over 4,000 employees signed a petition and dozens resigned. Palantir took over the contract.</w:t>
      </w:r>
    </w:p>
    <w:p>
      <w:pPr>
        <w:pStyle w:val="Heading3"/>
      </w:pPr>
      <w:r>
        <w:t xml:space="preserve">Maven Contract Timeline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5400"/>
      </w:tblGrid>
      <w:tr>
        <w:tc>
          <w:tcPr>
            <w:tcW w:type="dxa" w:w="1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b/>
                <w:bCs/>
              </w:rPr>
              <w:t xml:space="preserve">Date</w:t>
            </w:r>
          </w:p>
        </w:tc>
        <w:tc>
          <w:tcPr>
            <w:tcW w:type="dxa" w:w="216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b/>
                <w:bCs/>
              </w:rPr>
              <w:t xml:space="preserve">Value</w:t>
            </w:r>
          </w:p>
        </w:tc>
        <w:tc>
          <w:tcPr>
            <w:tcW w:type="dxa" w:w="5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b/>
                <w:bCs/>
              </w:rPr>
              <w:t xml:space="preserve">Details</w:t>
            </w:r>
          </w:p>
        </w:tc>
      </w:tr>
      <w:tr>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t xml:space="preserve">2021</w:t>
            </w:r>
          </w:p>
        </w:tc>
        <w:tc>
          <w:tcPr>
            <w:tcW w:type="dxa" w:w="2160"/>
            <w:tcBorders>
              <w:top w:val="single" w:color="888888" w:sz="1"/>
              <w:left w:val="single" w:color="888888" w:sz="1"/>
              <w:bottom w:val="single" w:color="888888" w:sz="1"/>
              <w:right w:val="single" w:color="888888" w:sz="1"/>
            </w:tcBorders>
            <w:tcMar>
              <w:top w:type="dxa" w:w="80"/>
              <w:left w:type="dxa" w:w="120"/>
              <w:bottom w:type="dxa" w:w="80"/>
              <w:right w:type="dxa" w:w="120"/>
            </w:tcMar>
          </w:tcPr>
          <w:p>
            <w:r>
              <w:t xml:space="preserve">Prototype award</w:t>
            </w:r>
          </w:p>
        </w:tc>
        <w:tc>
          <w:tcPr>
            <w:tcW w:type="dxa" w:w="5400"/>
            <w:tcBorders>
              <w:top w:val="single" w:color="888888" w:sz="1"/>
              <w:left w:val="single" w:color="888888" w:sz="1"/>
              <w:bottom w:val="single" w:color="888888" w:sz="1"/>
              <w:right w:val="single" w:color="888888" w:sz="1"/>
            </w:tcBorders>
            <w:tcMar>
              <w:top w:type="dxa" w:w="80"/>
              <w:left w:type="dxa" w:w="120"/>
              <w:bottom w:type="dxa" w:w="80"/>
              <w:right w:type="dxa" w:w="120"/>
            </w:tcMar>
          </w:tcPr>
          <w:p>
            <w:r>
              <w:t xml:space="preserve">Initial Maven Smart System prototype to small user set</w:t>
            </w:r>
          </w:p>
        </w:tc>
      </w:tr>
      <w:tr>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t xml:space="preserve">May 29, 2024</w:t>
            </w:r>
          </w:p>
        </w:tc>
        <w:tc>
          <w:tcPr>
            <w:tcW w:type="dxa" w:w="2160"/>
            <w:tcBorders>
              <w:top w:val="single" w:color="888888" w:sz="1"/>
              <w:left w:val="single" w:color="888888" w:sz="1"/>
              <w:bottom w:val="single" w:color="888888" w:sz="1"/>
              <w:right w:val="single" w:color="888888" w:sz="1"/>
            </w:tcBorders>
            <w:tcMar>
              <w:top w:type="dxa" w:w="80"/>
              <w:left w:type="dxa" w:w="120"/>
              <w:bottom w:type="dxa" w:w="80"/>
              <w:right w:type="dxa" w:w="120"/>
            </w:tcMar>
          </w:tcPr>
          <w:p>
            <w:r>
              <w:t xml:space="preserve">$480 million</w:t>
            </w:r>
          </w:p>
        </w:tc>
        <w:tc>
          <w:tcPr>
            <w:tcW w:type="dxa" w:w="5400"/>
            <w:tcBorders>
              <w:top w:val="single" w:color="888888" w:sz="1"/>
              <w:left w:val="single" w:color="888888" w:sz="1"/>
              <w:bottom w:val="single" w:color="888888" w:sz="1"/>
              <w:right w:val="single" w:color="888888" w:sz="1"/>
            </w:tcBorders>
            <w:tcMar>
              <w:top w:type="dxa" w:w="80"/>
              <w:left w:type="dxa" w:w="120"/>
              <w:bottom w:type="dxa" w:w="80"/>
              <w:right w:type="dxa" w:w="120"/>
            </w:tcMar>
          </w:tcPr>
          <w:p>
            <w:r>
              <w:t xml:space="preserve">5-year IDIQ contract; initial $153M task order</w:t>
            </w:r>
          </w:p>
        </w:tc>
      </w:tr>
      <w:tr>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t xml:space="preserve">May 2024</w:t>
            </w:r>
          </w:p>
        </w:tc>
        <w:tc>
          <w:tcPr>
            <w:tcW w:type="dxa" w:w="2160"/>
            <w:tcBorders>
              <w:top w:val="single" w:color="888888" w:sz="1"/>
              <w:left w:val="single" w:color="888888" w:sz="1"/>
              <w:bottom w:val="single" w:color="888888" w:sz="1"/>
              <w:right w:val="single" w:color="888888" w:sz="1"/>
            </w:tcBorders>
            <w:tcMar>
              <w:top w:type="dxa" w:w="80"/>
              <w:left w:type="dxa" w:w="120"/>
              <w:bottom w:type="dxa" w:w="80"/>
              <w:right w:type="dxa" w:w="120"/>
            </w:tcMar>
          </w:tcPr>
          <w:p>
            <w:r>
              <w:t xml:space="preserve">$33 million OTA</w:t>
            </w:r>
          </w:p>
        </w:tc>
        <w:tc>
          <w:tcPr>
            <w:tcW w:type="dxa" w:w="5400"/>
            <w:tcBorders>
              <w:top w:val="single" w:color="888888" w:sz="1"/>
              <w:left w:val="single" w:color="888888" w:sz="1"/>
              <w:bottom w:val="single" w:color="888888" w:sz="1"/>
              <w:right w:val="single" w:color="888888" w:sz="1"/>
            </w:tcBorders>
            <w:tcMar>
              <w:top w:type="dxa" w:w="80"/>
              <w:left w:type="dxa" w:w="120"/>
              <w:bottom w:type="dxa" w:w="80"/>
              <w:right w:type="dxa" w:w="120"/>
            </w:tcMar>
          </w:tcPr>
          <w:p>
            <w:r>
              <w:t xml:space="preserve">Other Transaction Authority for third-party integration</w:t>
            </w:r>
          </w:p>
        </w:tc>
      </w:tr>
      <w:tr>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t xml:space="preserve">May 21, 2025</w:t>
            </w:r>
          </w:p>
        </w:tc>
        <w:tc>
          <w:tcPr>
            <w:tcW w:type="dxa" w:w="2160"/>
            <w:tcBorders>
              <w:top w:val="single" w:color="888888" w:sz="1"/>
              <w:left w:val="single" w:color="888888" w:sz="1"/>
              <w:bottom w:val="single" w:color="888888" w:sz="1"/>
              <w:right w:val="single" w:color="888888" w:sz="1"/>
            </w:tcBorders>
            <w:tcMar>
              <w:top w:type="dxa" w:w="80"/>
              <w:left w:type="dxa" w:w="120"/>
              <w:bottom w:type="dxa" w:w="80"/>
              <w:right w:type="dxa" w:w="120"/>
            </w:tcMar>
          </w:tcPr>
          <w:p>
            <w:r>
              <w:t xml:space="preserve">+$795 million</w:t>
            </w:r>
          </w:p>
        </w:tc>
        <w:tc>
          <w:tcPr>
            <w:tcW w:type="dxa" w:w="5400"/>
            <w:tcBorders>
              <w:top w:val="single" w:color="888888" w:sz="1"/>
              <w:left w:val="single" w:color="888888" w:sz="1"/>
              <w:bottom w:val="single" w:color="888888" w:sz="1"/>
              <w:right w:val="single" w:color="888888" w:sz="1"/>
            </w:tcBorders>
            <w:tcMar>
              <w:top w:type="dxa" w:w="80"/>
              <w:left w:type="dxa" w:w="120"/>
              <w:bottom w:type="dxa" w:w="80"/>
              <w:right w:type="dxa" w:w="120"/>
            </w:tcMar>
          </w:tcPr>
          <w:p>
            <w:r>
              <w:t xml:space="preserve">Ceiling raised to $1.275B through 2029</w:t>
            </w:r>
          </w:p>
        </w:tc>
      </w:tr>
    </w:tbl>
    <w:p>
      <w:pPr>
        <w:pStyle w:val="Heading3"/>
        <w:spacing w:before="300"/>
      </w:pPr>
      <w:r>
        <w:t xml:space="preserve">Maven Technical Specifications</w:t>
      </w:r>
    </w:p>
    <w:p>
      <w:pPr>
        <w:spacing w:after="200"/>
      </w:pPr>
      <w:r>
        <w:rPr>
          <w:b/>
          <w:bCs/>
        </w:rPr>
        <w:t xml:space="preserve">Data Sources: </w:t>
      </w:r>
      <w:r>
        <w:t xml:space="preserve">Satellite imagery, drone imagery, full-motion video, geolocation data (IP address, geotag, metadata), communications intercepts, infrared sensors, synthetic-aperture radar</w:t>
      </w:r>
    </w:p>
    <w:p>
      <w:pPr>
        <w:spacing w:after="200"/>
      </w:pPr>
      <w:r>
        <w:rPr>
          <w:b/>
          <w:bCs/>
        </w:rPr>
        <w:t xml:space="preserve">Training Dataset: </w:t>
      </w:r>
      <w:r>
        <w:t xml:space="preserve">At least 4 million images of military objects labeled by humans</w:t>
      </w:r>
    </w:p>
    <w:p>
      <w:pPr>
        <w:spacing w:after="200"/>
      </w:pPr>
      <w:r>
        <w:rPr>
          <w:b/>
          <w:bCs/>
        </w:rPr>
        <w:t xml:space="preserve">Active Users (May 2025): </w:t>
      </w:r>
      <w:r>
        <w:t xml:space="preserve">Over 20,000 across 35+ military tools. User base quadrupled since March 2024.</w:t>
      </w:r>
    </w:p>
    <w:p>
      <w:pPr>
        <w:spacing w:after="200"/>
      </w:pPr>
      <w:r>
        <w:rPr>
          <w:b/>
          <w:bCs/>
        </w:rPr>
        <w:t xml:space="preserve">Documented Operational Use (February 2024): </w:t>
      </w:r>
      <w:r>
        <w:t xml:space="preserve">Targeting for airstrikes in Iraq and Syria; locating rocket launchers in Yemen and surface vessels in Red Sea per CENTCOM.</w:t>
      </w:r>
    </w:p>
    <w:p>
      <w:pPr>
        <w:pStyle w:val="Heading2"/>
      </w:pPr>
      <w:r>
        <w:t xml:space="preserve">2.2 Other Major DOD Contracts</w:t>
      </w:r>
    </w:p>
    <w:p>
      <w:pPr>
        <w:spacing w:after="200"/>
      </w:pPr>
      <w:r>
        <w:rPr>
          <w:b/>
          <w:bCs/>
        </w:rPr>
        <w:t xml:space="preserve">Army Vantage (Dec 2024): </w:t>
      </w:r>
      <w:r>
        <w:t xml:space="preserve">$619 million ceiling, 4-year contract</w:t>
      </w:r>
    </w:p>
    <w:p>
      <w:pPr>
        <w:spacing w:after="200"/>
      </w:pPr>
      <w:r>
        <w:rPr>
          <w:b/>
          <w:bCs/>
        </w:rPr>
        <w:t xml:space="preserve">Army Enterprise Agreement (2025): </w:t>
      </w:r>
      <w:r>
        <w:t xml:space="preserve">Up to $10 billion over 10 years</w:t>
      </w:r>
    </w:p>
    <w:p>
      <w:pPr>
        <w:spacing w:after="200"/>
      </w:pPr>
      <w:r>
        <w:rPr>
          <w:b/>
          <w:bCs/>
        </w:rPr>
        <w:t xml:space="preserve">Navy Contract (Nov 2024): </w:t>
      </w:r>
      <w:r>
        <w:t xml:space="preserve">Nearly $1 billion</w:t>
      </w:r>
    </w:p>
    <w:p>
      <w:r>
        <w:br w:type="page"/>
      </w:r>
    </w:p>
    <w:p>
      <w:pPr>
        <w:pStyle w:val="Heading1"/>
      </w:pPr>
      <w:r>
        <w:t xml:space="preserve">Section 3: ICE Contracts Register</w:t>
      </w:r>
    </w:p>
    <w:p>
      <w:pPr>
        <w:spacing w:after="200"/>
      </w:pPr>
      <w:r>
        <w:rPr>
          <w:b/>
          <w:bCs/>
        </w:rPr>
        <w:t xml:space="preserve">Total ICE Contract Value (2011-2024): </w:t>
      </w:r>
      <w:r>
        <w:t xml:space="preserve">At least $257 million (USASpending.gov)</w:t>
      </w:r>
    </w:p>
    <w:p>
      <w:pPr>
        <w:pStyle w:val="Heading2"/>
      </w:pPr>
      <w:r>
        <w:t xml:space="preserve">3.1 Contract Timeline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2700"/>
        <w:gridCol w:w="3300"/>
      </w:tblGrid>
      <w:tr>
        <w:tc>
          <w:tcPr>
            <w:tcW w:type="dxa" w:w="156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b/>
                <w:bCs/>
              </w:rPr>
              <w:t xml:space="preserve">Year</w:t>
            </w:r>
          </w:p>
        </w:tc>
        <w:tc>
          <w:tcPr>
            <w:tcW w:type="dxa" w:w="1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b/>
                <w:bCs/>
              </w:rPr>
              <w:t xml:space="preserve">Value</w:t>
            </w:r>
          </w:p>
        </w:tc>
        <w:tc>
          <w:tcPr>
            <w:tcW w:type="dxa" w:w="27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b/>
                <w:bCs/>
              </w:rPr>
              <w:t xml:space="preserve">Product</w:t>
            </w:r>
          </w:p>
        </w:tc>
        <w:tc>
          <w:tcPr>
            <w:tcW w:type="dxa" w:w="33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b/>
                <w:bCs/>
              </w:rPr>
              <w:t xml:space="preserve">Details</w:t>
            </w:r>
          </w:p>
        </w:tc>
      </w:tr>
      <w:tr>
        <w:tc>
          <w:tcPr>
            <w:tcW w:type="dxa" w:w="1560"/>
            <w:tcBorders>
              <w:top w:val="single" w:color="888888" w:sz="1"/>
              <w:left w:val="single" w:color="888888" w:sz="1"/>
              <w:bottom w:val="single" w:color="888888" w:sz="1"/>
              <w:right w:val="single" w:color="888888" w:sz="1"/>
            </w:tcBorders>
            <w:tcMar>
              <w:top w:type="dxa" w:w="80"/>
              <w:left w:type="dxa" w:w="120"/>
              <w:bottom w:type="dxa" w:w="80"/>
              <w:right w:type="dxa" w:w="120"/>
            </w:tcMar>
          </w:tcPr>
          <w:p>
            <w:r>
              <w:t xml:space="preserve">2011</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t xml:space="preserve">$58,122</w:t>
            </w:r>
          </w:p>
        </w:tc>
        <w:tc>
          <w:tcPr>
            <w:tcW w:type="dxa" w:w="2700"/>
            <w:tcBorders>
              <w:top w:val="single" w:color="888888" w:sz="1"/>
              <w:left w:val="single" w:color="888888" w:sz="1"/>
              <w:bottom w:val="single" w:color="888888" w:sz="1"/>
              <w:right w:val="single" w:color="888888" w:sz="1"/>
            </w:tcBorders>
            <w:tcMar>
              <w:top w:type="dxa" w:w="80"/>
              <w:left w:type="dxa" w:w="120"/>
              <w:bottom w:type="dxa" w:w="80"/>
              <w:right w:type="dxa" w:w="120"/>
            </w:tcMar>
          </w:tcPr>
          <w:p>
            <w:r>
              <w:t xml:space="preserve">Infrastructure</w:t>
            </w:r>
          </w:p>
        </w:tc>
        <w:tc>
          <w:tcPr>
            <w:tcW w:type="dxa" w:w="3300"/>
            <w:tcBorders>
              <w:top w:val="single" w:color="888888" w:sz="1"/>
              <w:left w:val="single" w:color="888888" w:sz="1"/>
              <w:bottom w:val="single" w:color="888888" w:sz="1"/>
              <w:right w:val="single" w:color="888888" w:sz="1"/>
            </w:tcBorders>
            <w:tcMar>
              <w:top w:type="dxa" w:w="80"/>
              <w:left w:type="dxa" w:w="120"/>
              <w:bottom w:type="dxa" w:w="80"/>
              <w:right w:type="dxa" w:w="120"/>
            </w:tcMar>
          </w:tcPr>
          <w:p>
            <w:r>
              <w:t xml:space="preserve">Dell servers, licensing, training</w:t>
            </w:r>
          </w:p>
        </w:tc>
      </w:tr>
      <w:tr>
        <w:tc>
          <w:tcPr>
            <w:tcW w:type="dxa" w:w="1560"/>
            <w:tcBorders>
              <w:top w:val="single" w:color="888888" w:sz="1"/>
              <w:left w:val="single" w:color="888888" w:sz="1"/>
              <w:bottom w:val="single" w:color="888888" w:sz="1"/>
              <w:right w:val="single" w:color="888888" w:sz="1"/>
            </w:tcBorders>
            <w:tcMar>
              <w:top w:type="dxa" w:w="80"/>
              <w:left w:type="dxa" w:w="120"/>
              <w:bottom w:type="dxa" w:w="80"/>
              <w:right w:type="dxa" w:w="120"/>
            </w:tcMar>
          </w:tcPr>
          <w:p>
            <w:r>
              <w:t xml:space="preserve">2014</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t xml:space="preserve">$41+ million</w:t>
            </w:r>
          </w:p>
        </w:tc>
        <w:tc>
          <w:tcPr>
            <w:tcW w:type="dxa" w:w="2700"/>
            <w:tcBorders>
              <w:top w:val="single" w:color="888888" w:sz="1"/>
              <w:left w:val="single" w:color="888888" w:sz="1"/>
              <w:bottom w:val="single" w:color="888888" w:sz="1"/>
              <w:right w:val="single" w:color="888888" w:sz="1"/>
            </w:tcBorders>
            <w:tcMar>
              <w:top w:type="dxa" w:w="80"/>
              <w:left w:type="dxa" w:w="120"/>
              <w:bottom w:type="dxa" w:w="80"/>
              <w:right w:type="dxa" w:w="120"/>
            </w:tcMar>
          </w:tcPr>
          <w:p>
            <w:r>
              <w:t xml:space="preserve">FALCON, ICM</w:t>
            </w:r>
          </w:p>
        </w:tc>
        <w:tc>
          <w:tcPr>
            <w:tcW w:type="dxa" w:w="3300"/>
            <w:tcBorders>
              <w:top w:val="single" w:color="888888" w:sz="1"/>
              <w:left w:val="single" w:color="888888" w:sz="1"/>
              <w:bottom w:val="single" w:color="888888" w:sz="1"/>
              <w:right w:val="single" w:color="888888" w:sz="1"/>
            </w:tcBorders>
            <w:tcMar>
              <w:top w:type="dxa" w:w="80"/>
              <w:left w:type="dxa" w:w="120"/>
              <w:bottom w:type="dxa" w:w="80"/>
              <w:right w:type="dxa" w:w="120"/>
            </w:tcMar>
          </w:tcPr>
          <w:p>
            <w:r>
              <w:t xml:space="preserve">Build ICM system for HSI</w:t>
            </w:r>
          </w:p>
        </w:tc>
      </w:tr>
      <w:tr>
        <w:tc>
          <w:tcPr>
            <w:tcW w:type="dxa" w:w="1560"/>
            <w:tcBorders>
              <w:top w:val="single" w:color="888888" w:sz="1"/>
              <w:left w:val="single" w:color="888888" w:sz="1"/>
              <w:bottom w:val="single" w:color="888888" w:sz="1"/>
              <w:right w:val="single" w:color="888888" w:sz="1"/>
            </w:tcBorders>
            <w:tcMar>
              <w:top w:type="dxa" w:w="80"/>
              <w:left w:type="dxa" w:w="120"/>
              <w:bottom w:type="dxa" w:w="80"/>
              <w:right w:type="dxa" w:w="120"/>
            </w:tcMar>
          </w:tcPr>
          <w:p>
            <w:r>
              <w:t xml:space="preserve">2022</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t xml:space="preserve">$97.7 million</w:t>
            </w:r>
          </w:p>
        </w:tc>
        <w:tc>
          <w:tcPr>
            <w:tcW w:type="dxa" w:w="2700"/>
            <w:tcBorders>
              <w:top w:val="single" w:color="888888" w:sz="1"/>
              <w:left w:val="single" w:color="888888" w:sz="1"/>
              <w:bottom w:val="single" w:color="888888" w:sz="1"/>
              <w:right w:val="single" w:color="888888" w:sz="1"/>
            </w:tcBorders>
            <w:tcMar>
              <w:top w:type="dxa" w:w="80"/>
              <w:left w:type="dxa" w:w="120"/>
              <w:bottom w:type="dxa" w:w="80"/>
              <w:right w:type="dxa" w:w="120"/>
            </w:tcMar>
          </w:tcPr>
          <w:p>
            <w:r>
              <w:t xml:space="preserve">ICM maintenance</w:t>
            </w:r>
          </w:p>
        </w:tc>
        <w:tc>
          <w:tcPr>
            <w:tcW w:type="dxa" w:w="3300"/>
            <w:tcBorders>
              <w:top w:val="single" w:color="888888" w:sz="1"/>
              <w:left w:val="single" w:color="888888" w:sz="1"/>
              <w:bottom w:val="single" w:color="888888" w:sz="1"/>
              <w:right w:val="single" w:color="888888" w:sz="1"/>
            </w:tcBorders>
            <w:tcMar>
              <w:top w:type="dxa" w:w="80"/>
              <w:left w:type="dxa" w:w="120"/>
              <w:bottom w:type="dxa" w:w="80"/>
              <w:right w:type="dxa" w:w="120"/>
            </w:tcMar>
          </w:tcPr>
          <w:p>
            <w:r>
              <w:t xml:space="preserve">3-year operation contract</w:t>
            </w:r>
          </w:p>
        </w:tc>
      </w:tr>
      <w:tr>
        <w:tc>
          <w:tcPr>
            <w:tcW w:type="dxa" w:w="1560"/>
            <w:tcBorders>
              <w:top w:val="single" w:color="888888" w:sz="1"/>
              <w:left w:val="single" w:color="888888" w:sz="1"/>
              <w:bottom w:val="single" w:color="888888" w:sz="1"/>
              <w:right w:val="single" w:color="888888" w:sz="1"/>
            </w:tcBorders>
            <w:tcMar>
              <w:top w:type="dxa" w:w="80"/>
              <w:left w:type="dxa" w:w="120"/>
              <w:bottom w:type="dxa" w:w="80"/>
              <w:right w:type="dxa" w:w="120"/>
            </w:tcMar>
          </w:tcPr>
          <w:p>
            <w:r>
              <w:t xml:space="preserve">April 2025</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t xml:space="preserve">$30 million</w:t>
            </w:r>
          </w:p>
        </w:tc>
        <w:tc>
          <w:tcPr>
            <w:tcW w:type="dxa" w:w="2700"/>
            <w:tcBorders>
              <w:top w:val="single" w:color="888888" w:sz="1"/>
              <w:left w:val="single" w:color="888888" w:sz="1"/>
              <w:bottom w:val="single" w:color="888888" w:sz="1"/>
              <w:right w:val="single" w:color="888888" w:sz="1"/>
            </w:tcBorders>
            <w:tcMar>
              <w:top w:type="dxa" w:w="80"/>
              <w:left w:type="dxa" w:w="120"/>
              <w:bottom w:type="dxa" w:w="80"/>
              <w:right w:type="dxa" w:w="120"/>
            </w:tcMar>
          </w:tcPr>
          <w:p>
            <w:r>
              <w:t xml:space="preserve">ImmigrationOS</w:t>
            </w:r>
          </w:p>
        </w:tc>
        <w:tc>
          <w:tcPr>
            <w:tcW w:type="dxa" w:w="3300"/>
            <w:tcBorders>
              <w:top w:val="single" w:color="888888" w:sz="1"/>
              <w:left w:val="single" w:color="888888" w:sz="1"/>
              <w:bottom w:val="single" w:color="888888" w:sz="1"/>
              <w:right w:val="single" w:color="888888" w:sz="1"/>
            </w:tcBorders>
            <w:tcMar>
              <w:top w:type="dxa" w:w="80"/>
              <w:left w:type="dxa" w:w="120"/>
              <w:bottom w:type="dxa" w:w="80"/>
              <w:right w:type="dxa" w:w="120"/>
            </w:tcMar>
          </w:tcPr>
          <w:p>
            <w:r>
              <w:t xml:space="preserve">Through Sept 2027</w:t>
            </w:r>
          </w:p>
        </w:tc>
      </w:tr>
    </w:tbl>
    <w:p>
      <w:pPr>
        <w:pStyle w:val="Heading2"/>
        <w:spacing w:before="300"/>
      </w:pPr>
      <w:r>
        <w:t xml:space="preserve">3.2 ICE Systems Documentation</w:t>
      </w:r>
    </w:p>
    <w:p>
      <w:pPr>
        <w:pStyle w:val="Heading3"/>
      </w:pPr>
      <w:r>
        <w:t xml:space="preserve">FALCON System</w:t>
      </w:r>
    </w:p>
    <w:p>
      <w:pPr>
        <w:spacing w:after="200"/>
      </w:pPr>
      <w:r>
        <w:rPr>
          <w:b/>
          <w:bCs/>
        </w:rPr>
        <w:t xml:space="preserve">Functions (FOIA documents): </w:t>
      </w:r>
      <w:r>
        <w:t xml:space="preserve">Track hourly locations via cell phone numbers; integrate APIS air travel records; access SEVIS student data; GPS tracking; secure messaging; bulk searches</w:t>
      </w:r>
    </w:p>
    <w:p>
      <w:pPr>
        <w:spacing w:after="200"/>
      </w:pPr>
      <w:r>
        <w:rPr>
          <w:b/>
          <w:bCs/>
        </w:rPr>
        <w:t xml:space="preserve">Security Issue (2020 ICE email): </w:t>
      </w:r>
      <w:r>
        <w:t xml:space="preserve">No automatic deprovisioning triggers for user accounts; not within 4300a compliance</w:t>
      </w:r>
    </w:p>
    <w:p>
      <w:pPr>
        <w:pStyle w:val="Heading3"/>
      </w:pPr>
      <w:r>
        <w:t xml:space="preserve">Investigative Case Management (ICM)</w:t>
      </w:r>
    </w:p>
    <w:p>
      <w:pPr>
        <w:spacing w:after="200"/>
      </w:pPr>
      <w:r>
        <w:rPr>
          <w:b/>
          <w:bCs/>
        </w:rPr>
        <w:t xml:space="preserve">Data Stored: </w:t>
      </w:r>
      <w:r>
        <w:t xml:space="preserve">Family relationships, immigration history, employment history, biometrics, license plate data, social media profiles</w:t>
      </w:r>
    </w:p>
    <w:p>
      <w:pPr>
        <w:spacing w:after="200"/>
      </w:pPr>
      <w:r>
        <w:rPr>
          <w:b/>
          <w:bCs/>
        </w:rPr>
        <w:t xml:space="preserve">Documented Use (2017): </w:t>
      </w:r>
      <w:r>
        <w:t xml:space="preserve">Used in operation targeting family members of unaccompanied children. 443 people arrested.</w:t>
      </w:r>
    </w:p>
    <w:p>
      <w:pPr>
        <w:pStyle w:val="Heading3"/>
      </w:pPr>
      <w:r>
        <w:t xml:space="preserve">ImmigrationOS (2025)</w:t>
      </w:r>
    </w:p>
    <w:p>
      <w:pPr>
        <w:spacing w:after="200"/>
      </w:pPr>
      <w:r>
        <w:rPr>
          <w:b/>
          <w:bCs/>
        </w:rPr>
        <w:t xml:space="preserve">Functions: </w:t>
      </w:r>
      <w:r>
        <w:t xml:space="preserve">1) Streamline apprehension prioritization; 2) Track self-deportations with near real-time visibility; 3) Improve deportation logistics efficiency</w:t>
      </w:r>
    </w:p>
    <w:p>
      <w:r>
        <w:br w:type="page"/>
      </w:r>
    </w:p>
    <w:p>
      <w:pPr>
        <w:pStyle w:val="Heading1"/>
      </w:pPr>
      <w:r>
        <w:t xml:space="preserve">Section 4: ICE Enforcement Statistics (Contextual Data)</w:t>
      </w:r>
    </w:p>
    <w:p>
      <w:pPr>
        <w:spacing w:after="200"/>
      </w:pPr>
      <w:r>
        <w:rPr>
          <w:b/>
          <w:bCs/>
          <w:i/>
          <w:iCs/>
        </w:rPr>
        <w:t xml:space="preserve">Note: </w:t>
      </w:r>
      <w:r>
        <w:rPr>
          <w:i/>
          <w:iCs/>
        </w:rPr>
        <w:t xml:space="preserve">Palantir provides data infrastructure for these operations.</w:t>
      </w:r>
    </w:p>
    <w:p>
      <w:pPr>
        <w:pStyle w:val="Heading2"/>
      </w:pPr>
      <w:r>
        <w:t xml:space="preserve">4.1 Detention Population</w:t>
      </w:r>
    </w:p>
    <w:p>
      <w:pPr>
        <w:spacing w:after="200"/>
      </w:pPr>
      <w:r>
        <w:rPr>
          <w:b/>
          <w:bCs/>
        </w:rPr>
        <w:t xml:space="preserve">December 2024: </w:t>
      </w:r>
      <w:r>
        <w:t xml:space="preserve">~40,000 (American Immigration Council)</w:t>
      </w:r>
    </w:p>
    <w:p>
      <w:pPr>
        <w:spacing w:after="200"/>
      </w:pPr>
      <w:r>
        <w:rPr>
          <w:b/>
          <w:bCs/>
        </w:rPr>
        <w:t xml:space="preserve">November 30, 2025: </w:t>
      </w:r>
      <w:r>
        <w:t xml:space="preserve">65,735 (TRAC Reports) - highest level in history</w:t>
      </w:r>
    </w:p>
    <w:p>
      <w:pPr>
        <w:spacing w:after="200"/>
      </w:pPr>
      <w:r>
        <w:rPr>
          <w:b/>
          <w:bCs/>
        </w:rPr>
        <w:t xml:space="preserve">No Criminal Conviction: </w:t>
      </w:r>
      <w:r>
        <w:t xml:space="preserve">48,377 of 65,735 (73.6%) per TRAC Reports</w:t>
      </w:r>
    </w:p>
    <w:p>
      <w:pPr>
        <w:pStyle w:val="Heading2"/>
      </w:pPr>
      <w:r>
        <w:t xml:space="preserve">4.2 Deaths in ICE Custody</w:t>
      </w:r>
    </w:p>
    <w:p>
      <w:pPr>
        <w:spacing w:after="200"/>
      </w:pPr>
      <w:r>
        <w:rPr>
          <w:b/>
          <w:bCs/>
        </w:rPr>
        <w:t xml:space="preserve">2025: </w:t>
      </w:r>
      <w:r>
        <w:t xml:space="preserve">At least 20 deaths (NPR) - deadliest year since 2004</w:t>
      </w:r>
    </w:p>
    <w:p>
      <w:pPr>
        <w:spacing w:after="200"/>
      </w:pPr>
      <w:r>
        <w:rPr>
          <w:b/>
          <w:bCs/>
        </w:rPr>
        <w:t xml:space="preserve">2024: </w:t>
      </w:r>
      <w:r>
        <w:t xml:space="preserve">8 deaths</w:t>
      </w:r>
    </w:p>
    <w:p>
      <w:pPr>
        <w:pStyle w:val="Heading2"/>
      </w:pPr>
      <w:r>
        <w:t xml:space="preserve">4.3 Deportation Metrics</w:t>
      </w:r>
    </w:p>
    <w:p>
      <w:pPr>
        <w:spacing w:after="200"/>
      </w:pPr>
      <w:r>
        <w:rPr>
          <w:b/>
          <w:bCs/>
        </w:rPr>
        <w:t xml:space="preserve">Increase: </w:t>
      </w:r>
      <w:r>
        <w:t xml:space="preserve">4.6x from H2 2024 average to October 2025 (Deportation Data Project)</w:t>
      </w:r>
    </w:p>
    <w:p>
      <w:pPr>
        <w:spacing w:after="200"/>
      </w:pPr>
      <w:r>
        <w:rPr>
          <w:b/>
          <w:bCs/>
        </w:rPr>
        <w:t xml:space="preserve">Release-to-deportation ratio: </w:t>
      </w:r>
      <w:r>
        <w:t xml:space="preserve">Dec 2024: 1:1.6. Nov 2025: 1:14.3 (AIC)</w:t>
      </w:r>
    </w:p>
    <w:p>
      <w:r>
        <w:br w:type="page"/>
      </w:r>
    </w:p>
    <w:p>
      <w:pPr>
        <w:pStyle w:val="Heading1"/>
      </w:pPr>
      <w:r>
        <w:t xml:space="preserve">Section 5: Israel Ministry of Defense Partnership</w:t>
      </w:r>
    </w:p>
    <w:p>
      <w:pPr>
        <w:pStyle w:val="Heading2"/>
      </w:pPr>
      <w:r>
        <w:t xml:space="preserve">5.1 Partnership Timeline</w:t>
      </w:r>
    </w:p>
    <w:p>
      <w:pPr>
        <w:spacing w:after="200"/>
      </w:pPr>
      <w:r>
        <w:rPr>
          <w:b/>
          <w:bCs/>
        </w:rPr>
        <w:t xml:space="preserve">2014: </w:t>
      </w:r>
      <w:r>
        <w:t xml:space="preserve">Palantir begins providing tools to Israeli government (predictive policing per AFSC)</w:t>
      </w:r>
    </w:p>
    <w:p>
      <w:pPr>
        <w:spacing w:after="200"/>
      </w:pPr>
      <w:r>
        <w:rPr>
          <w:b/>
          <w:bCs/>
        </w:rPr>
        <w:t xml:space="preserve">2015: </w:t>
      </w:r>
      <w:r>
        <w:t xml:space="preserve">Opens Tel Aviv office</w:t>
      </w:r>
    </w:p>
    <w:p>
      <w:pPr>
        <w:spacing w:after="200"/>
      </w:pPr>
      <w:r>
        <w:rPr>
          <w:b/>
          <w:bCs/>
        </w:rPr>
        <w:t xml:space="preserve">January 2024: </w:t>
      </w:r>
      <w:r>
        <w:t xml:space="preserve">Full company board meeting in Israel; Alex Karp signs strategic partnership with Israel Ministry of Defense at military HQ, photographed with Danny Gold (Iron Dome developer)</w:t>
      </w:r>
    </w:p>
    <w:p>
      <w:pPr>
        <w:spacing w:after="200"/>
      </w:pPr>
      <w:r>
        <w:rPr>
          <w:b/>
          <w:bCs/>
        </w:rPr>
        <w:t xml:space="preserve">October 2024: </w:t>
      </w:r>
      <w:r>
        <w:t xml:space="preserve">Norway's Storebrand divests $24M citing humanitarian law concerns</w:t>
      </w:r>
    </w:p>
    <w:p>
      <w:pPr>
        <w:pStyle w:val="Heading2"/>
      </w:pPr>
      <w:r>
        <w:t xml:space="preserve">5.2 Products Reportedly Provided</w:t>
      </w:r>
    </w:p>
    <w:p>
      <w:pPr>
        <w:spacing w:after="200"/>
      </w:pPr>
      <w:r>
        <w:rPr>
          <w:b/>
          <w:bCs/>
        </w:rPr>
        <w:t xml:space="preserve">AIP (per Bloomberg): </w:t>
      </w:r>
      <w:r>
        <w:t xml:space="preserve">Analyzes targets, proposes combat moves; expected tens of millions in revenue</w:t>
      </w:r>
    </w:p>
    <w:p>
      <w:pPr>
        <w:spacing w:after="200"/>
      </w:pPr>
      <w:r>
        <w:rPr>
          <w:b/>
          <w:bCs/>
        </w:rPr>
        <w:t xml:space="preserve">Gotham, Foundry, Apollo: </w:t>
      </w:r>
      <w:r>
        <w:t xml:space="preserve">Military/intelligence data integration platforms</w:t>
      </w:r>
    </w:p>
    <w:p>
      <w:pPr>
        <w:pStyle w:val="Heading2"/>
      </w:pPr>
      <w:r>
        <w:t xml:space="preserve">5.3 Public Statements</w:t>
      </w:r>
    </w:p>
    <w:p>
      <w:pPr>
        <w:spacing w:after="200"/>
      </w:pPr>
      <w:r>
        <w:rPr>
          <w:b/>
          <w:bCs/>
        </w:rPr>
        <w:t xml:space="preserve">Alex Karp: </w:t>
      </w:r>
      <w:r>
        <w:t xml:space="preserve">'I am proud that we are supporting Israel in every way we can.' Not bothered by employees leaving over Israel work. 'Our product is used on occasion to kill people.'</w:t>
      </w:r>
    </w:p>
    <w:p>
      <w:pPr>
        <w:pStyle w:val="Heading2"/>
      </w:pPr>
      <w:r>
        <w:t xml:space="preserve">5.4 Investigative Journalism Findings</w:t>
      </w:r>
    </w:p>
    <w:p>
      <w:pPr>
        <w:spacing w:after="200"/>
      </w:pPr>
      <w:r>
        <w:rPr>
          <w:b/>
          <w:bCs/>
        </w:rPr>
        <w:t xml:space="preserve">+972 Magazine Investigation: </w:t>
      </w:r>
      <w:r>
        <w:t xml:space="preserve">Documented 'Lavender' (assigns Palestinians threat scores 1-100) and 'Gospel' (generates target lists) AI systems. 37,000+ Palestinians flagged with acknowledged 10% error rate. 'Where's Daddy' alerts when target enters family home.</w:t>
      </w:r>
    </w:p>
    <w:p>
      <w:pPr>
        <w:spacing w:after="200"/>
      </w:pPr>
      <w:r>
        <w:rPr>
          <w:b/>
          <w:bCs/>
        </w:rPr>
        <w:t xml:space="preserve">Globes (Israel): </w:t>
      </w:r>
      <w:r>
        <w:t xml:space="preserve">Reports IDF Unit 8200 and Shin Bet decided not to hire Palantir after examining system. Palantir 'finding it difficult to gain entry to Israeli defense establishment' and 'certainly not at heart of Israeli operations.' Partner in logistics/manpower aspects.</w:t>
      </w:r>
    </w:p>
    <w:p>
      <w:r>
        <w:br w:type="page"/>
      </w:r>
    </w:p>
    <w:p>
      <w:pPr>
        <w:pStyle w:val="Heading1"/>
      </w:pPr>
      <w:r>
        <w:t xml:space="preserve">Section 6: Gaza Conflict Casualty Data (Contextual)</w:t>
      </w:r>
    </w:p>
    <w:p>
      <w:pPr>
        <w:pStyle w:val="Heading2"/>
      </w:pPr>
      <w:r>
        <w:t xml:space="preserve">6.1 Official Reports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700"/>
        <w:gridCol w:w="2160"/>
        <w:gridCol w:w="4500"/>
      </w:tblGrid>
      <w:tr>
        <w:tc>
          <w:tcPr>
            <w:tcW w:type="dxa" w:w="27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b/>
                <w:bCs/>
              </w:rPr>
              <w:t xml:space="preserve">Source</w:t>
            </w:r>
          </w:p>
        </w:tc>
        <w:tc>
          <w:tcPr>
            <w:tcW w:type="dxa" w:w="216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b/>
                <w:bCs/>
              </w:rPr>
              <w:t xml:space="preserve">Figure</w:t>
            </w:r>
          </w:p>
        </w:tc>
        <w:tc>
          <w:tcPr>
            <w:tcW w:type="dxa" w:w="4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b/>
                <w:bCs/>
              </w:rPr>
              <w:t xml:space="preserve">Period/Details</w:t>
            </w:r>
          </w:p>
        </w:tc>
      </w:tr>
      <w:tr>
        <w:tc>
          <w:tcPr>
            <w:tcW w:type="dxa" w:w="2700"/>
            <w:tcBorders>
              <w:top w:val="single" w:color="888888" w:sz="1"/>
              <w:left w:val="single" w:color="888888" w:sz="1"/>
              <w:bottom w:val="single" w:color="888888" w:sz="1"/>
              <w:right w:val="single" w:color="888888" w:sz="1"/>
            </w:tcBorders>
            <w:tcMar>
              <w:top w:type="dxa" w:w="80"/>
              <w:left w:type="dxa" w:w="120"/>
              <w:bottom w:type="dxa" w:w="80"/>
              <w:right w:type="dxa" w:w="120"/>
            </w:tcMar>
          </w:tcPr>
          <w:p>
            <w:r>
              <w:t xml:space="preserve">Gaza Health Ministry</w:t>
            </w:r>
          </w:p>
        </w:tc>
        <w:tc>
          <w:tcPr>
            <w:tcW w:type="dxa" w:w="2160"/>
            <w:tcBorders>
              <w:top w:val="single" w:color="888888" w:sz="1"/>
              <w:left w:val="single" w:color="888888" w:sz="1"/>
              <w:bottom w:val="single" w:color="888888" w:sz="1"/>
              <w:right w:val="single" w:color="888888" w:sz="1"/>
            </w:tcBorders>
            <w:tcMar>
              <w:top w:type="dxa" w:w="80"/>
              <w:left w:type="dxa" w:w="120"/>
              <w:bottom w:type="dxa" w:w="80"/>
              <w:right w:type="dxa" w:w="120"/>
            </w:tcMar>
          </w:tcPr>
          <w:p>
            <w:r>
              <w:t xml:space="preserve">70,369</w:t>
            </w:r>
          </w:p>
        </w:tc>
        <w:tc>
          <w:tcPr>
            <w:tcW w:type="dxa" w:w="4500"/>
            <w:tcBorders>
              <w:top w:val="single" w:color="888888" w:sz="1"/>
              <w:left w:val="single" w:color="888888" w:sz="1"/>
              <w:bottom w:val="single" w:color="888888" w:sz="1"/>
              <w:right w:val="single" w:color="888888" w:sz="1"/>
            </w:tcBorders>
            <w:tcMar>
              <w:top w:type="dxa" w:w="80"/>
              <w:left w:type="dxa" w:w="120"/>
              <w:bottom w:type="dxa" w:w="80"/>
              <w:right w:type="dxa" w:w="120"/>
            </w:tcMar>
          </w:tcPr>
          <w:p>
            <w:r>
              <w:t xml:space="preserve">Oct 7, 2023 - Dec 10, 2025</w:t>
            </w:r>
          </w:p>
        </w:tc>
      </w:tr>
      <w:tr>
        <w:tc>
          <w:tcPr>
            <w:tcW w:type="dxa" w:w="2700"/>
            <w:tcBorders>
              <w:top w:val="single" w:color="888888" w:sz="1"/>
              <w:left w:val="single" w:color="888888" w:sz="1"/>
              <w:bottom w:val="single" w:color="888888" w:sz="1"/>
              <w:right w:val="single" w:color="888888" w:sz="1"/>
            </w:tcBorders>
            <w:tcMar>
              <w:top w:type="dxa" w:w="80"/>
              <w:left w:type="dxa" w:w="120"/>
              <w:bottom w:type="dxa" w:w="80"/>
              <w:right w:type="dxa" w:w="120"/>
            </w:tcMar>
          </w:tcPr>
          <w:p>
            <w:r>
              <w:t xml:space="preserve">The Lancet (LSHTM)</w:t>
            </w:r>
          </w:p>
        </w:tc>
        <w:tc>
          <w:tcPr>
            <w:tcW w:type="dxa" w:w="2160"/>
            <w:tcBorders>
              <w:top w:val="single" w:color="888888" w:sz="1"/>
              <w:left w:val="single" w:color="888888" w:sz="1"/>
              <w:bottom w:val="single" w:color="888888" w:sz="1"/>
              <w:right w:val="single" w:color="888888" w:sz="1"/>
            </w:tcBorders>
            <w:tcMar>
              <w:top w:type="dxa" w:w="80"/>
              <w:left w:type="dxa" w:w="120"/>
              <w:bottom w:type="dxa" w:w="80"/>
              <w:right w:type="dxa" w:w="120"/>
            </w:tcMar>
          </w:tcPr>
          <w:p>
            <w:r>
              <w:t xml:space="preserve">64,260</w:t>
            </w:r>
          </w:p>
        </w:tc>
        <w:tc>
          <w:tcPr>
            <w:tcW w:type="dxa" w:w="4500"/>
            <w:tcBorders>
              <w:top w:val="single" w:color="888888" w:sz="1"/>
              <w:left w:val="single" w:color="888888" w:sz="1"/>
              <w:bottom w:val="single" w:color="888888" w:sz="1"/>
              <w:right w:val="single" w:color="888888" w:sz="1"/>
            </w:tcBorders>
            <w:tcMar>
              <w:top w:type="dxa" w:w="80"/>
              <w:left w:type="dxa" w:w="120"/>
              <w:bottom w:type="dxa" w:w="80"/>
              <w:right w:type="dxa" w:w="120"/>
            </w:tcMar>
          </w:tcPr>
          <w:p>
            <w:r>
              <w:t xml:space="preserve">Oct 2023-June 2024; peer-reviewed; 41% GHM undercount</w:t>
            </w:r>
          </w:p>
        </w:tc>
      </w:tr>
      <w:tr>
        <w:tc>
          <w:tcPr>
            <w:tcW w:type="dxa" w:w="2700"/>
            <w:tcBorders>
              <w:top w:val="single" w:color="888888" w:sz="1"/>
              <w:left w:val="single" w:color="888888" w:sz="1"/>
              <w:bottom w:val="single" w:color="888888" w:sz="1"/>
              <w:right w:val="single" w:color="888888" w:sz="1"/>
            </w:tcBorders>
            <w:tcMar>
              <w:top w:type="dxa" w:w="80"/>
              <w:left w:type="dxa" w:w="120"/>
              <w:bottom w:type="dxa" w:w="80"/>
              <w:right w:type="dxa" w:w="120"/>
            </w:tcMar>
          </w:tcPr>
          <w:p>
            <w:r>
              <w:t xml:space="preserve">Max Planck Institute</w:t>
            </w:r>
          </w:p>
        </w:tc>
        <w:tc>
          <w:tcPr>
            <w:tcW w:type="dxa" w:w="2160"/>
            <w:tcBorders>
              <w:top w:val="single" w:color="888888" w:sz="1"/>
              <w:left w:val="single" w:color="888888" w:sz="1"/>
              <w:bottom w:val="single" w:color="888888" w:sz="1"/>
              <w:right w:val="single" w:color="888888" w:sz="1"/>
            </w:tcBorders>
            <w:tcMar>
              <w:top w:type="dxa" w:w="80"/>
              <w:left w:type="dxa" w:w="120"/>
              <w:bottom w:type="dxa" w:w="80"/>
              <w:right w:type="dxa" w:w="120"/>
            </w:tcMar>
          </w:tcPr>
          <w:p>
            <w:r>
              <w:t xml:space="preserve">78,318</w:t>
            </w:r>
          </w:p>
        </w:tc>
        <w:tc>
          <w:tcPr>
            <w:tcW w:type="dxa" w:w="4500"/>
            <w:tcBorders>
              <w:top w:val="single" w:color="888888" w:sz="1"/>
              <w:left w:val="single" w:color="888888" w:sz="1"/>
              <w:bottom w:val="single" w:color="888888" w:sz="1"/>
              <w:right w:val="single" w:color="888888" w:sz="1"/>
            </w:tcBorders>
            <w:tcMar>
              <w:top w:type="dxa" w:w="80"/>
              <w:left w:type="dxa" w:w="120"/>
              <w:bottom w:type="dxa" w:w="80"/>
              <w:right w:type="dxa" w:w="120"/>
            </w:tcMar>
          </w:tcPr>
          <w:p>
            <w:r>
              <w:t xml:space="preserve">Through Dec 2024; &gt;100,000 projected by Oct 2025</w:t>
            </w:r>
          </w:p>
        </w:tc>
      </w:tr>
    </w:tbl>
    <w:p>
      <w:pPr>
        <w:spacing w:before="200" w:after="200"/>
      </w:pPr>
      <w:r>
        <w:rPr>
          <w:b/>
          <w:bCs/>
        </w:rPr>
        <w:t xml:space="preserve">Demographics (Lancet): </w:t>
      </w:r>
      <w:r>
        <w:t xml:space="preserve">59.1% women, children, and elderly</w:t>
      </w:r>
    </w:p>
    <w:p>
      <w:pPr>
        <w:spacing w:after="200"/>
      </w:pPr>
      <w:r>
        <w:rPr>
          <w:b/>
          <w:bCs/>
        </w:rPr>
        <w:t xml:space="preserve">Verification: </w:t>
      </w:r>
      <w:r>
        <w:t xml:space="preserve">GHM figures accepted by Israeli intelligence, UN, WHO, and independent analyses</w:t>
      </w:r>
    </w:p>
    <w:p>
      <w:r>
        <w:br w:type="page"/>
      </w:r>
    </w:p>
    <w:p>
      <w:pPr>
        <w:pStyle w:val="Heading1"/>
      </w:pPr>
      <w:r>
        <w:t xml:space="preserve">Section 7: Anduril Industries - Network Connection</w:t>
      </w:r>
    </w:p>
    <w:p>
      <w:pPr>
        <w:spacing w:after="200"/>
      </w:pPr>
      <w:r>
        <w:rPr>
          <w:b/>
          <w:bCs/>
        </w:rPr>
        <w:t xml:space="preserve">Relevance: </w:t>
      </w:r>
      <w:r>
        <w:t xml:space="preserve">Founded by ex-Palantir employees, seeded by Founders Fund, maintains active partnership with Palantir.</w:t>
      </w:r>
    </w:p>
    <w:p>
      <w:pPr>
        <w:spacing w:after="200"/>
      </w:pPr>
      <w:r>
        <w:rPr>
          <w:b/>
          <w:bCs/>
        </w:rPr>
        <w:t xml:space="preserve">Founded: </w:t>
      </w:r>
      <w:r>
        <w:t xml:space="preserve">June 2017</w:t>
      </w:r>
    </w:p>
    <w:p>
      <w:pPr>
        <w:spacing w:after="200"/>
      </w:pPr>
      <w:r>
        <w:rPr>
          <w:b/>
          <w:bCs/>
        </w:rPr>
        <w:t xml:space="preserve">Valuation (June 2025): </w:t>
      </w:r>
      <w:r>
        <w:t xml:space="preserve">$30.5 billion</w:t>
      </w:r>
    </w:p>
    <w:p>
      <w:pPr>
        <w:spacing w:after="200"/>
      </w:pPr>
      <w:r>
        <w:rPr>
          <w:b/>
          <w:bCs/>
        </w:rPr>
        <w:t xml:space="preserve">2024 Revenue: </w:t>
      </w:r>
      <w:r>
        <w:t xml:space="preserve">$1 billion (doubled from prior year)</w:t>
      </w:r>
    </w:p>
    <w:p>
      <w:pPr>
        <w:pStyle w:val="Heading2"/>
      </w:pPr>
      <w:r>
        <w:t xml:space="preserve">7.1 Founders</w:t>
      </w:r>
    </w:p>
    <w:p>
      <w:pPr>
        <w:spacing w:after="200"/>
      </w:pPr>
      <w:r>
        <w:rPr>
          <w:b/>
          <w:bCs/>
        </w:rPr>
        <w:t xml:space="preserve">Palmer Luckey: </w:t>
      </w:r>
      <w:r>
        <w:t xml:space="preserve">Oculus founder; met Trae Stephens at 2014 Founders Fund retreat; sold Oculus to Facebook for $2B</w:t>
      </w:r>
    </w:p>
    <w:p>
      <w:pPr>
        <w:spacing w:after="200"/>
      </w:pPr>
      <w:r>
        <w:rPr>
          <w:b/>
          <w:bCs/>
        </w:rPr>
        <w:t xml:space="preserve">Trae Stephens: </w:t>
      </w:r>
      <w:r>
        <w:t xml:space="preserve">Former Palantir employee; recruited to Founders Fund by Peter Thiel; also Founders Fund partner; Anduril Executive Chairman</w:t>
      </w:r>
    </w:p>
    <w:p>
      <w:pPr>
        <w:spacing w:after="200"/>
      </w:pPr>
      <w:r>
        <w:rPr>
          <w:b/>
          <w:bCs/>
        </w:rPr>
        <w:t xml:space="preserve">Brian Schimpf: </w:t>
      </w:r>
      <w:r>
        <w:t xml:space="preserve">Former Palantir director; Anduril CEO</w:t>
      </w:r>
    </w:p>
    <w:p>
      <w:pPr>
        <w:pStyle w:val="Heading2"/>
      </w:pPr>
      <w:r>
        <w:t xml:space="preserve">7.2 Founders Fund Investment</w:t>
      </w:r>
    </w:p>
    <w:p>
      <w:pPr>
        <w:spacing w:after="200"/>
      </w:pPr>
      <w:r>
        <w:rPr>
          <w:b/>
          <w:bCs/>
        </w:rPr>
        <w:t xml:space="preserve">Series G (June 2025): </w:t>
      </w:r>
      <w:r>
        <w:t xml:space="preserve">$1 billion from Founders Fund - largest check in FF history</w:t>
      </w:r>
    </w:p>
    <w:p>
      <w:pPr>
        <w:pStyle w:val="Heading2"/>
      </w:pPr>
      <w:r>
        <w:t xml:space="preserve">7.3 Palantir-Anduril Partnership</w:t>
      </w:r>
    </w:p>
    <w:p>
      <w:pPr>
        <w:spacing w:after="200"/>
      </w:pPr>
      <w:r>
        <w:rPr>
          <w:b/>
          <w:bCs/>
        </w:rPr>
        <w:t xml:space="preserve">December 2024: </w:t>
      </w:r>
      <w:r>
        <w:t xml:space="preserve">Consortium linking Anduril's Lattice Mesh with Maven Smart System and Palantir's AI Platform</w:t>
      </w:r>
    </w:p>
    <w:p>
      <w:pPr>
        <w:pStyle w:val="Heading2"/>
      </w:pPr>
      <w:r>
        <w:t xml:space="preserve">7.4 Major Contracts</w:t>
      </w:r>
    </w:p>
    <w:p>
      <w:pPr>
        <w:spacing w:after="200"/>
      </w:pPr>
      <w:r>
        <w:rPr>
          <w:b/>
          <w:bCs/>
        </w:rPr>
        <w:t xml:space="preserve">Autonomous Aircraft: </w:t>
      </w:r>
      <w:r>
        <w:t xml:space="preserve">Up to $9 billion (with General Atomics)</w:t>
      </w:r>
    </w:p>
    <w:p>
      <w:pPr>
        <w:spacing w:after="200"/>
      </w:pPr>
      <w:r>
        <w:rPr>
          <w:b/>
          <w:bCs/>
        </w:rPr>
        <w:t xml:space="preserve">Counter-drone (Navy): </w:t>
      </w:r>
      <w:r>
        <w:t xml:space="preserve">$642.2 million, 10-year</w:t>
      </w:r>
    </w:p>
    <w:p>
      <w:pPr>
        <w:spacing w:after="200"/>
      </w:pPr>
      <w:r>
        <w:rPr>
          <w:b/>
          <w:bCs/>
        </w:rPr>
        <w:t xml:space="preserve">IVAS AR Headsets: </w:t>
      </w:r>
      <w:r>
        <w:t xml:space="preserve">Up to $22 billion (taken from Microsoft Feb 2025)</w:t>
      </w:r>
    </w:p>
    <w:p>
      <w:r>
        <w:br w:type="page"/>
      </w:r>
    </w:p>
    <w:p>
      <w:pPr>
        <w:pStyle w:val="Heading1"/>
      </w:pPr>
      <w:r>
        <w:t xml:space="preserve">Section 8: Financial and Political Data</w:t>
      </w:r>
    </w:p>
    <w:p>
      <w:pPr>
        <w:pStyle w:val="Heading2"/>
      </w:pPr>
      <w:r>
        <w:t xml:space="preserve">8.1 Palantir Financial Metrics</w:t>
      </w:r>
    </w:p>
    <w:p>
      <w:pPr>
        <w:spacing w:after="200"/>
      </w:pPr>
      <w:r>
        <w:rPr>
          <w:b/>
          <w:bCs/>
        </w:rPr>
        <w:t xml:space="preserve">Market Cap (2025): </w:t>
      </w:r>
      <w:r>
        <w:t xml:space="preserve">Exceeding $400 billion</w:t>
      </w:r>
    </w:p>
    <w:p>
      <w:pPr>
        <w:spacing w:after="200"/>
      </w:pPr>
      <w:r>
        <w:rPr>
          <w:b/>
          <w:bCs/>
        </w:rPr>
        <w:t xml:space="preserve">2024 Revenue: </w:t>
      </w:r>
      <w:r>
        <w:t xml:space="preserve">$2.9 billion (28% YoY increase)</w:t>
      </w:r>
    </w:p>
    <w:p>
      <w:pPr>
        <w:spacing w:after="200"/>
      </w:pPr>
      <w:r>
        <w:rPr>
          <w:b/>
          <w:bCs/>
        </w:rPr>
        <w:t xml:space="preserve">Revenue Split: </w:t>
      </w:r>
      <w:r>
        <w:t xml:space="preserve">55% government, 45% commercial</w:t>
      </w:r>
    </w:p>
    <w:p>
      <w:pPr>
        <w:spacing w:after="200"/>
      </w:pPr>
      <w:r>
        <w:rPr>
          <w:b/>
          <w:bCs/>
        </w:rPr>
        <w:t xml:space="preserve">2024 Net Income: </w:t>
      </w:r>
      <w:r>
        <w:t xml:space="preserve">$462 million (120% increase)</w:t>
      </w:r>
    </w:p>
    <w:p>
      <w:pPr>
        <w:pStyle w:val="Heading2"/>
      </w:pPr>
      <w:r>
        <w:t xml:space="preserve">8.2 Political Connections</w:t>
      </w:r>
    </w:p>
    <w:p>
      <w:pPr>
        <w:spacing w:after="200"/>
      </w:pPr>
      <w:r>
        <w:rPr>
          <w:b/>
          <w:bCs/>
        </w:rPr>
        <w:t xml:space="preserve">Stephen Miller: </w:t>
      </w:r>
      <w:r>
        <w:t xml:space="preserve">Trump immigration policy architect holds substantial Palantir stake (AIC)</w:t>
      </w:r>
    </w:p>
    <w:p>
      <w:pPr>
        <w:spacing w:after="200"/>
      </w:pPr>
      <w:r>
        <w:rPr>
          <w:b/>
          <w:bCs/>
        </w:rPr>
        <w:t xml:space="preserve">Peter Thiel: </w:t>
      </w:r>
      <w:r>
        <w:t xml:space="preserve">$1.25M to Trump 2016 campaign; 2016 RNC speaker; transition team member</w:t>
      </w:r>
    </w:p>
    <w:p>
      <w:r>
        <w:br w:type="page"/>
      </w:r>
    </w:p>
    <w:p>
      <w:pPr>
        <w:pStyle w:val="Heading1"/>
      </w:pPr>
      <w:r>
        <w:t xml:space="preserve">Section 9: UK NHS Contract</w:t>
      </w:r>
    </w:p>
    <w:p>
      <w:pPr>
        <w:spacing w:after="200"/>
      </w:pPr>
      <w:r>
        <w:rPr>
          <w:b/>
          <w:bCs/>
        </w:rPr>
        <w:t xml:space="preserve">Contract (Nov 2023): </w:t>
      </w:r>
      <w:r>
        <w:t xml:space="preserve">Federated Data Platform; 330 million GBP over 7 years; ~65 million patient records</w:t>
      </w:r>
    </w:p>
    <w:p>
      <w:pPr>
        <w:spacing w:after="200"/>
      </w:pPr>
      <w:r>
        <w:rPr>
          <w:b/>
          <w:bCs/>
        </w:rPr>
        <w:t xml:space="preserve">Value Evolution: </w:t>
      </w:r>
      <w:r>
        <w:t xml:space="preserve">March 2020: 1 GBP (COVID emergency). December 2020: 23 million GBP. November 2023: 330 million GBP.</w:t>
      </w:r>
    </w:p>
    <w:p>
      <w:pPr>
        <w:spacing w:after="200"/>
      </w:pPr>
      <w:r>
        <w:rPr>
          <w:b/>
          <w:bCs/>
        </w:rPr>
        <w:t xml:space="preserve">Protests: </w:t>
      </w:r>
      <w:r>
        <w:t xml:space="preserve">December 2023 and April 2024 demonstrations citing IDF connections</w:t>
      </w:r>
    </w:p>
    <w:p>
      <w:r>
        <w:br w:type="page"/>
      </w:r>
    </w:p>
    <w:p>
      <w:pPr>
        <w:pStyle w:val="Heading1"/>
      </w:pPr>
      <w:r>
        <w:t xml:space="preserve">Section 10: Employee Responses and Divestment</w:t>
      </w:r>
    </w:p>
    <w:p>
      <w:pPr>
        <w:pStyle w:val="Heading2"/>
      </w:pPr>
      <w:r>
        <w:t xml:space="preserve">10.1 Former Employee Letter (May 2025)</w:t>
      </w:r>
    </w:p>
    <w:p>
      <w:pPr>
        <w:spacing w:after="200"/>
      </w:pPr>
      <w:r>
        <w:rPr>
          <w:b/>
          <w:bCs/>
        </w:rPr>
        <w:t xml:space="preserve">Signatories: </w:t>
      </w:r>
      <w:r>
        <w:t xml:space="preserve">13 former Palantir employees</w:t>
      </w:r>
    </w:p>
    <w:p>
      <w:pPr>
        <w:spacing w:after="200"/>
      </w:pPr>
      <w:r>
        <w:t xml:space="preserve">'Companies are placating Trump's administration, suppressing dissent, and aligning with his xenophobic, sexist, and oligarchic agenda. Big Tech, including Palantir, is increasingly complicit, normalizing authoritarianism under the guise of a revolution led by oligarchs.'</w:t>
      </w:r>
    </w:p>
    <w:p>
      <w:pPr>
        <w:pStyle w:val="Heading2"/>
      </w:pPr>
      <w:r>
        <w:t xml:space="preserve">10.2 Y Combinator Founder Criticism</w:t>
      </w:r>
    </w:p>
    <w:p>
      <w:pPr>
        <w:spacing w:after="200"/>
      </w:pPr>
      <w:r>
        <w:rPr>
          <w:b/>
          <w:bCs/>
        </w:rPr>
        <w:t xml:space="preserve">Paul Graham: </w:t>
      </w:r>
      <w:r>
        <w:t xml:space="preserve">'If you're a first-rate programmer, there are a huge number of other places you can go work rather than at the company building the infrastructure of the police state.'</w:t>
      </w:r>
    </w:p>
    <w:p>
      <w:pPr>
        <w:pStyle w:val="Heading2"/>
      </w:pPr>
      <w:r>
        <w:t xml:space="preserve">10.3 Storebrand Divestment (Norway)</w:t>
      </w:r>
    </w:p>
    <w:p>
      <w:pPr>
        <w:spacing w:after="200"/>
      </w:pPr>
      <w:r>
        <w:rPr>
          <w:b/>
          <w:bCs/>
        </w:rPr>
        <w:t xml:space="preserve">October 2024: </w:t>
      </w:r>
      <w:r>
        <w:t xml:space="preserve">$24 million divested citing concerns about 'work for Israel might put asset manager at risk of violating international humanitarian law'</w:t>
      </w:r>
    </w:p>
    <w:p>
      <w:r>
        <w:br w:type="page"/>
      </w:r>
    </w:p>
    <w:p>
      <w:pPr>
        <w:pStyle w:val="Heading1"/>
      </w:pPr>
      <w:r>
        <w:t xml:space="preserve">Section 11: Institutional Network Connections</w:t>
      </w:r>
    </w:p>
    <w:p>
      <w:pPr>
        <w:pStyle w:val="Heading2"/>
      </w:pPr>
      <w:r>
        <w:t xml:space="preserve">11.1 PayPal Mafia to Defense Technology Pipeline</w:t>
      </w:r>
    </w:p>
    <w:p>
      <w:pPr>
        <w:spacing w:after="100"/>
      </w:pPr>
      <w:r>
        <w:t xml:space="preserve">Peter Thiel (PayPal co-founder)</w:t>
      </w:r>
    </w:p>
    <w:p>
      <w:pPr>
        <w:spacing w:after="100"/>
      </w:pPr>
      <w:r>
        <w:t xml:space="preserve">  |-- Palantir (co-founder, $30M seed)</w:t>
      </w:r>
    </w:p>
    <w:p>
      <w:pPr>
        <w:spacing w:after="100"/>
      </w:pPr>
      <w:r>
        <w:t xml:space="preserve">  |     |-- In-Q-Tel (CIA) funding</w:t>
      </w:r>
    </w:p>
    <w:p>
      <w:pPr>
        <w:spacing w:after="100"/>
      </w:pPr>
      <w:r>
        <w:t xml:space="preserve">  |     |-- ICE contracts ($257M+)</w:t>
      </w:r>
    </w:p>
    <w:p>
      <w:pPr>
        <w:spacing w:after="100"/>
      </w:pPr>
      <w:r>
        <w:t xml:space="preserve">  |     |-- DOD contracts ($1.65B+)</w:t>
      </w:r>
    </w:p>
    <w:p>
      <w:pPr>
        <w:spacing w:after="100"/>
      </w:pPr>
      <w:r>
        <w:t xml:space="preserve">  |     |-- Project Maven ($1.275B)</w:t>
      </w:r>
    </w:p>
    <w:p>
      <w:pPr>
        <w:spacing w:after="100"/>
      </w:pPr>
      <w:r>
        <w:t xml:space="preserve">  |     |-- Israel MoD partnership</w:t>
      </w:r>
    </w:p>
    <w:p>
      <w:pPr>
        <w:spacing w:after="100"/>
      </w:pPr>
      <w:r>
        <w:t xml:space="preserve">  |     |-- NHS UK (330M GBP)</w:t>
      </w:r>
    </w:p>
    <w:p>
      <w:pPr>
        <w:spacing w:after="100"/>
      </w:pPr>
      <w:r>
        <w:t xml:space="preserve">  |</w:t>
      </w:r>
    </w:p>
    <w:p>
      <w:pPr>
        <w:spacing w:after="100"/>
      </w:pPr>
      <w:r>
        <w:t xml:space="preserve">  |-- Founders Fund (founded)</w:t>
      </w:r>
    </w:p>
    <w:p>
      <w:pPr>
        <w:spacing w:after="100"/>
      </w:pPr>
      <w:r>
        <w:t xml:space="preserve">        |-- Anduril ($1B investment)</w:t>
      </w:r>
    </w:p>
    <w:p>
      <w:pPr>
        <w:spacing w:after="100"/>
      </w:pPr>
      <w:r>
        <w:t xml:space="preserve">              |-- Trae Stephens (ex-Palantir -&gt; FF -&gt; Anduril)</w:t>
      </w:r>
    </w:p>
    <w:p>
      <w:pPr>
        <w:spacing w:after="200"/>
      </w:pPr>
      <w:r>
        <w:t xml:space="preserve">              |-- Brian Schimpf (ex-Palantir -&gt; Anduril CEO)</w:t>
      </w:r>
    </w:p>
    <w:p>
      <w:pPr>
        <w:pStyle w:val="Heading2"/>
      </w:pPr>
      <w:r>
        <w:t xml:space="preserve">11.2 Project Maven Contractor Network</w:t>
      </w:r>
    </w:p>
    <w:p>
      <w:pPr>
        <w:spacing w:after="100"/>
      </w:pPr>
      <w:r>
        <w:t xml:space="preserve">Project Maven: Palantir, Anduril, AWS, ECS Federal, L3Harris, Maxar, Microsoft, Sierra Nevada</w:t>
      </w:r>
    </w:p>
    <w:p>
      <w:pPr>
        <w:pStyle w:val="Heading2"/>
      </w:pPr>
      <w:r>
        <w:t xml:space="preserve">11.3 ICE Technology Ecosystem</w:t>
      </w:r>
    </w:p>
    <w:p>
      <w:pPr>
        <w:spacing w:after="100"/>
      </w:pPr>
      <w:r>
        <w:t xml:space="preserve">Palantir (FALCON, ICM, ImmigrationOS) + Clearview AI + Geo Group detention facilities</w:t>
      </w:r>
    </w:p>
    <w:p>
      <w:r>
        <w:br w:type="page"/>
      </w:r>
    </w:p>
    <w:p>
      <w:pPr>
        <w:pStyle w:val="Heading1"/>
      </w:pPr>
      <w:r>
        <w:t xml:space="preserve">Sources</w:t>
      </w:r>
    </w:p>
    <w:p>
      <w:pPr>
        <w:pStyle w:val="Heading2"/>
        <w:spacing w:after="200"/>
      </w:pPr>
      <w:r>
        <w:t xml:space="preserve">Government Records</w:t>
      </w:r>
    </w:p>
    <w:p>
      <w:pPr>
        <w:spacing w:after="100"/>
      </w:pPr>
      <w:r>
        <w:t xml:space="preserve">USASpending.gov, ICE.gov, DHS OHSS, TRAC Reports (Syracuse), Palantir SEC Filings</w:t>
      </w:r>
    </w:p>
    <w:p>
      <w:pPr>
        <w:pStyle w:val="Heading2"/>
        <w:spacing w:after="200"/>
      </w:pPr>
      <w:r>
        <w:t xml:space="preserve">Peer-Reviewed Research</w:t>
      </w:r>
    </w:p>
    <w:p>
      <w:pPr>
        <w:spacing w:after="100"/>
      </w:pPr>
      <w:r>
        <w:t xml:space="preserve">The Lancet (Jan 2025), London School of Hygiene &amp; Tropical Medicine, Max Planck Institute</w:t>
      </w:r>
    </w:p>
    <w:p>
      <w:pPr>
        <w:pStyle w:val="Heading2"/>
        <w:spacing w:after="200"/>
      </w:pPr>
      <w:r>
        <w:t xml:space="preserve">Investigative Journalism</w:t>
      </w:r>
    </w:p>
    <w:p>
      <w:pPr>
        <w:spacing w:after="100"/>
      </w:pPr>
      <w:r>
        <w:t xml:space="preserve">+972 Magazine/Local Call, The Nation, The Guardian, 404 Media, Wired, CorpWatch, Globes</w:t>
      </w:r>
    </w:p>
    <w:p>
      <w:pPr>
        <w:pStyle w:val="Heading2"/>
        <w:spacing w:after="200"/>
      </w:pPr>
      <w:r>
        <w:t xml:space="preserve">Industry Publications</w:t>
      </w:r>
    </w:p>
    <w:p>
      <w:pPr>
        <w:spacing w:after="100"/>
      </w:pPr>
      <w:r>
        <w:t xml:space="preserve">DefenseScoop, Breaking Defense, C4ISRNet, SpaceNews</w:t>
      </w:r>
    </w:p>
    <w:p>
      <w:pPr>
        <w:pStyle w:val="Heading2"/>
        <w:spacing w:after="200"/>
      </w:pPr>
      <w:r>
        <w:t xml:space="preserve">Advocacy Organizations</w:t>
      </w:r>
    </w:p>
    <w:p>
      <w:pPr>
        <w:spacing w:after="100"/>
      </w:pPr>
      <w:r>
        <w:t xml:space="preserve">American Immigration Council, AFSC Investigate, EPIC, Just Futures Law, KFF, Deportation Data Project</w:t>
      </w:r>
    </w:p>
    <w:p>
      <w:pPr>
        <w:spacing w:before="400" w:after="200"/>
      </w:pPr>
      <w:r>
        <w:rPr>
          <w:i/>
          <w:iCs/>
        </w:rPr>
        <w:t xml:space="preserve">Document compiled: January 30,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2"/>
      <w:szCs w:val="32"/>
    </w:rPr>
  </w:style>
  <w:style w:type="paragraph" w:styleId="Heading2">
    <w:name w:val="Heading 2"/>
    <w:basedOn w:val="Normal"/>
    <w:next w:val="Normal"/>
    <w:qFormat/>
    <w:pPr>
      <w:spacing w:before="280" w:after="160"/>
      <w:outlineLvl w:val="1"/>
    </w:pPr>
    <w:rPr>
      <w:rFonts w:ascii="Arial" w:cs="Arial" w:eastAsia="Arial" w:hAnsi="Arial"/>
      <w:b/>
      <w:bCs/>
      <w:sz w:val="26"/>
      <w:szCs w:val="26"/>
    </w:rPr>
  </w:style>
  <w:style w:type="paragraph" w:styleId="Heading3">
    <w:name w:val="Heading 3"/>
    <w:basedOn w:val="Normal"/>
    <w:next w:val="Normal"/>
    <w:qFormat/>
    <w:pPr>
      <w:spacing w:before="20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2026-01-30T13:25:34.811Z</dcterms:created>
  <dcterms:modified xsi:type="dcterms:W3CDTF">2026-01-30T13:25:34.812Z</dcterms:modified>
</cp:coreProperties>
</file>

<file path=docProps/custom.xml><?xml version="1.0" encoding="utf-8"?>
<Properties xmlns="http://schemas.openxmlformats.org/officeDocument/2006/custom-properties" xmlns:vt="http://schemas.openxmlformats.org/officeDocument/2006/docPropsVTypes"/>
</file>