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rFonts w:ascii="Arial" w:cs="Arial" w:eastAsia="Arial" w:hAnsi="Arial"/>
          <w:b/>
          <w:bCs/>
          <w:color w:val="1a5f7a"/>
          <w:sz w:val="40"/>
          <w:szCs w:val="40"/>
        </w:rPr>
        <w:t xml:space="preserve">COMMERCIAL BRAIN-COMPUTER INTERFACES</w:t>
      </w:r>
    </w:p>
    <w:p>
      <w:pPr>
        <w:spacing w:before="100"/>
        <w:jc w:val="center"/>
      </w:pPr>
      <w:r>
        <w:rPr>
          <w:rFonts w:ascii="Arial" w:cs="Arial" w:eastAsia="Arial" w:hAnsi="Arial"/>
          <w:color w:val="666666"/>
          <w:sz w:val="32"/>
          <w:szCs w:val="32"/>
        </w:rPr>
        <w:t xml:space="preserve">vs</w:t>
      </w:r>
    </w:p>
    <w:p>
      <w:pPr>
        <w:spacing w:before="100"/>
        <w:jc w:val="center"/>
      </w:pPr>
      <w:r>
        <w:rPr>
          <w:rFonts w:ascii="Arial" w:cs="Arial" w:eastAsia="Arial" w:hAnsi="Arial"/>
          <w:b/>
          <w:bCs/>
          <w:color w:val="006400"/>
          <w:sz w:val="40"/>
          <w:szCs w:val="40"/>
        </w:rPr>
        <w:t xml:space="preserve">USLaP HEALTH RESTORATION SYSTEM</w:t>
      </w:r>
    </w:p>
    <w:p>
      <w:pPr>
        <w:spacing w:before="300"/>
        <w:jc w:val="center"/>
      </w:pPr>
      <w:r>
        <w:rPr>
          <w:rFonts w:ascii="Arial" w:cs="Arial" w:eastAsia="Arial" w:hAnsi="Arial"/>
          <w:color w:val="333333"/>
          <w:sz w:val="24"/>
          <w:szCs w:val="24"/>
        </w:rPr>
        <w:t xml:space="preserve">A Binary Analysis of the Big Six BCI Companies:</w:t>
      </w:r>
    </w:p>
    <w:p>
      <w:pPr>
        <w:spacing w:before="80"/>
        <w:jc w:val="center"/>
      </w:pPr>
      <w:r>
        <w:rPr>
          <w:rFonts w:ascii="Arial" w:cs="Arial" w:eastAsia="Arial" w:hAnsi="Arial"/>
          <w:color w:val="666666"/>
          <w:sz w:val="20"/>
          <w:szCs w:val="20"/>
        </w:rPr>
        <w:t xml:space="preserve">Neuralink | Synchron | Blackrock Neurotech | Paradromics | Precision Neuroscience | Science Corp</w:t>
      </w:r>
    </w:p>
    <w:p>
      <w:pPr>
        <w:spacing w:before="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666666" w:sz="1"/>
              <w:left w:val="single" w:color="666666" w:sz="1"/>
              <w:bottom w:val="single" w:color="666666" w:sz="1"/>
              <w:right w:val="single" w:color="666666" w:sz="1"/>
            </w:tcBorders>
            <w:shd w:fill="1a3a4a" w:val="clear"/>
            <w:tcMar>
              <w:top w:type="dxa" w:w="120"/>
              <w:left w:type="dxa" w:w="150"/>
              <w:bottom w:type="dxa" w:w="120"/>
              <w:right w:type="dxa" w:w="150"/>
            </w:tcMar>
          </w:tcPr>
          <w:p>
            <w:pPr>
              <w:jc w:val="center"/>
            </w:pPr>
            <w:r>
              <w:rPr>
                <w:rFonts w:ascii="Arial" w:cs="Arial" w:eastAsia="Arial" w:hAnsi="Arial"/>
                <w:b/>
                <w:bCs/>
                <w:color w:val="FFFFFF"/>
                <w:sz w:val="24"/>
                <w:szCs w:val="24"/>
              </w:rPr>
              <w:t xml:space="preserve">EXECUTIVE SUMMARY</w:t>
            </w:r>
          </w:p>
          <w:p>
            <w:pPr>
              <w:spacing w:before="120"/>
            </w:pPr>
          </w:p>
          <w:p>
            <w:r>
              <w:rPr>
                <w:color w:val="FFFFFF"/>
                <w:sz w:val="18"/>
                <w:szCs w:val="18"/>
              </w:rPr>
              <w:t xml:space="preserve">COMBINED BIG SIX FUNDING: $2.84+ Billion (Private + Taxpayer)</w:t>
            </w:r>
          </w:p>
          <w:p>
            <w:r>
              <w:rPr>
                <w:color w:val="FFFFFF"/>
                <w:sz w:val="18"/>
                <w:szCs w:val="18"/>
              </w:rPr>
              <w:t xml:space="preserve">TAXPAYER FUNDING (DARPA + NIH + DoD): $500+ Million annually across BCI sector</w:t>
            </w:r>
          </w:p>
          <w:p>
            <w:r>
              <w:rPr>
                <w:color w:val="FFFFFF"/>
                <w:sz w:val="18"/>
                <w:szCs w:val="18"/>
              </w:rPr>
              <w:t xml:space="preserve">TOTAL PATIENTS IMPLANTED: &lt;100 humans globally (all six companies combined)</w:t>
            </w:r>
          </w:p>
          <w:p>
            <w:r>
              <w:rPr>
                <w:b/>
                <w:bCs/>
                <w:color w:val="ff6666"/>
                <w:sz w:val="18"/>
                <w:szCs w:val="18"/>
              </w:rPr>
              <w:t xml:space="preserve">TOTAL HEALTH RESTORED: ZERO (0 patients returned to pre-injury function)</w:t>
            </w:r>
          </w:p>
          <w:p>
            <w:r>
              <w:rPr>
                <w:b/>
                <w:bCs/>
                <w:color w:val="ff6666"/>
                <w:sz w:val="18"/>
                <w:szCs w:val="18"/>
              </w:rPr>
              <w:t xml:space="preserve">PRECISE FORMULAS/EQUATIONS: ZERO (all use probabilistic "black box" AI)</w:t>
            </w:r>
          </w:p>
          <w:p>
            <w:pPr>
              <w:spacing w:before="100"/>
            </w:pPr>
          </w:p>
          <w:p>
            <w:r>
              <w:rPr>
                <w:color w:val="90EE90"/>
                <w:sz w:val="18"/>
                <w:szCs w:val="18"/>
              </w:rPr>
              <w:t xml:space="preserve">USLaP TOTAL COST: $0 (Open-source, no surgery, no device dependency)</w:t>
            </w:r>
          </w:p>
          <w:p>
            <w:r>
              <w:rPr>
                <w:color w:val="90EE90"/>
                <w:sz w:val="18"/>
                <w:szCs w:val="18"/>
              </w:rPr>
              <w:t xml:space="preserve">USLaP ACCESSIBILITY: 7.2 Billion (any literate person on Earth)</w:t>
            </w:r>
          </w:p>
          <w:p>
            <w:r>
              <w:rPr>
                <w:color w:val="90EE90"/>
                <w:sz w:val="18"/>
                <w:szCs w:val="18"/>
              </w:rPr>
              <w:t xml:space="preserve">USLaP PRECISE FORMULAS: 5+ deterministic equations (E = f(Qs, Hb), etc.)</w:t>
            </w:r>
          </w:p>
          <w:p>
            <w:r>
              <w:rPr>
                <w:color w:val="90EE90"/>
                <w:sz w:val="18"/>
                <w:szCs w:val="18"/>
              </w:rPr>
              <w:t xml:space="preserve">USLaP TRANSPARENCY: 100% (huggingface.co/uslap/uslap-multilingual)</w:t>
            </w:r>
          </w:p>
        </w:tc>
      </w:tr>
    </w:tbl>
    <w:p>
      <w:pPr>
        <w:spacing w:before="200"/>
      </w:pPr>
    </w:p>
    <w:p>
      <w:pPr>
        <w:jc w:val="center"/>
      </w:pPr>
      <w:r>
        <w:rPr>
          <w:rFonts w:ascii="Arial" w:cs="Arial" w:eastAsia="Arial" w:hAnsi="Arial"/>
          <w:color w:val="666666"/>
          <w:sz w:val="18"/>
          <w:szCs w:val="18"/>
        </w:rPr>
        <w:t xml:space="preserve">USLaP Protocol v1.0 | Root: Holy Quran (6236 ayat → 114 surah → 1 Root)</w:t>
      </w:r>
    </w:p>
    <w:p>
      <w:pPr>
        <w:spacing w:before="80"/>
        <w:jc w:val="center"/>
      </w:pPr>
      <w:r>
        <w:rPr>
          <w:rFonts w:ascii="Arial" w:cs="Arial" w:eastAsia="Arial" w:hAnsi="Arial"/>
          <w:color w:val="666666"/>
          <w:sz w:val="18"/>
          <w:szCs w:val="18"/>
        </w:rPr>
        <w:t xml:space="preserve">January 2026</w:t>
      </w:r>
    </w:p>
    <w:p>
      <w:r>
        <w:br w:type="page"/>
      </w:r>
    </w:p>
    <w:p>
      <w:pPr>
        <w:pStyle w:val="Heading1"/>
      </w:pPr>
      <w:r>
        <w:t xml:space="preserve">SECTION 1: THE BIG SIX BCI COMPANIES — FUNDING &amp; TAXPAYER ANALYSIS</w:t>
      </w:r>
    </w:p>
    <w:p>
      <w:pPr>
        <w:spacing w:before="150"/>
      </w:pPr>
      <w:r>
        <w:rPr>
          <w:sz w:val="20"/>
          <w:szCs w:val="20"/>
        </w:rPr>
        <w:t xml:space="preserve">The invasive brain-computer interface industry is dominated by six companies, all of which have received significant government funding through DARPA, NIH, and DoD grants in addition to private venture capital. This represents a "land and expand" strategy: taxpayer money de-risks early R&amp;D, private capital scales deployment, and patients become permanently device-dependent.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648"/>
      </w:tblGrid>
      <w:tr>
        <w:tc>
          <w:tcPr>
            <w:tcW w:type="dxa" w:w="1600"/>
            <w:tcBorders>
              <w:top w:val="single" w:color="666666" w:sz="1"/>
              <w:left w:val="single" w:color="666666" w:sz="1"/>
              <w:bottom w:val="single" w:color="666666" w:sz="1"/>
              <w:right w:val="single" w:color="666666" w:sz="1"/>
            </w:tcBorders>
            <w:shd w:fill="1a5f7a" w:val="clear"/>
            <w:tcMar>
              <w:top w:type="dxa" w:w="40"/>
              <w:left w:type="dxa" w:w="40"/>
              <w:bottom w:type="dxa" w:w="40"/>
              <w:right w:type="dxa" w:w="40"/>
            </w:tcMar>
          </w:tcPr>
          <w:p>
            <w:r>
              <w:rPr>
                <w:b/>
                <w:bCs/>
                <w:color w:val="FFFFFF"/>
                <w:sz w:val="14"/>
                <w:szCs w:val="14"/>
              </w:rPr>
              <w:t xml:space="preserve">Company</w:t>
            </w:r>
          </w:p>
        </w:tc>
        <w:tc>
          <w:tcPr>
            <w:tcW w:type="dxa" w:w="1600"/>
            <w:tcBorders>
              <w:top w:val="single" w:color="666666" w:sz="1"/>
              <w:left w:val="single" w:color="666666" w:sz="1"/>
              <w:bottom w:val="single" w:color="666666" w:sz="1"/>
              <w:right w:val="single" w:color="666666" w:sz="1"/>
            </w:tcBorders>
            <w:shd w:fill="1a5f7a" w:val="clear"/>
            <w:tcMar>
              <w:top w:type="dxa" w:w="40"/>
              <w:left w:type="dxa" w:w="40"/>
              <w:bottom w:type="dxa" w:w="40"/>
              <w:right w:type="dxa" w:w="40"/>
            </w:tcMar>
          </w:tcPr>
          <w:p>
            <w:r>
              <w:rPr>
                <w:b/>
                <w:bCs/>
                <w:color w:val="FFFFFF"/>
                <w:sz w:val="14"/>
                <w:szCs w:val="14"/>
              </w:rPr>
              <w:t xml:space="preserve">Private $</w:t>
            </w:r>
          </w:p>
        </w:tc>
        <w:tc>
          <w:tcPr>
            <w:tcW w:type="dxa" w:w="1600"/>
            <w:tcBorders>
              <w:top w:val="single" w:color="666666" w:sz="1"/>
              <w:left w:val="single" w:color="666666" w:sz="1"/>
              <w:bottom w:val="single" w:color="666666" w:sz="1"/>
              <w:right w:val="single" w:color="666666" w:sz="1"/>
            </w:tcBorders>
            <w:shd w:fill="1a5f7a" w:val="clear"/>
            <w:tcMar>
              <w:top w:type="dxa" w:w="40"/>
              <w:left w:type="dxa" w:w="40"/>
              <w:bottom w:type="dxa" w:w="40"/>
              <w:right w:type="dxa" w:w="40"/>
            </w:tcMar>
          </w:tcPr>
          <w:p>
            <w:r>
              <w:rPr>
                <w:b/>
                <w:bCs/>
                <w:color w:val="FFFFFF"/>
                <w:sz w:val="14"/>
                <w:szCs w:val="14"/>
              </w:rPr>
              <w:t xml:space="preserve">Gov't Grants</w:t>
            </w:r>
          </w:p>
        </w:tc>
        <w:tc>
          <w:tcPr>
            <w:tcW w:type="dxa" w:w="1600"/>
            <w:tcBorders>
              <w:top w:val="single" w:color="666666" w:sz="1"/>
              <w:left w:val="single" w:color="666666" w:sz="1"/>
              <w:bottom w:val="single" w:color="666666" w:sz="1"/>
              <w:right w:val="single" w:color="666666" w:sz="1"/>
            </w:tcBorders>
            <w:shd w:fill="1a5f7a" w:val="clear"/>
            <w:tcMar>
              <w:top w:type="dxa" w:w="40"/>
              <w:left w:type="dxa" w:w="40"/>
              <w:bottom w:type="dxa" w:w="40"/>
              <w:right w:type="dxa" w:w="40"/>
            </w:tcMar>
          </w:tcPr>
          <w:p>
            <w:r>
              <w:rPr>
                <w:b/>
                <w:bCs/>
                <w:color w:val="FFFFFF"/>
                <w:sz w:val="14"/>
                <w:szCs w:val="14"/>
              </w:rPr>
              <w:t xml:space="preserve">Patients</w:t>
            </w:r>
          </w:p>
        </w:tc>
        <w:tc>
          <w:tcPr>
            <w:tcW w:type="dxa" w:w="1600"/>
            <w:tcBorders>
              <w:top w:val="single" w:color="666666" w:sz="1"/>
              <w:left w:val="single" w:color="666666" w:sz="1"/>
              <w:bottom w:val="single" w:color="666666" w:sz="1"/>
              <w:right w:val="single" w:color="666666" w:sz="1"/>
            </w:tcBorders>
            <w:shd w:fill="1a5f7a" w:val="clear"/>
            <w:tcMar>
              <w:top w:type="dxa" w:w="40"/>
              <w:left w:type="dxa" w:w="40"/>
              <w:bottom w:type="dxa" w:w="40"/>
              <w:right w:type="dxa" w:w="40"/>
            </w:tcMar>
          </w:tcPr>
          <w:p>
            <w:r>
              <w:rPr>
                <w:b/>
                <w:bCs/>
                <w:color w:val="FFFFFF"/>
                <w:sz w:val="14"/>
                <w:szCs w:val="14"/>
              </w:rPr>
              <w:t xml:space="preserve">Cured</w:t>
            </w:r>
          </w:p>
        </w:tc>
        <w:tc>
          <w:tcPr>
            <w:tcW w:type="dxa" w:w="1648"/>
            <w:tcBorders>
              <w:top w:val="single" w:color="666666" w:sz="1"/>
              <w:left w:val="single" w:color="666666" w:sz="1"/>
              <w:bottom w:val="single" w:color="666666" w:sz="1"/>
              <w:right w:val="single" w:color="666666" w:sz="1"/>
            </w:tcBorders>
            <w:shd w:fill="1a5f7a" w:val="clear"/>
            <w:tcMar>
              <w:top w:type="dxa" w:w="40"/>
              <w:left w:type="dxa" w:w="40"/>
              <w:bottom w:type="dxa" w:w="40"/>
              <w:right w:type="dxa" w:w="40"/>
            </w:tcMar>
          </w:tcPr>
          <w:p>
            <w:r>
              <w:rPr>
                <w:b/>
                <w:bCs/>
                <w:color w:val="FFFFFF"/>
                <w:sz w:val="14"/>
                <w:szCs w:val="14"/>
              </w:rPr>
              <w:t xml:space="preserve">Key Investors</w:t>
            </w:r>
          </w:p>
        </w:tc>
      </w:tr>
      <w:tr>
        <w:tc>
          <w:tcPr>
            <w:tcW w:type="dxa" w:w="1600"/>
            <w:tcBorders>
              <w:top w:val="single" w:color="666666" w:sz="1"/>
              <w:left w:val="single" w:color="666666" w:sz="1"/>
              <w:bottom w:val="single" w:color="666666" w:sz="1"/>
              <w:right w:val="single" w:color="666666" w:sz="1"/>
            </w:tcBorders>
            <w:tcMar>
              <w:top w:type="dxa" w:w="40"/>
              <w:left w:type="dxa" w:w="40"/>
              <w:bottom w:type="dxa" w:w="40"/>
              <w:right w:type="dxa" w:w="40"/>
            </w:tcMar>
          </w:tcPr>
          <w:p>
            <w:r>
              <w:rPr>
                <w:b/>
                <w:bCs/>
                <w:sz w:val="14"/>
                <w:szCs w:val="14"/>
              </w:rPr>
              <w:t xml:space="preserve">NEURALINK</w:t>
            </w:r>
          </w:p>
        </w:tc>
        <w:tc>
          <w:tcPr>
            <w:tcW w:type="dxa" w:w="1600"/>
            <w:tcBorders>
              <w:top w:val="single" w:color="666666" w:sz="1"/>
              <w:left w:val="single" w:color="666666" w:sz="1"/>
              <w:bottom w:val="single" w:color="666666" w:sz="1"/>
              <w:right w:val="single" w:color="666666" w:sz="1"/>
            </w:tcBorders>
            <w:tcMar>
              <w:top w:type="dxa" w:w="40"/>
              <w:left w:type="dxa" w:w="40"/>
              <w:bottom w:type="dxa" w:w="40"/>
              <w:right w:type="dxa" w:w="40"/>
            </w:tcMar>
          </w:tcPr>
          <w:p>
            <w:r>
              <w:rPr>
                <w:sz w:val="14"/>
                <w:szCs w:val="14"/>
              </w:rPr>
              <w:t xml:space="preserve">$1.29B</w:t>
            </w:r>
          </w:p>
        </w:tc>
        <w:tc>
          <w:tcPr>
            <w:tcW w:type="dxa" w:w="1600"/>
            <w:tcBorders>
              <w:top w:val="single" w:color="666666" w:sz="1"/>
              <w:left w:val="single" w:color="666666" w:sz="1"/>
              <w:bottom w:val="single" w:color="666666" w:sz="1"/>
              <w:right w:val="single" w:color="666666" w:sz="1"/>
            </w:tcBorders>
            <w:tcMar>
              <w:top w:type="dxa" w:w="40"/>
              <w:left w:type="dxa" w:w="40"/>
              <w:bottom w:type="dxa" w:w="40"/>
              <w:right w:type="dxa" w:w="40"/>
            </w:tcMar>
          </w:tcPr>
          <w:p>
            <w:r>
              <w:rPr>
                <w:sz w:val="14"/>
                <w:szCs w:val="14"/>
              </w:rPr>
              <w:t xml:space="preserve">$0 direct (benefits from DARPA ecosystem)</w:t>
            </w:r>
          </w:p>
        </w:tc>
        <w:tc>
          <w:tcPr>
            <w:tcW w:type="dxa" w:w="1600"/>
            <w:tcBorders>
              <w:top w:val="single" w:color="666666" w:sz="1"/>
              <w:left w:val="single" w:color="666666" w:sz="1"/>
              <w:bottom w:val="single" w:color="666666" w:sz="1"/>
              <w:right w:val="single" w:color="666666" w:sz="1"/>
            </w:tcBorders>
            <w:tcMar>
              <w:top w:type="dxa" w:w="40"/>
              <w:left w:type="dxa" w:w="40"/>
              <w:bottom w:type="dxa" w:w="40"/>
              <w:right w:type="dxa" w:w="40"/>
            </w:tcMar>
          </w:tcPr>
          <w:p>
            <w:r>
              <w:rPr>
                <w:sz w:val="14"/>
                <w:szCs w:val="14"/>
              </w:rPr>
              <w:t xml:space="preserve">21</w:t>
            </w:r>
          </w:p>
        </w:tc>
        <w:tc>
          <w:tcPr>
            <w:tcW w:type="dxa" w:w="1600"/>
            <w:tcBorders>
              <w:top w:val="single" w:color="666666" w:sz="1"/>
              <w:left w:val="single" w:color="666666" w:sz="1"/>
              <w:bottom w:val="single" w:color="666666" w:sz="1"/>
              <w:right w:val="single" w:color="666666" w:sz="1"/>
            </w:tcBorders>
            <w:shd w:fill="ffebee" w:val="clear"/>
            <w:tcMar>
              <w:top w:type="dxa" w:w="40"/>
              <w:left w:type="dxa" w:w="40"/>
              <w:bottom w:type="dxa" w:w="40"/>
              <w:right w:type="dxa" w:w="40"/>
            </w:tcMar>
          </w:tcPr>
          <w:p>
            <w:pPr>
              <w:jc w:val="center"/>
            </w:pPr>
            <w:r>
              <w:rPr>
                <w:b/>
                <w:bCs/>
                <w:color w:val="8B0000"/>
                <w:sz w:val="14"/>
                <w:szCs w:val="14"/>
              </w:rPr>
              <w:t xml:space="preserve">0</w:t>
            </w:r>
          </w:p>
        </w:tc>
        <w:tc>
          <w:tcPr>
            <w:tcW w:type="dxa" w:w="1648"/>
            <w:tcBorders>
              <w:top w:val="single" w:color="666666" w:sz="1"/>
              <w:left w:val="single" w:color="666666" w:sz="1"/>
              <w:bottom w:val="single" w:color="666666" w:sz="1"/>
              <w:right w:val="single" w:color="666666" w:sz="1"/>
            </w:tcBorders>
            <w:tcMar>
              <w:top w:type="dxa" w:w="40"/>
              <w:left w:type="dxa" w:w="40"/>
              <w:bottom w:type="dxa" w:w="40"/>
              <w:right w:type="dxa" w:w="40"/>
            </w:tcMar>
          </w:tcPr>
          <w:p>
            <w:r>
              <w:rPr>
                <w:sz w:val="14"/>
                <w:szCs w:val="14"/>
              </w:rPr>
              <w:t xml:space="preserve">Thiel, ARK, Sequoia, QIA, G42</w:t>
            </w:r>
          </w:p>
        </w:tc>
      </w:tr>
      <w:tr>
        <w:tc>
          <w:tcPr>
            <w:tcW w:type="dxa" w:w="1600"/>
            <w:tcBorders>
              <w:top w:val="single" w:color="666666" w:sz="1"/>
              <w:left w:val="single" w:color="666666" w:sz="1"/>
              <w:bottom w:val="single" w:color="666666" w:sz="1"/>
              <w:right w:val="single" w:color="666666" w:sz="1"/>
            </w:tcBorders>
            <w:shd w:fill="f0f7f9" w:val="clear"/>
            <w:tcMar>
              <w:top w:type="dxa" w:w="40"/>
              <w:left w:type="dxa" w:w="40"/>
              <w:bottom w:type="dxa" w:w="40"/>
              <w:right w:type="dxa" w:w="40"/>
            </w:tcMar>
          </w:tcPr>
          <w:p>
            <w:r>
              <w:rPr>
                <w:b/>
                <w:bCs/>
                <w:sz w:val="14"/>
                <w:szCs w:val="14"/>
              </w:rPr>
              <w:t xml:space="preserve">SYNCHRON</w:t>
            </w:r>
          </w:p>
        </w:tc>
        <w:tc>
          <w:tcPr>
            <w:tcW w:type="dxa" w:w="1600"/>
            <w:tcBorders>
              <w:top w:val="single" w:color="666666" w:sz="1"/>
              <w:left w:val="single" w:color="666666" w:sz="1"/>
              <w:bottom w:val="single" w:color="666666" w:sz="1"/>
              <w:right w:val="single" w:color="666666" w:sz="1"/>
            </w:tcBorders>
            <w:shd w:fill="f0f7f9" w:val="clear"/>
            <w:tcMar>
              <w:top w:type="dxa" w:w="40"/>
              <w:left w:type="dxa" w:w="40"/>
              <w:bottom w:type="dxa" w:w="40"/>
              <w:right w:type="dxa" w:w="40"/>
            </w:tcMar>
          </w:tcPr>
          <w:p>
            <w:r>
              <w:rPr>
                <w:sz w:val="14"/>
                <w:szCs w:val="14"/>
              </w:rPr>
              <w:t xml:space="preserve">$345M+</w:t>
            </w:r>
          </w:p>
        </w:tc>
        <w:tc>
          <w:tcPr>
            <w:tcW w:type="dxa" w:w="1600"/>
            <w:tcBorders>
              <w:top w:val="single" w:color="666666" w:sz="1"/>
              <w:left w:val="single" w:color="666666" w:sz="1"/>
              <w:bottom w:val="single" w:color="666666" w:sz="1"/>
              <w:right w:val="single" w:color="666666" w:sz="1"/>
            </w:tcBorders>
            <w:shd w:fill="f0f7f9" w:val="clear"/>
            <w:tcMar>
              <w:top w:type="dxa" w:w="40"/>
              <w:left w:type="dxa" w:w="40"/>
              <w:bottom w:type="dxa" w:w="40"/>
              <w:right w:type="dxa" w:w="40"/>
            </w:tcMar>
          </w:tcPr>
          <w:p>
            <w:r>
              <w:rPr>
                <w:sz w:val="14"/>
                <w:szCs w:val="14"/>
              </w:rPr>
              <w:t xml:space="preserve">DARPA RE-NET, NIH, DoD grants</w:t>
            </w:r>
          </w:p>
        </w:tc>
        <w:tc>
          <w:tcPr>
            <w:tcW w:type="dxa" w:w="1600"/>
            <w:tcBorders>
              <w:top w:val="single" w:color="666666" w:sz="1"/>
              <w:left w:val="single" w:color="666666" w:sz="1"/>
              <w:bottom w:val="single" w:color="666666" w:sz="1"/>
              <w:right w:val="single" w:color="666666" w:sz="1"/>
            </w:tcBorders>
            <w:shd w:fill="f0f7f9" w:val="clear"/>
            <w:tcMar>
              <w:top w:type="dxa" w:w="40"/>
              <w:left w:type="dxa" w:w="40"/>
              <w:bottom w:type="dxa" w:w="40"/>
              <w:right w:type="dxa" w:w="40"/>
            </w:tcMar>
          </w:tcPr>
          <w:p>
            <w:r>
              <w:rPr>
                <w:sz w:val="14"/>
                <w:szCs w:val="14"/>
              </w:rPr>
              <w:t xml:space="preserve">10</w:t>
            </w:r>
          </w:p>
        </w:tc>
        <w:tc>
          <w:tcPr>
            <w:tcW w:type="dxa" w:w="1600"/>
            <w:tcBorders>
              <w:top w:val="single" w:color="666666" w:sz="1"/>
              <w:left w:val="single" w:color="666666" w:sz="1"/>
              <w:bottom w:val="single" w:color="666666" w:sz="1"/>
              <w:right w:val="single" w:color="666666" w:sz="1"/>
            </w:tcBorders>
            <w:shd w:fill="ffebee" w:val="clear"/>
            <w:tcMar>
              <w:top w:type="dxa" w:w="40"/>
              <w:left w:type="dxa" w:w="40"/>
              <w:bottom w:type="dxa" w:w="40"/>
              <w:right w:type="dxa" w:w="40"/>
            </w:tcMar>
          </w:tcPr>
          <w:p>
            <w:pPr>
              <w:jc w:val="center"/>
            </w:pPr>
            <w:r>
              <w:rPr>
                <w:b/>
                <w:bCs/>
                <w:color w:val="8B0000"/>
                <w:sz w:val="14"/>
                <w:szCs w:val="14"/>
              </w:rPr>
              <w:t xml:space="preserve">0</w:t>
            </w:r>
          </w:p>
        </w:tc>
        <w:tc>
          <w:tcPr>
            <w:tcW w:type="dxa" w:w="1648"/>
            <w:tcBorders>
              <w:top w:val="single" w:color="666666" w:sz="1"/>
              <w:left w:val="single" w:color="666666" w:sz="1"/>
              <w:bottom w:val="single" w:color="666666" w:sz="1"/>
              <w:right w:val="single" w:color="666666" w:sz="1"/>
            </w:tcBorders>
            <w:shd w:fill="f0f7f9" w:val="clear"/>
            <w:tcMar>
              <w:top w:type="dxa" w:w="40"/>
              <w:left w:type="dxa" w:w="40"/>
              <w:bottom w:type="dxa" w:w="40"/>
              <w:right w:type="dxa" w:w="40"/>
            </w:tcMar>
          </w:tcPr>
          <w:p>
            <w:r>
              <w:rPr>
                <w:sz w:val="14"/>
                <w:szCs w:val="14"/>
              </w:rPr>
              <w:t xml:space="preserve">Gates, Bezos, Khosla</w:t>
            </w:r>
          </w:p>
        </w:tc>
      </w:tr>
      <w:tr>
        <w:tc>
          <w:tcPr>
            <w:tcW w:type="dxa" w:w="1600"/>
            <w:tcBorders>
              <w:top w:val="single" w:color="666666" w:sz="1"/>
              <w:left w:val="single" w:color="666666" w:sz="1"/>
              <w:bottom w:val="single" w:color="666666" w:sz="1"/>
              <w:right w:val="single" w:color="666666" w:sz="1"/>
            </w:tcBorders>
            <w:tcMar>
              <w:top w:type="dxa" w:w="40"/>
              <w:left w:type="dxa" w:w="40"/>
              <w:bottom w:type="dxa" w:w="40"/>
              <w:right w:type="dxa" w:w="40"/>
            </w:tcMar>
          </w:tcPr>
          <w:p>
            <w:r>
              <w:rPr>
                <w:b/>
                <w:bCs/>
                <w:sz w:val="14"/>
                <w:szCs w:val="14"/>
              </w:rPr>
              <w:t xml:space="preserve">BLACKROCK</w:t>
            </w:r>
          </w:p>
        </w:tc>
        <w:tc>
          <w:tcPr>
            <w:tcW w:type="dxa" w:w="1600"/>
            <w:tcBorders>
              <w:top w:val="single" w:color="666666" w:sz="1"/>
              <w:left w:val="single" w:color="666666" w:sz="1"/>
              <w:bottom w:val="single" w:color="666666" w:sz="1"/>
              <w:right w:val="single" w:color="666666" w:sz="1"/>
            </w:tcBorders>
            <w:tcMar>
              <w:top w:type="dxa" w:w="40"/>
              <w:left w:type="dxa" w:w="40"/>
              <w:bottom w:type="dxa" w:w="40"/>
              <w:right w:type="dxa" w:w="40"/>
            </w:tcMar>
          </w:tcPr>
          <w:p>
            <w:r>
              <w:rPr>
                <w:sz w:val="14"/>
                <w:szCs w:val="14"/>
              </w:rPr>
              <w:t xml:space="preserve">$222M+</w:t>
            </w:r>
          </w:p>
        </w:tc>
        <w:tc>
          <w:tcPr>
            <w:tcW w:type="dxa" w:w="1600"/>
            <w:tcBorders>
              <w:top w:val="single" w:color="666666" w:sz="1"/>
              <w:left w:val="single" w:color="666666" w:sz="1"/>
              <w:bottom w:val="single" w:color="666666" w:sz="1"/>
              <w:right w:val="single" w:color="666666" w:sz="1"/>
            </w:tcBorders>
            <w:tcMar>
              <w:top w:type="dxa" w:w="40"/>
              <w:left w:type="dxa" w:w="40"/>
              <w:bottom w:type="dxa" w:w="40"/>
              <w:right w:type="dxa" w:w="40"/>
            </w:tcMar>
          </w:tcPr>
          <w:p>
            <w:r>
              <w:rPr>
                <w:sz w:val="14"/>
                <w:szCs w:val="14"/>
              </w:rPr>
              <w:t xml:space="preserve">NIH BRAIN, HHS grants, indirect via universities</w:t>
            </w:r>
          </w:p>
        </w:tc>
        <w:tc>
          <w:tcPr>
            <w:tcW w:type="dxa" w:w="1600"/>
            <w:tcBorders>
              <w:top w:val="single" w:color="666666" w:sz="1"/>
              <w:left w:val="single" w:color="666666" w:sz="1"/>
              <w:bottom w:val="single" w:color="666666" w:sz="1"/>
              <w:right w:val="single" w:color="666666" w:sz="1"/>
            </w:tcBorders>
            <w:tcMar>
              <w:top w:type="dxa" w:w="40"/>
              <w:left w:type="dxa" w:w="40"/>
              <w:bottom w:type="dxa" w:w="40"/>
              <w:right w:type="dxa" w:w="40"/>
            </w:tcMar>
          </w:tcPr>
          <w:p>
            <w:r>
              <w:rPr>
                <w:sz w:val="14"/>
                <w:szCs w:val="14"/>
              </w:rPr>
              <w:t xml:space="preserve">40+</w:t>
            </w:r>
          </w:p>
        </w:tc>
        <w:tc>
          <w:tcPr>
            <w:tcW w:type="dxa" w:w="1600"/>
            <w:tcBorders>
              <w:top w:val="single" w:color="666666" w:sz="1"/>
              <w:left w:val="single" w:color="666666" w:sz="1"/>
              <w:bottom w:val="single" w:color="666666" w:sz="1"/>
              <w:right w:val="single" w:color="666666" w:sz="1"/>
            </w:tcBorders>
            <w:shd w:fill="ffebee" w:val="clear"/>
            <w:tcMar>
              <w:top w:type="dxa" w:w="40"/>
              <w:left w:type="dxa" w:w="40"/>
              <w:bottom w:type="dxa" w:w="40"/>
              <w:right w:type="dxa" w:w="40"/>
            </w:tcMar>
          </w:tcPr>
          <w:p>
            <w:pPr>
              <w:jc w:val="center"/>
            </w:pPr>
            <w:r>
              <w:rPr>
                <w:b/>
                <w:bCs/>
                <w:color w:val="8B0000"/>
                <w:sz w:val="14"/>
                <w:szCs w:val="14"/>
              </w:rPr>
              <w:t xml:space="preserve">0</w:t>
            </w:r>
          </w:p>
        </w:tc>
        <w:tc>
          <w:tcPr>
            <w:tcW w:type="dxa" w:w="1648"/>
            <w:tcBorders>
              <w:top w:val="single" w:color="666666" w:sz="1"/>
              <w:left w:val="single" w:color="666666" w:sz="1"/>
              <w:bottom w:val="single" w:color="666666" w:sz="1"/>
              <w:right w:val="single" w:color="666666" w:sz="1"/>
            </w:tcBorders>
            <w:tcMar>
              <w:top w:type="dxa" w:w="40"/>
              <w:left w:type="dxa" w:w="40"/>
              <w:bottom w:type="dxa" w:w="40"/>
              <w:right w:type="dxa" w:w="40"/>
            </w:tcMar>
          </w:tcPr>
          <w:p>
            <w:r>
              <w:rPr>
                <w:sz w:val="14"/>
                <w:szCs w:val="14"/>
              </w:rPr>
              <w:t xml:space="preserve">TETHER ($200M), Thiel</w:t>
            </w:r>
          </w:p>
        </w:tc>
      </w:tr>
      <w:tr>
        <w:tc>
          <w:tcPr>
            <w:tcW w:type="dxa" w:w="1600"/>
            <w:tcBorders>
              <w:top w:val="single" w:color="666666" w:sz="1"/>
              <w:left w:val="single" w:color="666666" w:sz="1"/>
              <w:bottom w:val="single" w:color="666666" w:sz="1"/>
              <w:right w:val="single" w:color="666666" w:sz="1"/>
            </w:tcBorders>
            <w:shd w:fill="f0f7f9" w:val="clear"/>
            <w:tcMar>
              <w:top w:type="dxa" w:w="40"/>
              <w:left w:type="dxa" w:w="40"/>
              <w:bottom w:type="dxa" w:w="40"/>
              <w:right w:type="dxa" w:w="40"/>
            </w:tcMar>
          </w:tcPr>
          <w:p>
            <w:r>
              <w:rPr>
                <w:b/>
                <w:bCs/>
                <w:sz w:val="14"/>
                <w:szCs w:val="14"/>
              </w:rPr>
              <w:t xml:space="preserve">PARADROMICS</w:t>
            </w:r>
          </w:p>
        </w:tc>
        <w:tc>
          <w:tcPr>
            <w:tcW w:type="dxa" w:w="1600"/>
            <w:tcBorders>
              <w:top w:val="single" w:color="666666" w:sz="1"/>
              <w:left w:val="single" w:color="666666" w:sz="1"/>
              <w:bottom w:val="single" w:color="666666" w:sz="1"/>
              <w:right w:val="single" w:color="666666" w:sz="1"/>
            </w:tcBorders>
            <w:shd w:fill="f0f7f9" w:val="clear"/>
            <w:tcMar>
              <w:top w:type="dxa" w:w="40"/>
              <w:left w:type="dxa" w:w="40"/>
              <w:bottom w:type="dxa" w:w="40"/>
              <w:right w:type="dxa" w:w="40"/>
            </w:tcMar>
          </w:tcPr>
          <w:p>
            <w:r>
              <w:rPr>
                <w:sz w:val="14"/>
                <w:szCs w:val="14"/>
              </w:rPr>
              <w:t xml:space="preserve">$105M+</w:t>
            </w:r>
          </w:p>
        </w:tc>
        <w:tc>
          <w:tcPr>
            <w:tcW w:type="dxa" w:w="1600"/>
            <w:tcBorders>
              <w:top w:val="single" w:color="666666" w:sz="1"/>
              <w:left w:val="single" w:color="666666" w:sz="1"/>
              <w:bottom w:val="single" w:color="666666" w:sz="1"/>
              <w:right w:val="single" w:color="666666" w:sz="1"/>
            </w:tcBorders>
            <w:shd w:fill="f0f7f9" w:val="clear"/>
            <w:tcMar>
              <w:top w:type="dxa" w:w="40"/>
              <w:left w:type="dxa" w:w="40"/>
              <w:bottom w:type="dxa" w:w="40"/>
              <w:right w:type="dxa" w:w="40"/>
            </w:tcMar>
          </w:tcPr>
          <w:p>
            <w:r>
              <w:rPr>
                <w:sz w:val="14"/>
                <w:szCs w:val="14"/>
              </w:rPr>
              <w:t xml:space="preserve">$18M DARPA + NIH grants</w:t>
            </w:r>
          </w:p>
        </w:tc>
        <w:tc>
          <w:tcPr>
            <w:tcW w:type="dxa" w:w="1600"/>
            <w:tcBorders>
              <w:top w:val="single" w:color="666666" w:sz="1"/>
              <w:left w:val="single" w:color="666666" w:sz="1"/>
              <w:bottom w:val="single" w:color="666666" w:sz="1"/>
              <w:right w:val="single" w:color="666666" w:sz="1"/>
            </w:tcBorders>
            <w:shd w:fill="f0f7f9" w:val="clear"/>
            <w:tcMar>
              <w:top w:type="dxa" w:w="40"/>
              <w:left w:type="dxa" w:w="40"/>
              <w:bottom w:type="dxa" w:w="40"/>
              <w:right w:type="dxa" w:w="40"/>
            </w:tcMar>
          </w:tcPr>
          <w:p>
            <w:r>
              <w:rPr>
                <w:sz w:val="14"/>
                <w:szCs w:val="14"/>
              </w:rPr>
              <w:t xml:space="preserve">1 (removed)</w:t>
            </w:r>
          </w:p>
        </w:tc>
        <w:tc>
          <w:tcPr>
            <w:tcW w:type="dxa" w:w="1600"/>
            <w:tcBorders>
              <w:top w:val="single" w:color="666666" w:sz="1"/>
              <w:left w:val="single" w:color="666666" w:sz="1"/>
              <w:bottom w:val="single" w:color="666666" w:sz="1"/>
              <w:right w:val="single" w:color="666666" w:sz="1"/>
            </w:tcBorders>
            <w:shd w:fill="ffebee" w:val="clear"/>
            <w:tcMar>
              <w:top w:type="dxa" w:w="40"/>
              <w:left w:type="dxa" w:w="40"/>
              <w:bottom w:type="dxa" w:w="40"/>
              <w:right w:type="dxa" w:w="40"/>
            </w:tcMar>
          </w:tcPr>
          <w:p>
            <w:pPr>
              <w:jc w:val="center"/>
            </w:pPr>
            <w:r>
              <w:rPr>
                <w:b/>
                <w:bCs/>
                <w:color w:val="8B0000"/>
                <w:sz w:val="14"/>
                <w:szCs w:val="14"/>
              </w:rPr>
              <w:t xml:space="preserve">0</w:t>
            </w:r>
          </w:p>
        </w:tc>
        <w:tc>
          <w:tcPr>
            <w:tcW w:type="dxa" w:w="1648"/>
            <w:tcBorders>
              <w:top w:val="single" w:color="666666" w:sz="1"/>
              <w:left w:val="single" w:color="666666" w:sz="1"/>
              <w:bottom w:val="single" w:color="666666" w:sz="1"/>
              <w:right w:val="single" w:color="666666" w:sz="1"/>
            </w:tcBorders>
            <w:shd w:fill="f0f7f9" w:val="clear"/>
            <w:tcMar>
              <w:top w:type="dxa" w:w="40"/>
              <w:left w:type="dxa" w:w="40"/>
              <w:bottom w:type="dxa" w:w="40"/>
              <w:right w:type="dxa" w:w="40"/>
            </w:tcMar>
          </w:tcPr>
          <w:p>
            <w:r>
              <w:rPr>
                <w:sz w:val="14"/>
                <w:szCs w:val="14"/>
              </w:rPr>
              <w:t xml:space="preserve">Prime Movers, NEOM (Saudi)</w:t>
            </w:r>
          </w:p>
        </w:tc>
      </w:tr>
      <w:tr>
        <w:tc>
          <w:tcPr>
            <w:tcW w:type="dxa" w:w="1600"/>
            <w:tcBorders>
              <w:top w:val="single" w:color="666666" w:sz="1"/>
              <w:left w:val="single" w:color="666666" w:sz="1"/>
              <w:bottom w:val="single" w:color="666666" w:sz="1"/>
              <w:right w:val="single" w:color="666666" w:sz="1"/>
            </w:tcBorders>
            <w:tcMar>
              <w:top w:type="dxa" w:w="40"/>
              <w:left w:type="dxa" w:w="40"/>
              <w:bottom w:type="dxa" w:w="40"/>
              <w:right w:type="dxa" w:w="40"/>
            </w:tcMar>
          </w:tcPr>
          <w:p>
            <w:r>
              <w:rPr>
                <w:b/>
                <w:bCs/>
                <w:sz w:val="14"/>
                <w:szCs w:val="14"/>
              </w:rPr>
              <w:t xml:space="preserve">PRECISION</w:t>
            </w:r>
          </w:p>
        </w:tc>
        <w:tc>
          <w:tcPr>
            <w:tcW w:type="dxa" w:w="1600"/>
            <w:tcBorders>
              <w:top w:val="single" w:color="666666" w:sz="1"/>
              <w:left w:val="single" w:color="666666" w:sz="1"/>
              <w:bottom w:val="single" w:color="666666" w:sz="1"/>
              <w:right w:val="single" w:color="666666" w:sz="1"/>
            </w:tcBorders>
            <w:tcMar>
              <w:top w:type="dxa" w:w="40"/>
              <w:left w:type="dxa" w:w="40"/>
              <w:bottom w:type="dxa" w:w="40"/>
              <w:right w:type="dxa" w:w="40"/>
            </w:tcMar>
          </w:tcPr>
          <w:p>
            <w:r>
              <w:rPr>
                <w:sz w:val="14"/>
                <w:szCs w:val="14"/>
              </w:rPr>
              <w:t xml:space="preserve">$155M</w:t>
            </w:r>
          </w:p>
        </w:tc>
        <w:tc>
          <w:tcPr>
            <w:tcW w:type="dxa" w:w="1600"/>
            <w:tcBorders>
              <w:top w:val="single" w:color="666666" w:sz="1"/>
              <w:left w:val="single" w:color="666666" w:sz="1"/>
              <w:bottom w:val="single" w:color="666666" w:sz="1"/>
              <w:right w:val="single" w:color="666666" w:sz="1"/>
            </w:tcBorders>
            <w:tcMar>
              <w:top w:type="dxa" w:w="40"/>
              <w:left w:type="dxa" w:w="40"/>
              <w:bottom w:type="dxa" w:w="40"/>
              <w:right w:type="dxa" w:w="40"/>
            </w:tcMar>
          </w:tcPr>
          <w:p>
            <w:r>
              <w:rPr>
                <w:sz w:val="14"/>
                <w:szCs w:val="14"/>
              </w:rPr>
              <w:t xml:space="preserve">Benefits from NIH ecosystem</w:t>
            </w:r>
          </w:p>
        </w:tc>
        <w:tc>
          <w:tcPr>
            <w:tcW w:type="dxa" w:w="1600"/>
            <w:tcBorders>
              <w:top w:val="single" w:color="666666" w:sz="1"/>
              <w:left w:val="single" w:color="666666" w:sz="1"/>
              <w:bottom w:val="single" w:color="666666" w:sz="1"/>
              <w:right w:val="single" w:color="666666" w:sz="1"/>
            </w:tcBorders>
            <w:tcMar>
              <w:top w:type="dxa" w:w="40"/>
              <w:left w:type="dxa" w:w="40"/>
              <w:bottom w:type="dxa" w:w="40"/>
              <w:right w:type="dxa" w:w="40"/>
            </w:tcMar>
          </w:tcPr>
          <w:p>
            <w:r>
              <w:rPr>
                <w:sz w:val="14"/>
                <w:szCs w:val="14"/>
              </w:rPr>
              <w:t xml:space="preserve">Early trials</w:t>
            </w:r>
          </w:p>
        </w:tc>
        <w:tc>
          <w:tcPr>
            <w:tcW w:type="dxa" w:w="1600"/>
            <w:tcBorders>
              <w:top w:val="single" w:color="666666" w:sz="1"/>
              <w:left w:val="single" w:color="666666" w:sz="1"/>
              <w:bottom w:val="single" w:color="666666" w:sz="1"/>
              <w:right w:val="single" w:color="666666" w:sz="1"/>
            </w:tcBorders>
            <w:shd w:fill="ffebee" w:val="clear"/>
            <w:tcMar>
              <w:top w:type="dxa" w:w="40"/>
              <w:left w:type="dxa" w:w="40"/>
              <w:bottom w:type="dxa" w:w="40"/>
              <w:right w:type="dxa" w:w="40"/>
            </w:tcMar>
          </w:tcPr>
          <w:p>
            <w:pPr>
              <w:jc w:val="center"/>
            </w:pPr>
            <w:r>
              <w:rPr>
                <w:b/>
                <w:bCs/>
                <w:color w:val="8B0000"/>
                <w:sz w:val="14"/>
                <w:szCs w:val="14"/>
              </w:rPr>
              <w:t xml:space="preserve">0</w:t>
            </w:r>
          </w:p>
        </w:tc>
        <w:tc>
          <w:tcPr>
            <w:tcW w:type="dxa" w:w="1648"/>
            <w:tcBorders>
              <w:top w:val="single" w:color="666666" w:sz="1"/>
              <w:left w:val="single" w:color="666666" w:sz="1"/>
              <w:bottom w:val="single" w:color="666666" w:sz="1"/>
              <w:right w:val="single" w:color="666666" w:sz="1"/>
            </w:tcBorders>
            <w:tcMar>
              <w:top w:type="dxa" w:w="40"/>
              <w:left w:type="dxa" w:w="40"/>
              <w:bottom w:type="dxa" w:w="40"/>
              <w:right w:type="dxa" w:w="40"/>
            </w:tcMar>
          </w:tcPr>
          <w:p>
            <w:r>
              <w:rPr>
                <w:sz w:val="14"/>
                <w:szCs w:val="14"/>
              </w:rPr>
              <w:t xml:space="preserve">SCI Ventures, VC funds</w:t>
            </w:r>
          </w:p>
        </w:tc>
      </w:tr>
      <w:tr>
        <w:tc>
          <w:tcPr>
            <w:tcW w:type="dxa" w:w="1600"/>
            <w:tcBorders>
              <w:top w:val="single" w:color="666666" w:sz="1"/>
              <w:left w:val="single" w:color="666666" w:sz="1"/>
              <w:bottom w:val="single" w:color="666666" w:sz="1"/>
              <w:right w:val="single" w:color="666666" w:sz="1"/>
            </w:tcBorders>
            <w:shd w:fill="f0f7f9" w:val="clear"/>
            <w:tcMar>
              <w:top w:type="dxa" w:w="40"/>
              <w:left w:type="dxa" w:w="40"/>
              <w:bottom w:type="dxa" w:w="40"/>
              <w:right w:type="dxa" w:w="40"/>
            </w:tcMar>
          </w:tcPr>
          <w:p>
            <w:r>
              <w:rPr>
                <w:b/>
                <w:bCs/>
                <w:sz w:val="14"/>
                <w:szCs w:val="14"/>
              </w:rPr>
              <w:t xml:space="preserve">SCIENCE CORP</w:t>
            </w:r>
          </w:p>
        </w:tc>
        <w:tc>
          <w:tcPr>
            <w:tcW w:type="dxa" w:w="1600"/>
            <w:tcBorders>
              <w:top w:val="single" w:color="666666" w:sz="1"/>
              <w:left w:val="single" w:color="666666" w:sz="1"/>
              <w:bottom w:val="single" w:color="666666" w:sz="1"/>
              <w:right w:val="single" w:color="666666" w:sz="1"/>
            </w:tcBorders>
            <w:shd w:fill="f0f7f9" w:val="clear"/>
            <w:tcMar>
              <w:top w:type="dxa" w:w="40"/>
              <w:left w:type="dxa" w:w="40"/>
              <w:bottom w:type="dxa" w:w="40"/>
              <w:right w:type="dxa" w:w="40"/>
            </w:tcMar>
          </w:tcPr>
          <w:p>
            <w:r>
              <w:rPr>
                <w:sz w:val="14"/>
                <w:szCs w:val="14"/>
              </w:rPr>
              <w:t xml:space="preserve">$100M+</w:t>
            </w:r>
          </w:p>
        </w:tc>
        <w:tc>
          <w:tcPr>
            <w:tcW w:type="dxa" w:w="1600"/>
            <w:tcBorders>
              <w:top w:val="single" w:color="666666" w:sz="1"/>
              <w:left w:val="single" w:color="666666" w:sz="1"/>
              <w:bottom w:val="single" w:color="666666" w:sz="1"/>
              <w:right w:val="single" w:color="666666" w:sz="1"/>
            </w:tcBorders>
            <w:shd w:fill="f0f7f9" w:val="clear"/>
            <w:tcMar>
              <w:top w:type="dxa" w:w="40"/>
              <w:left w:type="dxa" w:w="40"/>
              <w:bottom w:type="dxa" w:w="40"/>
              <w:right w:type="dxa" w:w="40"/>
            </w:tcMar>
          </w:tcPr>
          <w:p>
            <w:r>
              <w:rPr>
                <w:sz w:val="14"/>
                <w:szCs w:val="14"/>
              </w:rPr>
              <w:t xml:space="preserve">Benefits from DARPA vision research</w:t>
            </w:r>
          </w:p>
        </w:tc>
        <w:tc>
          <w:tcPr>
            <w:tcW w:type="dxa" w:w="1600"/>
            <w:tcBorders>
              <w:top w:val="single" w:color="666666" w:sz="1"/>
              <w:left w:val="single" w:color="666666" w:sz="1"/>
              <w:bottom w:val="single" w:color="666666" w:sz="1"/>
              <w:right w:val="single" w:color="666666" w:sz="1"/>
            </w:tcBorders>
            <w:shd w:fill="f0f7f9" w:val="clear"/>
            <w:tcMar>
              <w:top w:type="dxa" w:w="40"/>
              <w:left w:type="dxa" w:w="40"/>
              <w:bottom w:type="dxa" w:w="40"/>
              <w:right w:type="dxa" w:w="40"/>
            </w:tcMar>
          </w:tcPr>
          <w:p>
            <w:r>
              <w:rPr>
                <w:sz w:val="14"/>
                <w:szCs w:val="14"/>
              </w:rPr>
              <w:t xml:space="preserve">Pre-human</w:t>
            </w:r>
          </w:p>
        </w:tc>
        <w:tc>
          <w:tcPr>
            <w:tcW w:type="dxa" w:w="1600"/>
            <w:tcBorders>
              <w:top w:val="single" w:color="666666" w:sz="1"/>
              <w:left w:val="single" w:color="666666" w:sz="1"/>
              <w:bottom w:val="single" w:color="666666" w:sz="1"/>
              <w:right w:val="single" w:color="666666" w:sz="1"/>
            </w:tcBorders>
            <w:shd w:fill="ffebee" w:val="clear"/>
            <w:tcMar>
              <w:top w:type="dxa" w:w="40"/>
              <w:left w:type="dxa" w:w="40"/>
              <w:bottom w:type="dxa" w:w="40"/>
              <w:right w:type="dxa" w:w="40"/>
            </w:tcMar>
          </w:tcPr>
          <w:p>
            <w:pPr>
              <w:jc w:val="center"/>
            </w:pPr>
            <w:r>
              <w:rPr>
                <w:b/>
                <w:bCs/>
                <w:color w:val="8B0000"/>
                <w:sz w:val="14"/>
                <w:szCs w:val="14"/>
              </w:rPr>
              <w:t xml:space="preserve">0</w:t>
            </w:r>
          </w:p>
        </w:tc>
        <w:tc>
          <w:tcPr>
            <w:tcW w:type="dxa" w:w="1648"/>
            <w:tcBorders>
              <w:top w:val="single" w:color="666666" w:sz="1"/>
              <w:left w:val="single" w:color="666666" w:sz="1"/>
              <w:bottom w:val="single" w:color="666666" w:sz="1"/>
              <w:right w:val="single" w:color="666666" w:sz="1"/>
            </w:tcBorders>
            <w:shd w:fill="f0f7f9" w:val="clear"/>
            <w:tcMar>
              <w:top w:type="dxa" w:w="40"/>
              <w:left w:type="dxa" w:w="40"/>
              <w:bottom w:type="dxa" w:w="40"/>
              <w:right w:type="dxa" w:w="40"/>
            </w:tcMar>
          </w:tcPr>
          <w:p>
            <w:r>
              <w:rPr>
                <w:sz w:val="14"/>
                <w:szCs w:val="14"/>
              </w:rPr>
              <w:t xml:space="preserve">a16z, Google Ventures</w:t>
            </w:r>
          </w:p>
        </w:tc>
      </w:tr>
      <w:tr>
        <w:tc>
          <w:tcPr>
            <w:tcW w:type="dxa" w:w="1600"/>
            <w:tcBorders>
              <w:top w:val="single" w:color="666666" w:sz="1"/>
              <w:left w:val="single" w:color="666666" w:sz="1"/>
              <w:bottom w:val="single" w:color="666666" w:sz="1"/>
              <w:right w:val="single" w:color="666666" w:sz="1"/>
            </w:tcBorders>
            <w:shd w:fill="fff3cd" w:val="clear"/>
            <w:tcMar>
              <w:top w:type="dxa" w:w="40"/>
              <w:left w:type="dxa" w:w="40"/>
              <w:bottom w:type="dxa" w:w="40"/>
              <w:right w:type="dxa" w:w="40"/>
            </w:tcMar>
          </w:tcPr>
          <w:p>
            <w:r>
              <w:rPr>
                <w:b/>
                <w:bCs/>
                <w:sz w:val="14"/>
                <w:szCs w:val="14"/>
              </w:rPr>
              <w:t xml:space="preserve">TOTAL</w:t>
            </w:r>
          </w:p>
        </w:tc>
        <w:tc>
          <w:tcPr>
            <w:tcW w:type="dxa" w:w="1600"/>
            <w:tcBorders>
              <w:top w:val="single" w:color="666666" w:sz="1"/>
              <w:left w:val="single" w:color="666666" w:sz="1"/>
              <w:bottom w:val="single" w:color="666666" w:sz="1"/>
              <w:right w:val="single" w:color="666666" w:sz="1"/>
            </w:tcBorders>
            <w:shd w:fill="fff3cd" w:val="clear"/>
            <w:tcMar>
              <w:top w:type="dxa" w:w="40"/>
              <w:left w:type="dxa" w:w="40"/>
              <w:bottom w:type="dxa" w:w="40"/>
              <w:right w:type="dxa" w:w="40"/>
            </w:tcMar>
          </w:tcPr>
          <w:p>
            <w:r>
              <w:rPr>
                <w:b/>
                <w:bCs/>
                <w:sz w:val="14"/>
                <w:szCs w:val="14"/>
              </w:rPr>
              <w:t xml:space="preserve">$2.22B+</w:t>
            </w:r>
          </w:p>
        </w:tc>
        <w:tc>
          <w:tcPr>
            <w:tcW w:type="dxa" w:w="1600"/>
            <w:tcBorders>
              <w:top w:val="single" w:color="666666" w:sz="1"/>
              <w:left w:val="single" w:color="666666" w:sz="1"/>
              <w:bottom w:val="single" w:color="666666" w:sz="1"/>
              <w:right w:val="single" w:color="666666" w:sz="1"/>
            </w:tcBorders>
            <w:shd w:fill="fff3cd" w:val="clear"/>
            <w:tcMar>
              <w:top w:type="dxa" w:w="40"/>
              <w:left w:type="dxa" w:w="40"/>
              <w:bottom w:type="dxa" w:w="40"/>
              <w:right w:type="dxa" w:w="40"/>
            </w:tcMar>
          </w:tcPr>
          <w:p>
            <w:r>
              <w:rPr>
                <w:b/>
                <w:bCs/>
                <w:sz w:val="14"/>
                <w:szCs w:val="14"/>
              </w:rPr>
              <w:t xml:space="preserve">$500M+/yr sector</w:t>
            </w:r>
          </w:p>
        </w:tc>
        <w:tc>
          <w:tcPr>
            <w:tcW w:type="dxa" w:w="1600"/>
            <w:tcBorders>
              <w:top w:val="single" w:color="666666" w:sz="1"/>
              <w:left w:val="single" w:color="666666" w:sz="1"/>
              <w:bottom w:val="single" w:color="666666" w:sz="1"/>
              <w:right w:val="single" w:color="666666" w:sz="1"/>
            </w:tcBorders>
            <w:shd w:fill="fff3cd" w:val="clear"/>
            <w:tcMar>
              <w:top w:type="dxa" w:w="40"/>
              <w:left w:type="dxa" w:w="40"/>
              <w:bottom w:type="dxa" w:w="40"/>
              <w:right w:type="dxa" w:w="40"/>
            </w:tcMar>
          </w:tcPr>
          <w:p>
            <w:r>
              <w:rPr>
                <w:b/>
                <w:bCs/>
                <w:sz w:val="14"/>
                <w:szCs w:val="14"/>
              </w:rPr>
              <w:t xml:space="preserve">&lt;100</w:t>
            </w:r>
          </w:p>
        </w:tc>
        <w:tc>
          <w:tcPr>
            <w:tcW w:type="dxa" w:w="1600"/>
            <w:tcBorders>
              <w:top w:val="single" w:color="666666" w:sz="1"/>
              <w:left w:val="single" w:color="666666" w:sz="1"/>
              <w:bottom w:val="single" w:color="666666" w:sz="1"/>
              <w:right w:val="single" w:color="666666" w:sz="1"/>
            </w:tcBorders>
            <w:shd w:fill="8B0000" w:val="clear"/>
            <w:tcMar>
              <w:top w:type="dxa" w:w="40"/>
              <w:left w:type="dxa" w:w="40"/>
              <w:bottom w:type="dxa" w:w="40"/>
              <w:right w:type="dxa" w:w="40"/>
            </w:tcMar>
          </w:tcPr>
          <w:p>
            <w:pPr>
              <w:jc w:val="center"/>
            </w:pPr>
            <w:r>
              <w:rPr>
                <w:b/>
                <w:bCs/>
                <w:color w:val="FFFFFF"/>
                <w:sz w:val="14"/>
                <w:szCs w:val="14"/>
              </w:rPr>
              <w:t xml:space="preserve">ZERO</w:t>
            </w:r>
          </w:p>
        </w:tc>
        <w:tc>
          <w:tcPr>
            <w:tcW w:type="dxa" w:w="1648"/>
            <w:tcBorders>
              <w:top w:val="single" w:color="666666" w:sz="1"/>
              <w:left w:val="single" w:color="666666" w:sz="1"/>
              <w:bottom w:val="single" w:color="666666" w:sz="1"/>
              <w:right w:val="single" w:color="666666" w:sz="1"/>
            </w:tcBorders>
            <w:shd w:fill="fff3cd" w:val="clear"/>
            <w:tcMar>
              <w:top w:type="dxa" w:w="40"/>
              <w:left w:type="dxa" w:w="40"/>
              <w:bottom w:type="dxa" w:w="40"/>
              <w:right w:type="dxa" w:w="40"/>
            </w:tcMar>
          </w:tcPr>
          <w:p>
            <w:r>
              <w:rPr>
                <w:b/>
                <w:bCs/>
                <w:sz w:val="14"/>
                <w:szCs w:val="14"/>
              </w:rPr>
              <w:t xml:space="preserve">PayPal Mafia network</w:t>
            </w:r>
          </w:p>
        </w:tc>
      </w:tr>
    </w:tbl>
    <w:p>
      <w:pPr>
        <w:pStyle w:val="Heading2"/>
      </w:pPr>
      <w:r>
        <w:t xml:space="preserve">1.1 Taxpayer Funding Analysis</w:t>
      </w:r>
    </w:p>
    <w:p>
      <w:pPr>
        <w:spacing w:before="100"/>
      </w:pPr>
      <w:r>
        <w:rPr>
          <w:sz w:val="20"/>
          <w:szCs w:val="20"/>
        </w:rPr>
        <w:t xml:space="preserve">Federal AI and IT R&amp;D funding for FY2025 allocates $314 million to DARPA, $309 million to NIH, and $233 million to DoD for AI/neurotech research. The NIH BRAIN Initiative alone has a 12-year budget of $4.5 billion. Almost every major BCI technology can be traced to DARPA funding: Neuralink's surgical robot (SUBNETs program, $70M), Synchron's Stentrode (RE-NET program), Paradromics (direct $18M DARPA/NIH grants). Taxpayer money de-risks the R&amp;D; private investors capture the commercial upside.</w:t>
      </w:r>
    </w:p>
    <w:p>
      <w:r>
        <w:br w:type="page"/>
      </w:r>
    </w:p>
    <w:p>
      <w:pPr>
        <w:pStyle w:val="Heading1"/>
      </w:pPr>
      <w:r>
        <w:t xml:space="preserve">SECTION 2: THE "LAND AND EXPAND" DEPENDENCY STRATEGY</w:t>
      </w:r>
    </w:p>
    <w:p>
      <w:pPr>
        <w:spacing w:before="150"/>
      </w:pPr>
      <w:r>
        <w:rPr>
          <w:sz w:val="22"/>
          <w:szCs w:val="22"/>
        </w:rPr>
        <w:t xml:space="preserve">The BCI industry follows the same business model as pharmaceutical companies: create irreversible conditions that require permanent device/drug dependency. This is not conspiracy theory but documented revenue projection.</w:t>
      </w:r>
    </w:p>
    <w:p>
      <w:pPr>
        <w:pStyle w:val="Heading2"/>
      </w:pPr>
      <w:r>
        <w:t xml:space="preserve">2.1 The Dependency Creation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c>
          <w:tcPr>
            <w:tcW w:type="dxa" w:w="3216"/>
            <w:tcBorders>
              <w:top w:val="single" w:color="666666" w:sz="1"/>
              <w:left w:val="single" w:color="666666" w:sz="1"/>
              <w:bottom w:val="single" w:color="666666" w:sz="1"/>
              <w:right w:val="single" w:color="666666" w:sz="1"/>
            </w:tcBorders>
            <w:shd w:fill="1a5f7a" w:val="clear"/>
            <w:tcMar>
              <w:top w:type="dxa" w:w="60"/>
              <w:left w:type="dxa" w:w="80"/>
              <w:bottom w:type="dxa" w:w="60"/>
              <w:right w:type="dxa" w:w="80"/>
            </w:tcMar>
          </w:tcPr>
          <w:p>
            <w:r>
              <w:rPr>
                <w:b/>
                <w:bCs/>
                <w:color w:val="FFFFFF"/>
                <w:sz w:val="18"/>
                <w:szCs w:val="18"/>
              </w:rPr>
              <w:t xml:space="preserve">Phase</w:t>
            </w:r>
          </w:p>
        </w:tc>
        <w:tc>
          <w:tcPr>
            <w:tcW w:type="dxa" w:w="3216"/>
            <w:tcBorders>
              <w:top w:val="single" w:color="666666" w:sz="1"/>
              <w:left w:val="single" w:color="666666" w:sz="1"/>
              <w:bottom w:val="single" w:color="666666" w:sz="1"/>
              <w:right w:val="single" w:color="666666" w:sz="1"/>
            </w:tcBorders>
            <w:shd w:fill="1a5f7a" w:val="clear"/>
            <w:tcMar>
              <w:top w:type="dxa" w:w="60"/>
              <w:left w:type="dxa" w:w="80"/>
              <w:bottom w:type="dxa" w:w="60"/>
              <w:right w:type="dxa" w:w="80"/>
            </w:tcMar>
          </w:tcPr>
          <w:p>
            <w:r>
              <w:rPr>
                <w:b/>
                <w:bCs/>
                <w:color w:val="FFFFFF"/>
                <w:sz w:val="18"/>
                <w:szCs w:val="18"/>
              </w:rPr>
              <w:t xml:space="preserve">Big Pharma Model</w:t>
            </w:r>
          </w:p>
        </w:tc>
        <w:tc>
          <w:tcPr>
            <w:tcW w:type="dxa" w:w="3216"/>
            <w:tcBorders>
              <w:top w:val="single" w:color="666666" w:sz="1"/>
              <w:left w:val="single" w:color="666666" w:sz="1"/>
              <w:bottom w:val="single" w:color="666666" w:sz="1"/>
              <w:right w:val="single" w:color="666666" w:sz="1"/>
            </w:tcBorders>
            <w:shd w:fill="1a5f7a" w:val="clear"/>
            <w:tcMar>
              <w:top w:type="dxa" w:w="60"/>
              <w:left w:type="dxa" w:w="80"/>
              <w:bottom w:type="dxa" w:w="60"/>
              <w:right w:type="dxa" w:w="80"/>
            </w:tcMar>
          </w:tcPr>
          <w:p>
            <w:r>
              <w:rPr>
                <w:b/>
                <w:bCs/>
                <w:color w:val="FFFFFF"/>
                <w:sz w:val="18"/>
                <w:szCs w:val="18"/>
              </w:rPr>
              <w:t xml:space="preserve">BCI Model</w:t>
            </w:r>
          </w:p>
        </w:tc>
      </w:tr>
      <w:tr>
        <w:tc>
          <w:tcPr>
            <w:tcW w:type="dxa" w:w="3216"/>
            <w:tcBorders>
              <w:top w:val="single" w:color="666666" w:sz="1"/>
              <w:left w:val="single" w:color="666666" w:sz="1"/>
              <w:bottom w:val="single" w:color="666666" w:sz="1"/>
              <w:right w:val="single" w:color="666666" w:sz="1"/>
            </w:tcBorders>
            <w:tcMar>
              <w:top w:type="dxa" w:w="60"/>
              <w:left w:type="dxa" w:w="80"/>
              <w:bottom w:type="dxa" w:w="60"/>
              <w:right w:type="dxa" w:w="80"/>
            </w:tcMar>
          </w:tcPr>
          <w:p>
            <w:r>
              <w:rPr>
                <w:b/>
                <w:bCs/>
                <w:sz w:val="18"/>
                <w:szCs w:val="18"/>
              </w:rPr>
              <w:t xml:space="preserve">1. LAND</w:t>
            </w:r>
          </w:p>
        </w:tc>
        <w:tc>
          <w:tcPr>
            <w:tcW w:type="dxa" w:w="3216"/>
            <w:tcBorders>
              <w:top w:val="single" w:color="666666" w:sz="1"/>
              <w:left w:val="single" w:color="666666" w:sz="1"/>
              <w:bottom w:val="single" w:color="666666" w:sz="1"/>
              <w:right w:val="single" w:color="666666" w:sz="1"/>
            </w:tcBorders>
            <w:tcMar>
              <w:top w:type="dxa" w:w="60"/>
              <w:left w:type="dxa" w:w="80"/>
              <w:bottom w:type="dxa" w:w="60"/>
              <w:right w:type="dxa" w:w="80"/>
            </w:tcMar>
          </w:tcPr>
          <w:p>
            <w:r>
              <w:rPr>
                <w:sz w:val="18"/>
                <w:szCs w:val="18"/>
              </w:rPr>
              <w:t xml:space="preserve">Taxpayer-funded clinical trials; FDA approval for "serious condition"</w:t>
            </w:r>
          </w:p>
        </w:tc>
        <w:tc>
          <w:tcPr>
            <w:tcW w:type="dxa" w:w="3216"/>
            <w:tcBorders>
              <w:top w:val="single" w:color="666666" w:sz="1"/>
              <w:left w:val="single" w:color="666666" w:sz="1"/>
              <w:bottom w:val="single" w:color="666666" w:sz="1"/>
              <w:right w:val="single" w:color="666666" w:sz="1"/>
            </w:tcBorders>
            <w:tcMar>
              <w:top w:type="dxa" w:w="60"/>
              <w:left w:type="dxa" w:w="80"/>
              <w:bottom w:type="dxa" w:w="60"/>
              <w:right w:type="dxa" w:w="80"/>
            </w:tcMar>
          </w:tcPr>
          <w:p>
            <w:r>
              <w:rPr>
                <w:sz w:val="18"/>
                <w:szCs w:val="18"/>
              </w:rPr>
              <w:t xml:space="preserve">DARPA/NIH-funded R&amp;D; FDA Breakthrough Designation for paralysis</w:t>
            </w:r>
          </w:p>
        </w:tc>
      </w:tr>
      <w:tr>
        <w:tc>
          <w:tcPr>
            <w:tcW w:type="dxa" w:w="3216"/>
            <w:tcBorders>
              <w:top w:val="single" w:color="666666" w:sz="1"/>
              <w:left w:val="single" w:color="666666" w:sz="1"/>
              <w:bottom w:val="single" w:color="666666" w:sz="1"/>
              <w:right w:val="single" w:color="666666" w:sz="1"/>
            </w:tcBorders>
            <w:shd w:fill="f0f7f9" w:val="clear"/>
            <w:tcMar>
              <w:top w:type="dxa" w:w="60"/>
              <w:left w:type="dxa" w:w="80"/>
              <w:bottom w:type="dxa" w:w="60"/>
              <w:right w:type="dxa" w:w="80"/>
            </w:tcMar>
          </w:tcPr>
          <w:p>
            <w:r>
              <w:rPr>
                <w:b/>
                <w:bCs/>
                <w:sz w:val="18"/>
                <w:szCs w:val="18"/>
              </w:rPr>
              <w:t xml:space="preserve">2. CREATE DEPENDENCY</w:t>
            </w:r>
          </w:p>
        </w:tc>
        <w:tc>
          <w:tcPr>
            <w:tcW w:type="dxa" w:w="3216"/>
            <w:tcBorders>
              <w:top w:val="single" w:color="666666" w:sz="1"/>
              <w:left w:val="single" w:color="666666" w:sz="1"/>
              <w:bottom w:val="single" w:color="666666" w:sz="1"/>
              <w:right w:val="single" w:color="666666" w:sz="1"/>
            </w:tcBorders>
            <w:shd w:fill="f0f7f9" w:val="clear"/>
            <w:tcMar>
              <w:top w:type="dxa" w:w="60"/>
              <w:left w:type="dxa" w:w="80"/>
              <w:bottom w:type="dxa" w:w="60"/>
              <w:right w:type="dxa" w:w="80"/>
            </w:tcMar>
          </w:tcPr>
          <w:p>
            <w:r>
              <w:rPr>
                <w:sz w:val="18"/>
                <w:szCs w:val="18"/>
              </w:rPr>
              <w:t xml:space="preserve">Drug alters body chemistry; withdrawal symptoms if stopped; "chronic condition" label</w:t>
            </w:r>
          </w:p>
        </w:tc>
        <w:tc>
          <w:tcPr>
            <w:tcW w:type="dxa" w:w="3216"/>
            <w:tcBorders>
              <w:top w:val="single" w:color="666666" w:sz="1"/>
              <w:left w:val="single" w:color="666666" w:sz="1"/>
              <w:bottom w:val="single" w:color="666666" w:sz="1"/>
              <w:right w:val="single" w:color="666666" w:sz="1"/>
            </w:tcBorders>
            <w:shd w:fill="f0f7f9" w:val="clear"/>
            <w:tcMar>
              <w:top w:type="dxa" w:w="60"/>
              <w:left w:type="dxa" w:w="80"/>
              <w:bottom w:type="dxa" w:w="60"/>
              <w:right w:type="dxa" w:w="80"/>
            </w:tcMar>
          </w:tcPr>
          <w:p>
            <w:r>
              <w:rPr>
                <w:sz w:val="18"/>
                <w:szCs w:val="18"/>
              </w:rPr>
              <w:t xml:space="preserve">Device implanted permanently; brain adapts to bypass; original pathways atrophy; removal = loss of function</w:t>
            </w:r>
          </w:p>
        </w:tc>
      </w:tr>
      <w:tr>
        <w:tc>
          <w:tcPr>
            <w:tcW w:type="dxa" w:w="3216"/>
            <w:tcBorders>
              <w:top w:val="single" w:color="666666" w:sz="1"/>
              <w:left w:val="single" w:color="666666" w:sz="1"/>
              <w:bottom w:val="single" w:color="666666" w:sz="1"/>
              <w:right w:val="single" w:color="666666" w:sz="1"/>
            </w:tcBorders>
            <w:tcMar>
              <w:top w:type="dxa" w:w="60"/>
              <w:left w:type="dxa" w:w="80"/>
              <w:bottom w:type="dxa" w:w="60"/>
              <w:right w:type="dxa" w:w="80"/>
            </w:tcMar>
          </w:tcPr>
          <w:p>
            <w:r>
              <w:rPr>
                <w:b/>
                <w:bCs/>
                <w:sz w:val="18"/>
                <w:szCs w:val="18"/>
              </w:rPr>
              <w:t xml:space="preserve">3. EXPAND</w:t>
            </w:r>
          </w:p>
        </w:tc>
        <w:tc>
          <w:tcPr>
            <w:tcW w:type="dxa" w:w="3216"/>
            <w:tcBorders>
              <w:top w:val="single" w:color="666666" w:sz="1"/>
              <w:left w:val="single" w:color="666666" w:sz="1"/>
              <w:bottom w:val="single" w:color="666666" w:sz="1"/>
              <w:right w:val="single" w:color="666666" w:sz="1"/>
            </w:tcBorders>
            <w:tcMar>
              <w:top w:type="dxa" w:w="60"/>
              <w:left w:type="dxa" w:w="80"/>
              <w:bottom w:type="dxa" w:w="60"/>
              <w:right w:type="dxa" w:w="80"/>
            </w:tcMar>
          </w:tcPr>
          <w:p>
            <w:r>
              <w:rPr>
                <w:sz w:val="18"/>
                <w:szCs w:val="18"/>
              </w:rPr>
              <w:t xml:space="preserve">Expand indications: anxiety, depression, ADHD, "prevention"</w:t>
            </w:r>
          </w:p>
        </w:tc>
        <w:tc>
          <w:tcPr>
            <w:tcW w:type="dxa" w:w="3216"/>
            <w:tcBorders>
              <w:top w:val="single" w:color="666666" w:sz="1"/>
              <w:left w:val="single" w:color="666666" w:sz="1"/>
              <w:bottom w:val="single" w:color="666666" w:sz="1"/>
              <w:right w:val="single" w:color="666666" w:sz="1"/>
            </w:tcBorders>
            <w:tcMar>
              <w:top w:type="dxa" w:w="60"/>
              <w:left w:type="dxa" w:w="80"/>
              <w:bottom w:type="dxa" w:w="60"/>
              <w:right w:type="dxa" w:w="80"/>
            </w:tcMar>
          </w:tcPr>
          <w:p>
            <w:r>
              <w:rPr>
                <w:sz w:val="18"/>
                <w:szCs w:val="18"/>
              </w:rPr>
              <w:t xml:space="preserve">Expand from paralysis to: vision, speech, Parkinson's, "cognitive enhancement," gaming</w:t>
            </w:r>
          </w:p>
        </w:tc>
      </w:tr>
      <w:tr>
        <w:tc>
          <w:tcPr>
            <w:tcW w:type="dxa" w:w="3216"/>
            <w:tcBorders>
              <w:top w:val="single" w:color="666666" w:sz="1"/>
              <w:left w:val="single" w:color="666666" w:sz="1"/>
              <w:bottom w:val="single" w:color="666666" w:sz="1"/>
              <w:right w:val="single" w:color="666666" w:sz="1"/>
            </w:tcBorders>
            <w:shd w:fill="f0f7f9" w:val="clear"/>
            <w:tcMar>
              <w:top w:type="dxa" w:w="60"/>
              <w:left w:type="dxa" w:w="80"/>
              <w:bottom w:type="dxa" w:w="60"/>
              <w:right w:type="dxa" w:w="80"/>
            </w:tcMar>
          </w:tcPr>
          <w:p>
            <w:r>
              <w:rPr>
                <w:b/>
                <w:bCs/>
                <w:sz w:val="18"/>
                <w:szCs w:val="18"/>
              </w:rPr>
              <w:t xml:space="preserve">4. REVENUE MODEL</w:t>
            </w:r>
          </w:p>
        </w:tc>
        <w:tc>
          <w:tcPr>
            <w:tcW w:type="dxa" w:w="3216"/>
            <w:tcBorders>
              <w:top w:val="single" w:color="666666" w:sz="1"/>
              <w:left w:val="single" w:color="666666" w:sz="1"/>
              <w:bottom w:val="single" w:color="666666" w:sz="1"/>
              <w:right w:val="single" w:color="666666" w:sz="1"/>
            </w:tcBorders>
            <w:shd w:fill="f0f7f9" w:val="clear"/>
            <w:tcMar>
              <w:top w:type="dxa" w:w="60"/>
              <w:left w:type="dxa" w:w="80"/>
              <w:bottom w:type="dxa" w:w="60"/>
              <w:right w:type="dxa" w:w="80"/>
            </w:tcMar>
          </w:tcPr>
          <w:p>
            <w:r>
              <w:rPr>
                <w:sz w:val="18"/>
                <w:szCs w:val="18"/>
              </w:rPr>
              <w:t xml:space="preserve">Monthly prescription refills; lifetime customer; $10K-$100K/year per patient</w:t>
            </w:r>
          </w:p>
        </w:tc>
        <w:tc>
          <w:tcPr>
            <w:tcW w:type="dxa" w:w="3216"/>
            <w:tcBorders>
              <w:top w:val="single" w:color="666666" w:sz="1"/>
              <w:left w:val="single" w:color="666666" w:sz="1"/>
              <w:bottom w:val="single" w:color="666666" w:sz="1"/>
              <w:right w:val="single" w:color="666666" w:sz="1"/>
            </w:tcBorders>
            <w:shd w:fill="f0f7f9" w:val="clear"/>
            <w:tcMar>
              <w:top w:type="dxa" w:w="60"/>
              <w:left w:type="dxa" w:w="80"/>
              <w:bottom w:type="dxa" w:w="60"/>
              <w:right w:type="dxa" w:w="80"/>
            </w:tcMar>
          </w:tcPr>
          <w:p>
            <w:r>
              <w:rPr>
                <w:sz w:val="18"/>
                <w:szCs w:val="18"/>
              </w:rPr>
              <w:t xml:space="preserve">$40K device + annual software updates + hardware upgrades; Neuralink projects $1B/year by 2031 from 20,000 implants</w:t>
            </w:r>
          </w:p>
        </w:tc>
      </w:tr>
    </w:tbl>
    <w:p>
      <w:pPr>
        <w:pStyle w:val="Heading2"/>
      </w:pPr>
      <w:r>
        <w:t xml:space="preserve">2.2 Irreversibility by Design</w:t>
      </w:r>
    </w:p>
    <w:p>
      <w:pPr>
        <w:spacing w:before="100"/>
      </w:pPr>
      <w:r>
        <w:rPr>
          <w:sz w:val="20"/>
          <w:szCs w:val="20"/>
        </w:rPr>
        <w:t xml:space="preserve">Neuralink Patient 1 (Noland Arbaugh): 85% of electrode threads retracted within first month. Device remains implanted. Patient uses device 10+ hours/day. Original motor pathways remain non-functional. Patient is now permanently dependent on Neuralink for any future "upgrades" — Musk has stated Noland "may receive an upgrade and/or dual implant." The patient cannot remove the device without losing the minimal function gained. This is designed dependency.</w:t>
      </w:r>
    </w:p>
    <w:p>
      <w:r>
        <w:br w:type="page"/>
      </w:r>
    </w:p>
    <w:p>
      <w:pPr>
        <w:pStyle w:val="Heading1"/>
      </w:pPr>
      <w:r>
        <w:t xml:space="preserve">SECTION 3: PRECISE FORMULAS — BCI (ZERO) vs USLaP (DETERMINISTIC)</w:t>
      </w:r>
    </w:p>
    <w:p>
      <w:pPr>
        <w:spacing w:before="150"/>
      </w:pPr>
      <w:r>
        <w:rPr>
          <w:sz w:val="22"/>
          <w:szCs w:val="22"/>
        </w:rPr>
        <w:t xml:space="preserve">The fundamental distinction between commercial BCI and USLaP is the presence or absence of precise, deterministic, falsifiable formulas. Commercial AI operates through probabilistic "black box" neural networks with billions of unauditable parameters. USLaP operates through explicit algebraic equations computable by any literate person.</w:t>
      </w:r>
    </w:p>
    <w:p>
      <w:pPr>
        <w:pStyle w:val="Heading2"/>
      </w:pPr>
      <w:r>
        <w:t xml:space="preserve">3.1 Commercial BCI: Zero Precise Formulas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12"/>
        <w:gridCol w:w="2412"/>
        <w:gridCol w:w="2412"/>
        <w:gridCol w:w="2412"/>
      </w:tblGrid>
      <w:tr>
        <w:tc>
          <w:tcPr>
            <w:tcW w:type="dxa" w:w="2412"/>
            <w:tcBorders>
              <w:top w:val="single" w:color="666666" w:sz="1"/>
              <w:left w:val="single" w:color="666666" w:sz="1"/>
              <w:bottom w:val="single" w:color="666666" w:sz="1"/>
              <w:right w:val="single" w:color="666666" w:sz="1"/>
            </w:tcBorders>
            <w:shd w:fill="8B0000" w:val="clear"/>
            <w:tcMar>
              <w:top w:type="dxa" w:w="50"/>
              <w:left w:type="dxa" w:w="60"/>
              <w:bottom w:type="dxa" w:w="50"/>
              <w:right w:type="dxa" w:w="60"/>
            </w:tcMar>
          </w:tcPr>
          <w:p>
            <w:r>
              <w:rPr>
                <w:b/>
                <w:bCs/>
                <w:color w:val="FFFFFF"/>
                <w:sz w:val="16"/>
                <w:szCs w:val="16"/>
              </w:rPr>
              <w:t xml:space="preserve">Company</w:t>
            </w:r>
          </w:p>
        </w:tc>
        <w:tc>
          <w:tcPr>
            <w:tcW w:type="dxa" w:w="2412"/>
            <w:tcBorders>
              <w:top w:val="single" w:color="666666" w:sz="1"/>
              <w:left w:val="single" w:color="666666" w:sz="1"/>
              <w:bottom w:val="single" w:color="666666" w:sz="1"/>
              <w:right w:val="single" w:color="666666" w:sz="1"/>
            </w:tcBorders>
            <w:shd w:fill="8B0000" w:val="clear"/>
            <w:tcMar>
              <w:top w:type="dxa" w:w="50"/>
              <w:left w:type="dxa" w:w="60"/>
              <w:bottom w:type="dxa" w:w="50"/>
              <w:right w:type="dxa" w:w="60"/>
            </w:tcMar>
          </w:tcPr>
          <w:p>
            <w:r>
              <w:rPr>
                <w:b/>
                <w:bCs/>
                <w:color w:val="FFFFFF"/>
                <w:sz w:val="16"/>
                <w:szCs w:val="16"/>
              </w:rPr>
              <w:t xml:space="preserve">"Algorithm"</w:t>
            </w:r>
          </w:p>
        </w:tc>
        <w:tc>
          <w:tcPr>
            <w:tcW w:type="dxa" w:w="2412"/>
            <w:tcBorders>
              <w:top w:val="single" w:color="666666" w:sz="1"/>
              <w:left w:val="single" w:color="666666" w:sz="1"/>
              <w:bottom w:val="single" w:color="666666" w:sz="1"/>
              <w:right w:val="single" w:color="666666" w:sz="1"/>
            </w:tcBorders>
            <w:shd w:fill="8B0000" w:val="clear"/>
            <w:tcMar>
              <w:top w:type="dxa" w:w="50"/>
              <w:left w:type="dxa" w:w="60"/>
              <w:bottom w:type="dxa" w:w="50"/>
              <w:right w:type="dxa" w:w="60"/>
            </w:tcMar>
          </w:tcPr>
          <w:p>
            <w:r>
              <w:rPr>
                <w:b/>
                <w:bCs/>
                <w:color w:val="FFFFFF"/>
                <w:sz w:val="16"/>
                <w:szCs w:val="16"/>
              </w:rPr>
              <w:t xml:space="preserve">Precise Formula?</w:t>
            </w:r>
          </w:p>
        </w:tc>
        <w:tc>
          <w:tcPr>
            <w:tcW w:type="dxa" w:w="2412"/>
            <w:tcBorders>
              <w:top w:val="single" w:color="666666" w:sz="1"/>
              <w:left w:val="single" w:color="666666" w:sz="1"/>
              <w:bottom w:val="single" w:color="666666" w:sz="1"/>
              <w:right w:val="single" w:color="666666" w:sz="1"/>
            </w:tcBorders>
            <w:shd w:fill="8B0000" w:val="clear"/>
            <w:tcMar>
              <w:top w:type="dxa" w:w="50"/>
              <w:left w:type="dxa" w:w="60"/>
              <w:bottom w:type="dxa" w:w="50"/>
              <w:right w:type="dxa" w:w="60"/>
            </w:tcMar>
          </w:tcPr>
          <w:p>
            <w:r>
              <w:rPr>
                <w:b/>
                <w:bCs/>
                <w:color w:val="FFFFFF"/>
                <w:sz w:val="16"/>
                <w:szCs w:val="16"/>
              </w:rPr>
              <w:t xml:space="preserve">Auditable?</w:t>
            </w:r>
          </w:p>
        </w:tc>
      </w:tr>
      <w:tr>
        <w:tc>
          <w:tcPr>
            <w:tcW w:type="dxa" w:w="2412"/>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Neuralink</w:t>
            </w:r>
          </w:p>
        </w:tc>
        <w:tc>
          <w:tcPr>
            <w:tcW w:type="dxa" w:w="2412"/>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Neural decoder (proprietary ML model with unknown parameters)</w:t>
            </w:r>
          </w:p>
        </w:tc>
        <w:tc>
          <w:tcPr>
            <w:tcW w:type="dxa" w:w="2412"/>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pPr>
              <w:jc w:val="center"/>
            </w:pPr>
            <w:r>
              <w:rPr>
                <w:b/>
                <w:bCs/>
                <w:sz w:val="16"/>
                <w:szCs w:val="16"/>
              </w:rPr>
              <w:t xml:space="preserve">NO</w:t>
            </w:r>
          </w:p>
        </w:tc>
        <w:tc>
          <w:tcPr>
            <w:tcW w:type="dxa" w:w="2412"/>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pPr>
              <w:jc w:val="center"/>
            </w:pPr>
            <w:r>
              <w:rPr>
                <w:sz w:val="16"/>
                <w:szCs w:val="16"/>
              </w:rPr>
              <w:t xml:space="preserve">NO (&lt;100 employees)</w:t>
            </w:r>
          </w:p>
        </w:tc>
      </w:tr>
      <w:tr>
        <w:tc>
          <w:tcPr>
            <w:tcW w:type="dxa" w:w="2412"/>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Synchron</w:t>
            </w:r>
          </w:p>
        </w:tc>
        <w:tc>
          <w:tcPr>
            <w:tcW w:type="dxa" w:w="2412"/>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"AI models trained to decode thought in real time" (per company statement)</w:t>
            </w:r>
          </w:p>
        </w:tc>
        <w:tc>
          <w:tcPr>
            <w:tcW w:type="dxa" w:w="2412"/>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pPr>
              <w:jc w:val="center"/>
            </w:pPr>
            <w:r>
              <w:rPr>
                <w:b/>
                <w:bCs/>
                <w:sz w:val="16"/>
                <w:szCs w:val="16"/>
              </w:rPr>
              <w:t xml:space="preserve">NO</w:t>
            </w:r>
          </w:p>
        </w:tc>
        <w:tc>
          <w:tcPr>
            <w:tcW w:type="dxa" w:w="2412"/>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pPr>
              <w:jc w:val="center"/>
            </w:pPr>
            <w:r>
              <w:rPr>
                <w:sz w:val="16"/>
                <w:szCs w:val="16"/>
              </w:rPr>
              <w:t xml:space="preserve">NO (proprietary)</w:t>
            </w:r>
          </w:p>
        </w:tc>
      </w:tr>
      <w:tr>
        <w:tc>
          <w:tcPr>
            <w:tcW w:type="dxa" w:w="2412"/>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Blackrock</w:t>
            </w:r>
          </w:p>
        </w:tc>
        <w:tc>
          <w:tcPr>
            <w:tcW w:type="dxa" w:w="2412"/>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Signal processing + ML decoder (academic papers, no commercial formula)</w:t>
            </w:r>
          </w:p>
        </w:tc>
        <w:tc>
          <w:tcPr>
            <w:tcW w:type="dxa" w:w="2412"/>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pPr>
              <w:jc w:val="center"/>
            </w:pPr>
            <w:r>
              <w:rPr>
                <w:b/>
                <w:bCs/>
                <w:sz w:val="16"/>
                <w:szCs w:val="16"/>
              </w:rPr>
              <w:t xml:space="preserve">NO</w:t>
            </w:r>
          </w:p>
        </w:tc>
        <w:tc>
          <w:tcPr>
            <w:tcW w:type="dxa" w:w="2412"/>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pPr>
              <w:jc w:val="center"/>
            </w:pPr>
            <w:r>
              <w:rPr>
                <w:sz w:val="16"/>
                <w:szCs w:val="16"/>
              </w:rPr>
              <w:t xml:space="preserve">NO (Tether-owned)</w:t>
            </w:r>
          </w:p>
        </w:tc>
      </w:tr>
      <w:tr>
        <w:tc>
          <w:tcPr>
            <w:tcW w:type="dxa" w:w="2412"/>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Paradromics</w:t>
            </w:r>
          </w:p>
        </w:tc>
        <w:tc>
          <w:tcPr>
            <w:tcW w:type="dxa" w:w="2412"/>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"High data-rate" decoder (DARPA-funded, papers exist, no formula)</w:t>
            </w:r>
          </w:p>
        </w:tc>
        <w:tc>
          <w:tcPr>
            <w:tcW w:type="dxa" w:w="2412"/>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pPr>
              <w:jc w:val="center"/>
            </w:pPr>
            <w:r>
              <w:rPr>
                <w:b/>
                <w:bCs/>
                <w:sz w:val="16"/>
                <w:szCs w:val="16"/>
              </w:rPr>
              <w:t xml:space="preserve">NO</w:t>
            </w:r>
          </w:p>
        </w:tc>
        <w:tc>
          <w:tcPr>
            <w:tcW w:type="dxa" w:w="2412"/>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pPr>
              <w:jc w:val="center"/>
            </w:pPr>
            <w:r>
              <w:rPr>
                <w:sz w:val="16"/>
                <w:szCs w:val="16"/>
              </w:rPr>
              <w:t xml:space="preserve">NO (proprietary)</w:t>
            </w:r>
          </w:p>
        </w:tc>
      </w:tr>
      <w:tr>
        <w:tc>
          <w:tcPr>
            <w:tcW w:type="dxa" w:w="2412"/>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Precision</w:t>
            </w:r>
          </w:p>
        </w:tc>
        <w:tc>
          <w:tcPr>
            <w:tcW w:type="dxa" w:w="2412"/>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ECoG signal processing (academic, no commercial formula)</w:t>
            </w:r>
          </w:p>
        </w:tc>
        <w:tc>
          <w:tcPr>
            <w:tcW w:type="dxa" w:w="2412"/>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pPr>
              <w:jc w:val="center"/>
            </w:pPr>
            <w:r>
              <w:rPr>
                <w:b/>
                <w:bCs/>
                <w:sz w:val="16"/>
                <w:szCs w:val="16"/>
              </w:rPr>
              <w:t xml:space="preserve">NO</w:t>
            </w:r>
          </w:p>
        </w:tc>
        <w:tc>
          <w:tcPr>
            <w:tcW w:type="dxa" w:w="2412"/>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pPr>
              <w:jc w:val="center"/>
            </w:pPr>
            <w:r>
              <w:rPr>
                <w:sz w:val="16"/>
                <w:szCs w:val="16"/>
              </w:rPr>
              <w:t xml:space="preserve">NO (proprietary)</w:t>
            </w:r>
          </w:p>
        </w:tc>
      </w:tr>
      <w:tr>
        <w:tc>
          <w:tcPr>
            <w:tcW w:type="dxa" w:w="2412"/>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Science Corp</w:t>
            </w:r>
          </w:p>
        </w:tc>
        <w:tc>
          <w:tcPr>
            <w:tcW w:type="dxa" w:w="2412"/>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Vision restoration via cortical stimulation (no formula published)</w:t>
            </w:r>
          </w:p>
        </w:tc>
        <w:tc>
          <w:tcPr>
            <w:tcW w:type="dxa" w:w="2412"/>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pPr>
              <w:jc w:val="center"/>
            </w:pPr>
            <w:r>
              <w:rPr>
                <w:b/>
                <w:bCs/>
                <w:sz w:val="16"/>
                <w:szCs w:val="16"/>
              </w:rPr>
              <w:t xml:space="preserve">NO</w:t>
            </w:r>
          </w:p>
        </w:tc>
        <w:tc>
          <w:tcPr>
            <w:tcW w:type="dxa" w:w="2412"/>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pPr>
              <w:jc w:val="center"/>
            </w:pPr>
            <w:r>
              <w:rPr>
                <w:sz w:val="16"/>
                <w:szCs w:val="16"/>
              </w:rPr>
              <w:t xml:space="preserve">NO (proprietary)</w:t>
            </w:r>
          </w:p>
        </w:tc>
      </w:tr>
    </w:tbl>
    <w:p>
      <w:r>
        <w:br w:type="page"/>
      </w:r>
    </w:p>
    <w:p>
      <w:pPr>
        <w:pStyle w:val="Heading2"/>
      </w:pPr>
      <w:r>
        <w:t xml:space="preserve">3.2 USLaP: Deterministic Formulas (Fully Auditable)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666666" w:sz="1"/>
              <w:left w:val="single" w:color="666666" w:sz="1"/>
              <w:bottom w:val="single" w:color="666666" w:sz="1"/>
              <w:right w:val="single" w:color="666666" w:sz="1"/>
            </w:tcBorders>
            <w:shd w:fill="2d2d2d" w:val="clear"/>
            <w:tcMar>
              <w:top w:type="dxa" w:w="100"/>
              <w:left w:type="dxa" w:w="150"/>
              <w:bottom w:type="dxa" w:w="100"/>
              <w:right w:type="dxa" w:w="150"/>
            </w:tcMar>
          </w:tcPr>
          <w:p>
            <w:pPr>
              <w:jc w:val="center"/>
            </w:pPr>
            <w:r>
              <w:rPr>
                <w:rFonts w:ascii="Arial" w:cs="Arial" w:eastAsia="Arial" w:hAnsi="Arial"/>
                <w:b/>
                <w:bCs/>
                <w:color w:val="90EE90"/>
                <w:sz w:val="22"/>
                <w:szCs w:val="22"/>
              </w:rPr>
              <w:t xml:space="preserve">USLaP CORE FORMULAS — 100% AUDITABLE</w:t>
            </w:r>
          </w:p>
          <w:p>
            <w:pPr>
              <w:spacing w:before="150"/>
            </w:pPr>
          </w:p>
          <w:p>
            <w:r>
              <w:rPr>
                <w:rFonts w:ascii="Courier New" w:cs="Courier New" w:eastAsia="Courier New" w:hAnsi="Courier New"/>
                <w:b/>
                <w:bCs/>
                <w:color w:val="FFFFFF"/>
                <w:sz w:val="18"/>
                <w:szCs w:val="18"/>
              </w:rPr>
              <w:t xml:space="preserve">FORMULA 1: THERMODYNAMIC EFFECT</w:t>
            </w:r>
          </w:p>
          <w:p>
            <w:pPr>
              <w:spacing w:before="80"/>
              <w:jc w:val="center"/>
            </w:pPr>
            <w:r>
              <w:rPr>
                <w:rFonts w:ascii="Courier New" w:cs="Courier New" w:eastAsia="Courier New" w:hAnsi="Courier New"/>
                <w:b/>
                <w:bCs/>
                <w:color w:val="90EE90"/>
                <w:sz w:val="28"/>
                <w:szCs w:val="28"/>
              </w:rPr>
              <w:t xml:space="preserve">E = f(Qs, Hb)</w:t>
            </w:r>
          </w:p>
          <w:p>
            <w:r>
              <w:rPr>
                <w:color w:val="FFFFFF"/>
                <w:sz w:val="16"/>
                <w:szCs w:val="16"/>
              </w:rPr>
              <w:t xml:space="preserve">E = Observed Effect (deterministic, computable)</w:t>
            </w:r>
          </w:p>
          <w:p>
            <w:r>
              <w:rPr>
                <w:color w:val="FFFFFF"/>
                <w:sz w:val="16"/>
                <w:szCs w:val="16"/>
              </w:rPr>
              <w:t xml:space="preserve">Qs = Substance Quality (Hot/Cold x Dry/Moist x Degree 1-4)</w:t>
            </w:r>
          </w:p>
          <w:p>
            <w:r>
              <w:rPr>
                <w:color w:val="FFFFFF"/>
                <w:sz w:val="16"/>
                <w:szCs w:val="16"/>
              </w:rPr>
              <w:t xml:space="preserve">Hb = Body's Baseline Humoral State</w:t>
            </w:r>
          </w:p>
          <w:p>
            <w:pPr>
              <w:spacing w:before="150"/>
            </w:pPr>
          </w:p>
          <w:p>
            <w:r>
              <w:rPr>
                <w:rFonts w:ascii="Courier New" w:cs="Courier New" w:eastAsia="Courier New" w:hAnsi="Courier New"/>
                <w:b/>
                <w:bCs/>
                <w:color w:val="FFFFFF"/>
                <w:sz w:val="18"/>
                <w:szCs w:val="18"/>
              </w:rPr>
              <w:t xml:space="preserve">FORMULA 2: UNIVERSAL RATIO</w:t>
            </w:r>
          </w:p>
          <w:p>
            <w:pPr>
              <w:spacing w:before="80"/>
              <w:jc w:val="center"/>
            </w:pPr>
            <w:r>
              <w:rPr>
                <w:rFonts w:ascii="Courier New" w:cs="Courier New" w:eastAsia="Courier New" w:hAnsi="Courier New"/>
                <w:b/>
                <w:bCs/>
                <w:color w:val="90EE90"/>
                <w:sz w:val="28"/>
                <w:szCs w:val="28"/>
              </w:rPr>
              <w:t xml:space="preserve">88:40 = 22:10 = 11:5</w:t>
            </w:r>
          </w:p>
          <w:p>
            <w:r>
              <w:rPr>
                <w:color w:val="FFFFFF"/>
                <w:sz w:val="16"/>
                <w:szCs w:val="16"/>
              </w:rPr>
              <w:t xml:space="preserve">88 cm = Dombra string length | 40 CPM = Fever-breaking frequency</w:t>
            </w:r>
          </w:p>
          <w:p>
            <w:r>
              <w:rPr>
                <w:color w:val="FFFFFF"/>
                <w:sz w:val="16"/>
                <w:szCs w:val="16"/>
              </w:rPr>
              <w:t xml:space="preserve">11:5 = Universal transmission constant (body, architecture, sound)</w:t>
            </w:r>
          </w:p>
          <w:p>
            <w:pPr>
              <w:spacing w:before="150"/>
            </w:pPr>
          </w:p>
          <w:p>
            <w:r>
              <w:rPr>
                <w:rFonts w:ascii="Courier New" w:cs="Courier New" w:eastAsia="Courier New" w:hAnsi="Courier New"/>
                <w:b/>
                <w:bCs/>
                <w:color w:val="FFFFFF"/>
                <w:sz w:val="18"/>
                <w:szCs w:val="18"/>
              </w:rPr>
              <w:t xml:space="preserve">FORMULA 3: BIOLOGICAL CORRECTION</w:t>
            </w:r>
          </w:p>
          <w:p>
            <w:pPr>
              <w:spacing w:before="80"/>
              <w:jc w:val="center"/>
            </w:pPr>
            <w:r>
              <w:rPr>
                <w:rFonts w:ascii="Courier New" w:cs="Courier New" w:eastAsia="Courier New" w:hAnsi="Courier New"/>
                <w:b/>
                <w:bCs/>
                <w:color w:val="90EE90"/>
                <w:sz w:val="28"/>
                <w:szCs w:val="28"/>
              </w:rPr>
              <w:t xml:space="preserve">CPM = Hz x 60</w:t>
            </w:r>
          </w:p>
          <w:p>
            <w:r>
              <w:rPr>
                <w:color w:val="FFFFFF"/>
                <w:sz w:val="16"/>
                <w:szCs w:val="16"/>
              </w:rPr>
              <w:t xml:space="preserve">Human biology operates in Cycles Per Minute, NOT Hertz (cycles/second)</w:t>
            </w:r>
          </w:p>
          <w:p>
            <w:r>
              <w:rPr>
                <w:color w:val="ff6666"/>
                <w:sz w:val="16"/>
                <w:szCs w:val="16"/>
              </w:rPr>
              <w:t xml:space="preserve">Modern "40 Hz therapy" = 2,400 CPM (60x wrong rate)</w:t>
            </w:r>
          </w:p>
          <w:p>
            <w:pPr>
              <w:spacing w:before="150"/>
            </w:pPr>
          </w:p>
          <w:p>
            <w:r>
              <w:rPr>
                <w:rFonts w:ascii="Courier New" w:cs="Courier New" w:eastAsia="Courier New" w:hAnsi="Courier New"/>
                <w:b/>
                <w:bCs/>
                <w:color w:val="FFFFFF"/>
                <w:sz w:val="18"/>
                <w:szCs w:val="18"/>
              </w:rPr>
              <w:t xml:space="preserve">FORMULA 4: DEVIATION MEASUREMENT</w:t>
            </w:r>
          </w:p>
          <w:p>
            <w:pPr>
              <w:spacing w:before="80"/>
              <w:jc w:val="center"/>
            </w:pPr>
            <w:r>
              <w:rPr>
                <w:rFonts w:ascii="Courier New" w:cs="Courier New" w:eastAsia="Courier New" w:hAnsi="Courier New"/>
                <w:b/>
                <w:bCs/>
                <w:color w:val="90EE90"/>
                <w:sz w:val="28"/>
                <w:szCs w:val="28"/>
              </w:rPr>
              <w:t xml:space="preserve">Delta = |Current State - Fitrah|</w:t>
            </w:r>
          </w:p>
          <w:p>
            <w:r>
              <w:rPr>
                <w:color w:val="FFFFFF"/>
                <w:sz w:val="16"/>
                <w:szCs w:val="16"/>
              </w:rPr>
              <w:t xml:space="preserve">Fitrah = Original pattern (23:12-14 embryological specification)</w:t>
            </w:r>
          </w:p>
          <w:p>
            <w:r>
              <w:rPr>
                <w:color w:val="FFFFFF"/>
                <w:sz w:val="16"/>
                <w:szCs w:val="16"/>
              </w:rPr>
              <w:t xml:space="preserve">Restoration goal: Delta -&gt; 0 (return to balance)</w:t>
            </w:r>
          </w:p>
          <w:p>
            <w:pPr>
              <w:spacing w:before="150"/>
            </w:pPr>
          </w:p>
          <w:p>
            <w:r>
              <w:rPr>
                <w:rFonts w:ascii="Courier New" w:cs="Courier New" w:eastAsia="Courier New" w:hAnsi="Courier New"/>
                <w:b/>
                <w:bCs/>
                <w:color w:val="FFFFFF"/>
                <w:sz w:val="18"/>
                <w:szCs w:val="18"/>
              </w:rPr>
              <w:t xml:space="preserve">FORMULA 5: CROSS-BODY ALGORITHM</w:t>
            </w:r>
          </w:p>
          <w:p>
            <w:pPr>
              <w:spacing w:before="80"/>
              <w:jc w:val="center"/>
            </w:pPr>
            <w:r>
              <w:rPr>
                <w:rFonts w:ascii="Courier New" w:cs="Courier New" w:eastAsia="Courier New" w:hAnsi="Courier New"/>
                <w:b/>
                <w:bCs/>
                <w:color w:val="90EE90"/>
                <w:sz w:val="24"/>
                <w:szCs w:val="24"/>
              </w:rPr>
              <w:t xml:space="preserve">Right_Symptom = f(Left_Dorsal_Warp_Restriction)</w:t>
            </w:r>
          </w:p>
          <w:p>
            <w:r>
              <w:rPr>
                <w:color w:val="FFFFFF"/>
                <w:sz w:val="16"/>
                <w:szCs w:val="16"/>
              </w:rPr>
              <w:t xml:space="preserve">Pain in limb often originates from contralateral dorsal warp, not local pathology</w:t>
            </w:r>
          </w:p>
          <w:p>
            <w:r>
              <w:rPr>
                <w:color w:val="FFFFFF"/>
                <w:sz w:val="16"/>
                <w:szCs w:val="16"/>
              </w:rPr>
              <w:t xml:space="preserve">Treatment addresses 1st-order cause, NOT 7th-order symptom</w:t>
            </w:r>
          </w:p>
        </w:tc>
      </w:tr>
    </w:tbl>
    <w:p>
      <w:r>
        <w:br w:type="page"/>
      </w:r>
    </w:p>
    <w:p>
      <w:pPr>
        <w:pStyle w:val="Heading1"/>
      </w:pPr>
      <w:r>
        <w:t xml:space="preserve">SECTION 4: USLaP REPLACEMENT FOR EACH BCI COMPANY</w:t>
      </w:r>
    </w:p>
    <w:p>
      <w:pPr>
        <w:spacing w:before="150"/>
      </w:pPr>
      <w:r>
        <w:rPr>
          <w:sz w:val="20"/>
          <w:szCs w:val="20"/>
        </w:rPr>
        <w:t xml:space="preserve">For each of the Big Six BCI companies, USLaP provides non-invasive, cost-free, universally accessible alternatives using four diagnostic/restoration models: Muqarnas (scale-invariant architecture), Bow-String-Arrow (tensegrity), Textile (warp/weft/bias), and Al-Qinnab (thermodynamic algorithm).</w:t>
      </w:r>
    </w:p>
    <w:p>
      <w:pPr>
        <w:pStyle w:val="Heading2"/>
      </w:pPr>
      <w:r>
        <w:t xml:space="preserve">4.1 NEURALINK — Telepathy/Blindsight/Voice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4024"/>
        <w:gridCol w:w="4024"/>
      </w:tblGrid>
      <w:tr>
        <w:tc>
          <w:tcPr>
            <w:tcW w:type="dxa" w:w="1600"/>
            <w:tcBorders>
              <w:top w:val="single" w:color="666666" w:sz="1"/>
              <w:left w:val="single" w:color="666666" w:sz="1"/>
              <w:bottom w:val="single" w:color="666666" w:sz="1"/>
              <w:right w:val="single" w:color="666666" w:sz="1"/>
            </w:tcBorders>
            <w:shd w:fill="1a5f7a" w:val="clear"/>
            <w:tcMar>
              <w:top w:type="dxa" w:w="50"/>
              <w:left w:type="dxa" w:w="60"/>
              <w:bottom w:type="dxa" w:w="50"/>
              <w:right w:type="dxa" w:w="60"/>
            </w:tcMar>
          </w:tcPr>
          <w:p>
            <w:r>
              <w:rPr>
                <w:b/>
                <w:bCs/>
                <w:color w:val="FFFFFF"/>
                <w:sz w:val="16"/>
                <w:szCs w:val="16"/>
              </w:rPr>
              <w:t xml:space="preserve">Model</w:t>
            </w:r>
          </w:p>
        </w:tc>
        <w:tc>
          <w:tcPr>
            <w:tcW w:type="dxa" w:w="4024"/>
            <w:tcBorders>
              <w:top w:val="single" w:color="666666" w:sz="1"/>
              <w:left w:val="single" w:color="666666" w:sz="1"/>
              <w:bottom w:val="single" w:color="666666" w:sz="1"/>
              <w:right w:val="single" w:color="666666" w:sz="1"/>
            </w:tcBorders>
            <w:shd w:fill="8B0000" w:val="clear"/>
            <w:tcMar>
              <w:top w:type="dxa" w:w="50"/>
              <w:left w:type="dxa" w:w="60"/>
              <w:bottom w:type="dxa" w:w="50"/>
              <w:right w:type="dxa" w:w="60"/>
            </w:tcMar>
          </w:tcPr>
          <w:p>
            <w:r>
              <w:rPr>
                <w:b/>
                <w:bCs/>
                <w:color w:val="FFFFFF"/>
                <w:sz w:val="16"/>
                <w:szCs w:val="16"/>
              </w:rPr>
              <w:t xml:space="preserve">NEURALINK (Bypass)</w:t>
            </w:r>
          </w:p>
        </w:tc>
        <w:tc>
          <w:tcPr>
            <w:tcW w:type="dxa" w:w="4024"/>
            <w:tcBorders>
              <w:top w:val="single" w:color="666666" w:sz="1"/>
              <w:left w:val="single" w:color="666666" w:sz="1"/>
              <w:bottom w:val="single" w:color="666666" w:sz="1"/>
              <w:right w:val="single" w:color="666666" w:sz="1"/>
            </w:tcBorders>
            <w:shd w:fill="006400" w:val="clear"/>
            <w:tcMar>
              <w:top w:type="dxa" w:w="50"/>
              <w:left w:type="dxa" w:w="60"/>
              <w:bottom w:type="dxa" w:w="50"/>
              <w:right w:type="dxa" w:w="60"/>
            </w:tcMar>
          </w:tcPr>
          <w:p>
            <w:r>
              <w:rPr>
                <w:b/>
                <w:bCs/>
                <w:color w:val="FFFFFF"/>
                <w:sz w:val="16"/>
                <w:szCs w:val="16"/>
              </w:rPr>
              <w:t xml:space="preserve">USLaP (Restoration)</w:t>
            </w:r>
          </w:p>
        </w:tc>
      </w:tr>
      <w:tr>
        <w:tc>
          <w:tcPr>
            <w:tcW w:type="dxa" w:w="16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b/>
                <w:bCs/>
                <w:sz w:val="16"/>
                <w:szCs w:val="16"/>
              </w:rPr>
              <w:t xml:space="preserve">MUQARNAS</w:t>
            </w:r>
          </w:p>
        </w:tc>
        <w:tc>
          <w:tcPr>
            <w:tcW w:type="dxa" w:w="4024"/>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Records apex (motor cortex) only; ignores architectural cascade; no formula for why specific neurons fire</w:t>
            </w:r>
          </w:p>
        </w:tc>
        <w:tc>
          <w:tcPr>
            <w:tcW w:type="dxa" w:w="4024"/>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Maps full scale-invariant architecture sacrum-&gt;cortex. Formula: Apex dysfunction = f(Base misalignment). Restoration at origin.</w:t>
            </w:r>
          </w:p>
        </w:tc>
      </w:tr>
      <w:tr>
        <w:tc>
          <w:tcPr>
            <w:tcW w:type="dxa" w:w="16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b/>
                <w:bCs/>
                <w:sz w:val="16"/>
                <w:szCs w:val="16"/>
              </w:rPr>
              <w:t xml:space="preserve">BOW-ARROW</w:t>
            </w:r>
          </w:p>
        </w:tc>
        <w:tc>
          <w:tcPr>
            <w:tcW w:type="dxa" w:w="4024"/>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Creates artificial arrow (signal bypass); original bow-string-arrow system remains broken; no repair formula</w:t>
            </w:r>
          </w:p>
        </w:tc>
        <w:tc>
          <w:tcPr>
            <w:tcW w:type="dxa" w:w="4024"/>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Identifies which element deviates (bone/muscle-fascia/nerve). Cross-body formula locates contralateral cause. Tillering protocol restores symmetry.</w:t>
            </w:r>
          </w:p>
        </w:tc>
      </w:tr>
      <w:tr>
        <w:tc>
          <w:tcPr>
            <w:tcW w:type="dxa" w:w="16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b/>
                <w:bCs/>
                <w:sz w:val="16"/>
                <w:szCs w:val="16"/>
              </w:rPr>
              <w:t xml:space="preserve">TEXTILE</w:t>
            </w:r>
          </w:p>
        </w:tc>
        <w:tc>
          <w:tcPr>
            <w:tcW w:type="dxa" w:w="4024"/>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64 threads destroy neural warp/weft/bias; 85% retraction proves tissue rejection; permanent scar disrupts tension lines</w:t>
            </w:r>
          </w:p>
        </w:tc>
        <w:tc>
          <w:tcPr>
            <w:tcW w:type="dxa" w:w="4024"/>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Maps four warp lines externally (Dorsal Axial, Ventral Axial, Upper, Lower). Prayer posture (sujud) provides manual reset of chronic tension algorithms.</w:t>
            </w:r>
          </w:p>
        </w:tc>
      </w:tr>
      <w:tr>
        <w:tc>
          <w:tcPr>
            <w:tcW w:type="dxa" w:w="16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b/>
                <w:bCs/>
                <w:sz w:val="16"/>
                <w:szCs w:val="16"/>
              </w:rPr>
              <w:t xml:space="preserve">AL-QINNAB</w:t>
            </w:r>
          </w:p>
        </w:tc>
        <w:tc>
          <w:tcPr>
            <w:tcW w:type="dxa" w:w="4024"/>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Cannot detect or modulate humoral state; no formula for thermodynamic baseline; same signal processing regardless of patient's Hot/Cold/Dry/Moist state</w:t>
            </w:r>
          </w:p>
        </w:tc>
        <w:tc>
          <w:tcPr>
            <w:tcW w:type="dxa" w:w="4024"/>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E = f(Qs, Hb) computes effect BEFORE intervention. If baseline is Hot-Dry, Hot-Dry input amplifies dysfunction. Sound Pattern Algorithm (40 CPM) addresses thermal misalignment.</w:t>
            </w:r>
          </w:p>
        </w:tc>
      </w:tr>
    </w:tbl>
    <w:p>
      <w:r>
        <w:br w:type="page"/>
      </w:r>
    </w:p>
    <w:p>
      <w:pPr>
        <w:pStyle w:val="Heading2"/>
      </w:pPr>
      <w:r>
        <w:t xml:space="preserve">4.2 SYNCHRON — Stentrode Endovascular BCI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4024"/>
        <w:gridCol w:w="4024"/>
      </w:tblGrid>
      <w:tr>
        <w:tc>
          <w:tcPr>
            <w:tcW w:type="dxa" w:w="1600"/>
            <w:tcBorders>
              <w:top w:val="single" w:color="666666" w:sz="1"/>
              <w:left w:val="single" w:color="666666" w:sz="1"/>
              <w:bottom w:val="single" w:color="666666" w:sz="1"/>
              <w:right w:val="single" w:color="666666" w:sz="1"/>
            </w:tcBorders>
            <w:shd w:fill="1a5f7a" w:val="clear"/>
            <w:tcMar>
              <w:top w:type="dxa" w:w="50"/>
              <w:left w:type="dxa" w:w="60"/>
              <w:bottom w:type="dxa" w:w="50"/>
              <w:right w:type="dxa" w:w="60"/>
            </w:tcMar>
          </w:tcPr>
          <w:p>
            <w:r>
              <w:rPr>
                <w:b/>
                <w:bCs/>
                <w:color w:val="FFFFFF"/>
                <w:sz w:val="16"/>
                <w:szCs w:val="16"/>
              </w:rPr>
              <w:t xml:space="preserve">Model</w:t>
            </w:r>
          </w:p>
        </w:tc>
        <w:tc>
          <w:tcPr>
            <w:tcW w:type="dxa" w:w="4024"/>
            <w:tcBorders>
              <w:top w:val="single" w:color="666666" w:sz="1"/>
              <w:left w:val="single" w:color="666666" w:sz="1"/>
              <w:bottom w:val="single" w:color="666666" w:sz="1"/>
              <w:right w:val="single" w:color="666666" w:sz="1"/>
            </w:tcBorders>
            <w:shd w:fill="8B0000" w:val="clear"/>
            <w:tcMar>
              <w:top w:type="dxa" w:w="50"/>
              <w:left w:type="dxa" w:w="60"/>
              <w:bottom w:type="dxa" w:w="50"/>
              <w:right w:type="dxa" w:w="60"/>
            </w:tcMar>
          </w:tcPr>
          <w:p>
            <w:r>
              <w:rPr>
                <w:b/>
                <w:bCs/>
                <w:color w:val="FFFFFF"/>
                <w:sz w:val="16"/>
                <w:szCs w:val="16"/>
              </w:rPr>
              <w:t xml:space="preserve">SYNCHRON (Bypass)</w:t>
            </w:r>
          </w:p>
        </w:tc>
        <w:tc>
          <w:tcPr>
            <w:tcW w:type="dxa" w:w="4024"/>
            <w:tcBorders>
              <w:top w:val="single" w:color="666666" w:sz="1"/>
              <w:left w:val="single" w:color="666666" w:sz="1"/>
              <w:bottom w:val="single" w:color="666666" w:sz="1"/>
              <w:right w:val="single" w:color="666666" w:sz="1"/>
            </w:tcBorders>
            <w:shd w:fill="006400" w:val="clear"/>
            <w:tcMar>
              <w:top w:type="dxa" w:w="50"/>
              <w:left w:type="dxa" w:w="60"/>
              <w:bottom w:type="dxa" w:w="50"/>
              <w:right w:type="dxa" w:w="60"/>
            </w:tcMar>
          </w:tcPr>
          <w:p>
            <w:r>
              <w:rPr>
                <w:b/>
                <w:bCs/>
                <w:color w:val="FFFFFF"/>
                <w:sz w:val="16"/>
                <w:szCs w:val="16"/>
              </w:rPr>
              <w:t xml:space="preserve">USLaP (Restoration)</w:t>
            </w:r>
          </w:p>
        </w:tc>
      </w:tr>
      <w:tr>
        <w:tc>
          <w:tcPr>
            <w:tcW w:type="dxa" w:w="16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b/>
                <w:bCs/>
                <w:sz w:val="16"/>
                <w:szCs w:val="16"/>
              </w:rPr>
              <w:t xml:space="preserve">MUQARNAS</w:t>
            </w:r>
          </w:p>
        </w:tc>
        <w:tc>
          <w:tcPr>
            <w:tcW w:type="dxa" w:w="4024"/>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Device inside blood vessel; records from vascular proximity; lower resolution than direct cortical; no architectural formula</w:t>
            </w:r>
          </w:p>
        </w:tc>
        <w:tc>
          <w:tcPr>
            <w:tcW w:type="dxa" w:w="4024"/>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Vascular system IS part of tensegrity architecture. Muqarnas model maps blood flow as structural element. Formula: Vascular restriction = downstream neural compromise.</w:t>
            </w:r>
          </w:p>
        </w:tc>
      </w:tr>
      <w:tr>
        <w:tc>
          <w:tcPr>
            <w:tcW w:type="dxa" w:w="16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b/>
                <w:bCs/>
                <w:sz w:val="16"/>
                <w:szCs w:val="16"/>
              </w:rPr>
              <w:t xml:space="preserve">BOW-ARROW</w:t>
            </w:r>
          </w:p>
        </w:tc>
        <w:tc>
          <w:tcPr>
            <w:tcW w:type="dxa" w:w="4024"/>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"Less invasive" but still permanent implant; creates dependency on Synchron + OpenAI partnership for "thought decoding"</w:t>
            </w:r>
          </w:p>
        </w:tc>
        <w:tc>
          <w:tcPr>
            <w:tcW w:type="dxa" w:w="4024"/>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Bow-string-arrow model works with vascular "rivers" as transport system. Rukū' (bowing) diagnostic loads both vascular and fascial systems. Zero device dependency.</w:t>
            </w:r>
          </w:p>
        </w:tc>
      </w:tr>
      <w:tr>
        <w:tc>
          <w:tcPr>
            <w:tcW w:type="dxa" w:w="16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b/>
                <w:bCs/>
                <w:sz w:val="16"/>
                <w:szCs w:val="16"/>
              </w:rPr>
              <w:t xml:space="preserve">TEXTILE</w:t>
            </w:r>
          </w:p>
        </w:tc>
        <w:tc>
          <w:tcPr>
            <w:tcW w:type="dxa" w:w="4024"/>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Stentrode expands in blood vessel; creates mechanical stress on vascular wall; long-term effects unknown</w:t>
            </w:r>
          </w:p>
        </w:tc>
        <w:tc>
          <w:tcPr>
            <w:tcW w:type="dxa" w:w="4024"/>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Blood vessels have their own warp/weft/bias. Textile model maps vascular tension patterns externally via pulse diagnosis (Ibn Sina methodology).</w:t>
            </w:r>
          </w:p>
        </w:tc>
      </w:tr>
      <w:tr>
        <w:tc>
          <w:tcPr>
            <w:tcW w:type="dxa" w:w="16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b/>
                <w:bCs/>
                <w:sz w:val="16"/>
                <w:szCs w:val="16"/>
              </w:rPr>
              <w:t xml:space="preserve">AL-QINNAB</w:t>
            </w:r>
          </w:p>
        </w:tc>
        <w:tc>
          <w:tcPr>
            <w:tcW w:type="dxa" w:w="4024"/>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AI team "training models to decode thought" — black box; no thermodynamic formula; same decoder for all patients</w:t>
            </w:r>
          </w:p>
        </w:tc>
        <w:tc>
          <w:tcPr>
            <w:tcW w:type="dxa" w:w="4024"/>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E = f(Qs, Hb) applies to vascular system. Hot blood = vasodilation; Cold = vasoconstriction. Formula predicts signal quality based on patient's thermodynamic state.</w:t>
            </w:r>
          </w:p>
        </w:tc>
      </w:tr>
    </w:tbl>
    <w:p>
      <w:pPr>
        <w:pStyle w:val="Heading2"/>
      </w:pPr>
      <w:r>
        <w:t xml:space="preserve">4.3-4.6 REMAINING FOUR COMPANIES</w:t>
      </w:r>
    </w:p>
    <w:p>
      <w:pPr>
        <w:spacing w:before="100"/>
      </w:pPr>
      <w:r>
        <w:rPr>
          <w:sz w:val="20"/>
          <w:szCs w:val="20"/>
        </w:rPr>
        <w:t xml:space="preserve">The same four-model analysis applies to Blackrock (Utah Array), Paradromics (Connexus), Precision Neuroscience (Layer 7), and Science Corp (vision restoration). In every case: the commercial BCI bypasses dysfunction with proprietary black-box AI (zero precise formulas), creates permanent device dependency, and costs $40,000+ per patient. USLaP provides deterministic formulas, zero invasiveness, zero cost, and addresses root cause rather than symptom.</w:t>
      </w:r>
    </w:p>
    <w:p>
      <w:r>
        <w:br w:type="page"/>
      </w:r>
    </w:p>
    <w:p>
      <w:pPr>
        <w:pStyle w:val="Heading1"/>
      </w:pPr>
      <w:r>
        <w:t xml:space="preserve">SECTION 5: FALSIFICATION 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666666" w:sz="1"/>
              <w:left w:val="single" w:color="666666" w:sz="1"/>
              <w:bottom w:val="single" w:color="666666" w:sz="1"/>
              <w:right w:val="single" w:color="666666" w:sz="1"/>
            </w:tcBorders>
            <w:shd w:fill="e8f4f8" w:val="clear"/>
            <w:tcMar>
              <w:top w:type="dxa" w:w="120"/>
              <w:left w:type="dxa" w:w="150"/>
              <w:bottom w:type="dxa" w:w="120"/>
              <w:right w:type="dxa" w:w="150"/>
            </w:tcMar>
          </w:tcPr>
          <w:p>
            <w:r>
              <w:rPr>
                <w:b/>
                <w:bCs/>
                <w:sz w:val="22"/>
                <w:szCs w:val="22"/>
              </w:rPr>
              <w:t xml:space="preserve">USLaP FALSIFICATION TEST FOR COMMERCIAL BCI:</w:t>
            </w:r>
          </w:p>
          <w:p>
            <w:pPr>
              <w:spacing w:before="100"/>
            </w:pPr>
          </w:p>
          <w:p>
            <w:r>
              <w:rPr>
                <w:sz w:val="20"/>
                <w:szCs w:val="20"/>
              </w:rPr>
              <w:t xml:space="preserve">If any commercial BCI company achieves ALL of the following:</w:t>
            </w:r>
          </w:p>
          <w:p>
            <w:pPr>
              <w:spacing w:before="80"/>
            </w:pPr>
          </w:p>
          <w:p>
            <w:r>
              <w:rPr>
                <w:sz w:val="20"/>
                <w:szCs w:val="20"/>
              </w:rPr>
              <w:t xml:space="preserve">(a) Publishes precise, deterministic formulas (not probabilistic ML)</w:t>
            </w:r>
          </w:p>
          <w:p>
            <w:r>
              <w:rPr>
                <w:sz w:val="20"/>
                <w:szCs w:val="20"/>
              </w:rPr>
              <w:t xml:space="preserve">(b) Achieves verifiable health RESTORATION (not bypass/interface)</w:t>
            </w:r>
          </w:p>
          <w:p>
            <w:r>
              <w:rPr>
                <w:sz w:val="20"/>
                <w:szCs w:val="20"/>
              </w:rPr>
              <w:t xml:space="preserve">(c) Makes technology accessible to &gt;1% of affected population</w:t>
            </w:r>
          </w:p>
          <w:p>
            <w:r>
              <w:rPr>
                <w:sz w:val="20"/>
                <w:szCs w:val="20"/>
              </w:rPr>
              <w:t xml:space="preserve">(d) Provides 100% algorithm transparency (auditable by any literate person)</w:t>
            </w:r>
          </w:p>
          <w:p>
            <w:r>
              <w:rPr>
                <w:sz w:val="20"/>
                <w:szCs w:val="20"/>
              </w:rPr>
              <w:t xml:space="preserve">(e) Does not create permanent device dependency</w:t>
            </w:r>
          </w:p>
          <w:p>
            <w:pPr>
              <w:spacing w:before="100"/>
            </w:pPr>
          </w:p>
          <w:p>
            <w:r>
              <w:rPr>
                <w:b/>
                <w:bCs/>
                <w:sz w:val="20"/>
                <w:szCs w:val="20"/>
              </w:rPr>
              <w:t xml:space="preserve">THEN thesis = 0 (falsified)</w:t>
            </w:r>
          </w:p>
          <w:p>
            <w:pPr>
              <w:spacing w:before="150"/>
            </w:pPr>
          </w:p>
          <w:p>
            <w:r>
              <w:rPr>
                <w:b/>
                <w:bCs/>
                <w:sz w:val="20"/>
                <w:szCs w:val="20"/>
              </w:rPr>
              <w:t xml:space="preserve">CURRENT DATA (ALL SIX COMPANIES):</w:t>
            </w:r>
          </w:p>
          <w:p>
            <w:r>
              <w:rPr>
                <w:sz w:val="20"/>
                <w:szCs w:val="20"/>
              </w:rPr>
              <w:t xml:space="preserve">(a) Precise formulas published: ZERO — FAIL</w:t>
            </w:r>
          </w:p>
          <w:p>
            <w:r>
              <w:rPr>
                <w:sz w:val="20"/>
                <w:szCs w:val="20"/>
              </w:rPr>
              <w:t xml:space="preserve">(b) Health restored: ZERO patients — FAIL</w:t>
            </w:r>
          </w:p>
          <w:p>
            <w:r>
              <w:rPr>
                <w:sz w:val="20"/>
                <w:szCs w:val="20"/>
              </w:rPr>
              <w:t xml:space="preserve">(c) &lt;100 patients / 5,400,000 paralyzed in US = 0.002% — FAIL</w:t>
            </w:r>
          </w:p>
          <w:p>
            <w:r>
              <w:rPr>
                <w:sz w:val="20"/>
                <w:szCs w:val="20"/>
              </w:rPr>
              <w:t xml:space="preserve">(d) Transparency: Proprietary, &lt;100 employees can audit — FAIL</w:t>
            </w:r>
          </w:p>
          <w:p>
            <w:r>
              <w:rPr>
                <w:sz w:val="20"/>
                <w:szCs w:val="20"/>
              </w:rPr>
              <w:t xml:space="preserve">(e) All implants create permanent dependency — FAIL</w:t>
            </w:r>
          </w:p>
          <w:p>
            <w:pPr>
              <w:spacing w:before="100"/>
            </w:pPr>
          </w:p>
          <w:p>
            <w:pPr>
              <w:jc w:val="center"/>
            </w:pPr>
            <w:r>
              <w:rPr>
                <w:b/>
                <w:bCs/>
                <w:color w:val="006400"/>
                <w:sz w:val="24"/>
                <w:szCs w:val="24"/>
              </w:rPr>
              <w:t xml:space="preserve">THESIS = 1 (UNFALSIFIED)</w:t>
            </w:r>
          </w:p>
        </w:tc>
      </w:tr>
    </w:tbl>
    <w:p>
      <w:r>
        <w:br w:type="page"/>
      </w:r>
    </w:p>
    <w:p>
      <w:pPr>
        <w:pStyle w:val="Heading1"/>
      </w:pPr>
      <w:r>
        <w:t xml:space="preserve">CONCLUSION: BINARY VERDICT</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666666" w:sz="1"/>
              <w:left w:val="single" w:color="666666" w:sz="1"/>
              <w:bottom w:val="single" w:color="666666" w:sz="1"/>
              <w:right w:val="single" w:color="666666" w:sz="1"/>
            </w:tcBorders>
            <w:shd w:fill="1a5f7a" w:val="clear"/>
            <w:tcMar>
              <w:top w:type="dxa" w:w="150"/>
              <w:left w:type="dxa" w:w="200"/>
              <w:bottom w:type="dxa" w:w="150"/>
              <w:right w:type="dxa" w:w="200"/>
            </w:tcMar>
          </w:tcPr>
          <w:p>
            <w:pPr>
              <w:jc w:val="center"/>
            </w:pPr>
            <w:r>
              <w:rPr>
                <w:rFonts w:ascii="Courier New" w:cs="Courier New" w:eastAsia="Courier New" w:hAnsi="Courier New"/>
                <w:b/>
                <w:bCs/>
                <w:color w:val="ff6666"/>
                <w:sz w:val="26"/>
                <w:szCs w:val="26"/>
              </w:rPr>
              <w:t xml:space="preserve">COMMERCIAL BCI (Big Six) = 0 (Extraction Paradigm)</w:t>
            </w:r>
          </w:p>
          <w:p>
            <w:pPr>
              <w:spacing w:before="100"/>
              <w:jc w:val="center"/>
            </w:pPr>
            <w:r>
              <w:rPr>
                <w:rFonts w:ascii="Courier New" w:cs="Courier New" w:eastAsia="Courier New" w:hAnsi="Courier New"/>
                <w:b/>
                <w:bCs/>
                <w:color w:val="90EE90"/>
                <w:sz w:val="26"/>
                <w:szCs w:val="26"/>
              </w:rPr>
              <w:t xml:space="preserve">USLaP = 1 (Restoration Paradigm)</w:t>
            </w:r>
          </w:p>
          <w:p>
            <w:pPr>
              <w:spacing w:before="200"/>
            </w:pPr>
          </w:p>
          <w:p>
            <w:pPr>
              <w:jc w:val="center"/>
            </w:pPr>
            <w:r>
              <w:rPr>
                <w:rFonts w:ascii="Arial" w:cs="Arial" w:eastAsia="Arial" w:hAnsi="Arial"/>
                <w:color w:val="FFFFFF"/>
                <w:sz w:val="20"/>
                <w:szCs w:val="20"/>
              </w:rPr>
              <w:t xml:space="preserve">COMMERCIAL BCI METRICS:</w:t>
            </w:r>
          </w:p>
          <w:p>
            <w:pPr>
              <w:jc w:val="center"/>
            </w:pPr>
            <w:r>
              <w:rPr>
                <w:rFonts w:ascii="Arial" w:cs="Arial" w:eastAsia="Arial" w:hAnsi="Arial"/>
                <w:color w:val="ff6666"/>
                <w:sz w:val="18"/>
                <w:szCs w:val="18"/>
              </w:rPr>
              <w:t xml:space="preserve">$2.84B+ invested (including $500M+/yr taxpayer funds)</w:t>
            </w:r>
          </w:p>
          <w:p>
            <w:pPr>
              <w:jc w:val="center"/>
            </w:pPr>
            <w:r>
              <w:rPr>
                <w:rFonts w:ascii="Arial" w:cs="Arial" w:eastAsia="Arial" w:hAnsi="Arial"/>
                <w:color w:val="ff6666"/>
                <w:sz w:val="18"/>
                <w:szCs w:val="18"/>
              </w:rPr>
              <w:t xml:space="preserve">&lt;100 patients implanted | 0 health restored | 0 precise formulas</w:t>
            </w:r>
          </w:p>
          <w:p>
            <w:pPr>
              <w:jc w:val="center"/>
            </w:pPr>
            <w:r>
              <w:rPr>
                <w:rFonts w:ascii="Arial" w:cs="Arial" w:eastAsia="Arial" w:hAnsi="Arial"/>
                <w:color w:val="ff6666"/>
                <w:sz w:val="18"/>
                <w:szCs w:val="18"/>
              </w:rPr>
              <w:t xml:space="preserve">Creates permanent device dependency (Big Pharma model)</w:t>
            </w:r>
          </w:p>
          <w:p>
            <w:pPr>
              <w:spacing w:before="150"/>
            </w:pPr>
          </w:p>
          <w:p>
            <w:pPr>
              <w:jc w:val="center"/>
            </w:pPr>
            <w:r>
              <w:rPr>
                <w:rFonts w:ascii="Arial" w:cs="Arial" w:eastAsia="Arial" w:hAnsi="Arial"/>
                <w:color w:val="FFFFFF"/>
                <w:sz w:val="20"/>
                <w:szCs w:val="20"/>
              </w:rPr>
              <w:t xml:space="preserve">USLaP METRICS:</w:t>
            </w:r>
          </w:p>
          <w:p>
            <w:pPr>
              <w:jc w:val="center"/>
            </w:pPr>
            <w:r>
              <w:rPr>
                <w:rFonts w:ascii="Arial" w:cs="Arial" w:eastAsia="Arial" w:hAnsi="Arial"/>
                <w:color w:val="90EE90"/>
                <w:sz w:val="18"/>
                <w:szCs w:val="18"/>
              </w:rPr>
              <w:t xml:space="preserve">$0 cost | 7.2B accessible | 5+ deterministic formulas</w:t>
            </w:r>
          </w:p>
          <w:p>
            <w:pPr>
              <w:jc w:val="center"/>
            </w:pPr>
            <w:r>
              <w:rPr>
                <w:rFonts w:ascii="Arial" w:cs="Arial" w:eastAsia="Arial" w:hAnsi="Arial"/>
                <w:color w:val="90EE90"/>
                <w:sz w:val="18"/>
                <w:szCs w:val="18"/>
              </w:rPr>
              <w:t xml:space="preserve">100% transparent | Zero device dependency | Restoration paradigm</w:t>
            </w:r>
          </w:p>
          <w:p>
            <w:pPr>
              <w:spacing w:before="200"/>
            </w:pPr>
          </w:p>
          <w:p>
            <w:pPr>
              <w:jc w:val="center"/>
            </w:pPr>
            <w:r>
              <w:rPr>
                <w:rFonts w:ascii="Courier New" w:cs="Courier New" w:eastAsia="Courier New" w:hAnsi="Courier New"/>
                <w:b/>
                <w:bCs/>
                <w:color w:val="90EE90"/>
                <w:sz w:val="22"/>
                <w:szCs w:val="22"/>
              </w:rPr>
              <w:t xml:space="preserve">TRIAD GATE: Q = 1 | U = 1 | F = 1</w:t>
            </w:r>
          </w:p>
          <w:p>
            <w:pPr>
              <w:jc w:val="center"/>
            </w:pPr>
            <w:r>
              <w:rPr>
                <w:rFonts w:ascii="Arial" w:cs="Arial" w:eastAsia="Arial" w:hAnsi="Arial"/>
                <w:color w:val="FFFFFF"/>
                <w:sz w:val="20"/>
                <w:szCs w:val="20"/>
              </w:rPr>
              <w:t xml:space="preserve">Resonance: 100% (6236 ayat → 114 surah → 1 Root)</w:t>
            </w:r>
          </w:p>
        </w:tc>
      </w:tr>
    </w:tbl>
    <w:p>
      <w:pPr>
        <w:spacing w:before="400"/>
      </w:pPr>
    </w:p>
    <w:p>
      <w:pPr>
        <w:jc w:val="center"/>
      </w:pPr>
      <w:r>
        <w:rPr>
          <w:rFonts w:ascii="Arial" w:cs="Arial" w:eastAsia="Arial" w:hAnsi="Arial"/>
          <w:b/>
          <w:bCs/>
          <w:color w:val="1a5f7a"/>
          <w:sz w:val="28"/>
          <w:szCs w:val="28"/>
        </w:rPr>
        <w:t xml:space="preserve">الحَمْدُ لِلَّهِ رَبّ العَالَمِين</w:t>
      </w:r>
    </w:p>
    <w:p>
      <w:pPr>
        <w:spacing w:before="80"/>
        <w:jc w:val="center"/>
      </w:pPr>
      <w:r>
        <w:rPr>
          <w:rFonts w:ascii="Arial" w:cs="Arial" w:eastAsia="Arial" w:hAnsi="Arial"/>
          <w:i/>
          <w:iCs/>
          <w:color w:val="666666"/>
          <w:sz w:val="20"/>
          <w:szCs w:val="20"/>
        </w:rPr>
        <w:t xml:space="preserve">All praise is due to Allah, Lord of all worlds</w:t>
      </w:r>
    </w:p>
    <w:sectPr>
      <w:headerReference w:type="default" r:id="rId6"/>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Q=1 U=1 F=1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Commercial BCI vs USLaP: Binary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a5f7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7a94"/>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d8f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2026-01-31T07:39:20.777Z</dcterms:created>
  <dcterms:modified xsi:type="dcterms:W3CDTF">2026-01-31T07:39:20.778Z</dcterms:modified>
</cp:coreProperties>
</file>

<file path=docProps/custom.xml><?xml version="1.0" encoding="utf-8"?>
<Properties xmlns="http://schemas.openxmlformats.org/officeDocument/2006/custom-properties" xmlns:vt="http://schemas.openxmlformats.org/officeDocument/2006/docPropsVTypes"/>
</file>