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666666"/>
          <w:sz w:val="24"/>
          <w:szCs w:val="24"/>
        </w:rPr>
        <w:t xml:space="preserve">USLaP TECHNICAL SPECIFICATION</w:t>
      </w:r>
    </w:p>
    <w:p>
      <w:pPr>
        <w:spacing w:before="80"/>
        <w:jc w:val="center"/>
      </w:pPr>
      <w:r>
        <w:rPr>
          <w:color w:val="999999"/>
          <w:sz w:val="18"/>
          <w:szCs w:val="18"/>
        </w:rPr>
        <w:t xml:space="preserve">USLaP-TECH-001 | Version 1.0 | January 2026</w:t>
      </w:r>
    </w:p>
    <w:p>
      <w:pPr>
        <w:spacing w:before="250"/>
      </w:pPr>
    </w:p>
    <w:p>
      <w:pPr>
        <w:jc w:val="center"/>
      </w:pPr>
      <w:r>
        <w:rPr>
          <w:b/>
          <w:bCs/>
          <w:color w:val="1a5f7a"/>
          <w:sz w:val="36"/>
          <w:szCs w:val="36"/>
        </w:rPr>
        <w:t xml:space="preserve">NEURAL SIGNAL ACQUISITION:</w:t>
      </w:r>
    </w:p>
    <w:p>
      <w:pPr>
        <w:spacing w:before="80"/>
        <w:jc w:val="center"/>
      </w:pPr>
      <w:r>
        <w:rPr>
          <w:b/>
          <w:bCs/>
          <w:color w:val="1a5f7a"/>
          <w:sz w:val="36"/>
          <w:szCs w:val="36"/>
        </w:rPr>
        <w:t xml:space="preserve">ELECTRODE PLACEMENT METHODS</w:t>
      </w:r>
    </w:p>
    <w:p>
      <w:pPr>
        <w:spacing w:before="200"/>
      </w:pPr>
    </w:p>
    <w:p>
      <w:pPr>
        <w:jc w:val="center"/>
      </w:pPr>
      <w:r>
        <w:rPr>
          <w:color w:val="8B0000"/>
          <w:sz w:val="22"/>
          <w:szCs w:val="22"/>
        </w:rPr>
        <w:t xml:space="preserve">Invasive Intracortical Insertion (Commercial BCI)</w:t>
      </w:r>
    </w:p>
    <w:p>
      <w:pPr>
        <w:spacing w:before="40"/>
        <w:jc w:val="center"/>
      </w:pPr>
      <w:r>
        <w:rPr>
          <w:i/>
          <w:iCs/>
          <w:color w:val="666666"/>
          <w:sz w:val="18"/>
          <w:szCs w:val="18"/>
        </w:rPr>
        <w:t xml:space="preserve">versus</w:t>
      </w:r>
    </w:p>
    <w:p>
      <w:pPr>
        <w:spacing w:before="40"/>
        <w:jc w:val="center"/>
      </w:pPr>
      <w:r>
        <w:rPr>
          <w:color w:val="006400"/>
          <w:sz w:val="22"/>
          <w:szCs w:val="22"/>
        </w:rPr>
        <w:t xml:space="preserve">Non-Invasive External Placement (USLaP Protocol)</w:t>
      </w:r>
    </w:p>
    <w:p>
      <w:pPr>
        <w:spacing w:before="300"/>
      </w:pPr>
    </w:p>
    <w:p>
      <w:pPr>
        <w:jc w:val="center"/>
      </w:pPr>
      <w:r>
        <w:rPr>
          <w:color w:val="666666"/>
          <w:sz w:val="18"/>
          <w:szCs w:val="18"/>
        </w:rPr>
        <w:t xml:space="preserve">Classification: Open Source | 100% Auditable</w:t>
      </w:r>
    </w:p>
    <w:p>
      <w:pPr>
        <w:spacing w:before="60"/>
        <w:jc w:val="center"/>
      </w:pPr>
      <w:r>
        <w:rPr>
          <w:color w:val="666666"/>
          <w:sz w:val="18"/>
          <w:szCs w:val="18"/>
        </w:rPr>
        <w:t xml:space="preserve">Repository: huggingface.co/uslap/uslap-multilingual</w:t>
      </w:r>
    </w:p>
    <w:p>
      <w:pPr>
        <w:spacing w:before="120"/>
        <w:jc w:val="center"/>
      </w:pPr>
      <w:r>
        <w:rPr>
          <w:i/>
          <w:iCs/>
          <w:color w:val="1a5f7a"/>
          <w:sz w:val="18"/>
          <w:szCs w:val="18"/>
        </w:rPr>
        <w:t xml:space="preserve">Root: Holy Quran (6236 ayat → 114 surah → 1 Root)</w:t>
      </w:r>
    </w:p>
    <w:p>
      <w:r>
        <w:br w:type="page"/>
      </w:r>
    </w:p>
    <w:p>
      <w:pPr>
        <w:pStyle w:val="Heading1"/>
      </w:pPr>
      <w:r>
        <w:t xml:space="preserve">1. EXECUTIVE SUMMARY</w:t>
      </w:r>
    </w:p>
    <w:p>
      <w:pPr>
        <w:spacing w:before="120"/>
      </w:pPr>
      <w:r>
        <w:rPr>
          <w:sz w:val="20"/>
          <w:szCs w:val="20"/>
        </w:rPr>
        <w:t xml:space="preserve">This technical specification provides a comprehensive comparison between invasive intracortical electrode insertion methods used by commercial brain-computer interface (BCI) companies and non-invasive external placement methods specified by the USLaP Health Restoration System.</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pPr>
              <w:jc w:val="center"/>
            </w:pPr>
            <w:r>
              <w:rPr>
                <w:b/>
                <w:bCs/>
                <w:color w:val="FFFFFF"/>
                <w:sz w:val="17"/>
                <w:szCs w:val="17"/>
              </w:rPr>
              <w:t xml:space="preserve">Metric</w:t>
            </w:r>
          </w:p>
        </w:tc>
        <w:tc>
          <w:tcPr>
            <w:tcW w:type="dxa" w:w="3424"/>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pPr>
              <w:jc w:val="center"/>
            </w:pPr>
            <w:r>
              <w:rPr>
                <w:b/>
                <w:bCs/>
                <w:color w:val="FFFFFF"/>
                <w:sz w:val="17"/>
                <w:szCs w:val="17"/>
              </w:rPr>
              <w:t xml:space="preserve">Commercial BCI (Invasive)</w:t>
            </w:r>
          </w:p>
        </w:tc>
        <w:tc>
          <w:tcPr>
            <w:tcW w:type="dxa" w:w="3424"/>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pPr>
              <w:jc w:val="center"/>
            </w:pPr>
            <w:r>
              <w:rPr>
                <w:b/>
                <w:bCs/>
                <w:color w:val="FFFFFF"/>
                <w:sz w:val="17"/>
                <w:szCs w:val="17"/>
              </w:rPr>
              <w:t xml:space="preserve">USLaP (Non-Invasive)</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Invasiveness</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Craniotomy or vascular insertion; 3-6mm into brain tissue</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ZERO — External observation or surface sensors only</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Cost per Patient</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$40,000 - $100,000+ (device + surgery + monitoring)</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$0 (observation) or &lt;$200 (Garment 0.1)</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Precise Formulas Published</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ZERO — All use proprietary ML "black box"</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5+ deterministic equations (fully auditable)</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Reversibility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IRREVERSIBLE — Permanent scar tissue, device dependency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100% REVERSIBLE — Remove sensors, no residual</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Health Restored</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ZERO patients — All remain with original conditions</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RESTORATION paradigm — Goal is Δ→0 (return to fitrah)</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Global Accessibility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&lt;100 patients globally (specialized centers only)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7.2 BILLION — Any literate person on Earth</w:t>
            </w:r>
          </w:p>
        </w:tc>
      </w:tr>
    </w:tbl>
    <w:p>
      <w:r>
        <w:br w:type="page"/>
      </w:r>
    </w:p>
    <w:p>
      <w:pPr>
        <w:pStyle w:val="Heading1"/>
      </w:pPr>
      <w:r>
        <w:t xml:space="preserve">2. SCOPE AND KEY DEFINITIONS</w:t>
      </w:r>
    </w:p>
    <w:p>
      <w:pPr>
        <w:spacing w:before="120"/>
      </w:pPr>
      <w:r>
        <w:rPr>
          <w:sz w:val="20"/>
          <w:szCs w:val="20"/>
        </w:rPr>
        <w:t xml:space="preserve">This specification addresses the primary claim of commercial BCI companies: that invasive electrode insertion into brain tissue is necessary and superior for neural signal acquisition. The document provides complete technical parameters for all major commercial systems and demonstrates that USLaP non-invasive methods achieve diagnostic objectives without surgery, without device dependency, and with fully auditable formulas.</w:t>
      </w:r>
    </w:p>
    <w:p>
      <w:pPr>
        <w:pStyle w:val="Heading2"/>
      </w:pPr>
      <w:r>
        <w:t xml:space="preserve">2.1 Key Definitions</w:t>
      </w:r>
    </w:p>
    <w:p>
      <w:pPr>
        <w:spacing w:before="100"/>
      </w:pPr>
      <w:r>
        <w:rPr>
          <w:b/>
          <w:bCs/>
          <w:sz w:val="20"/>
          <w:szCs w:val="20"/>
        </w:rPr>
        <w:t xml:space="preserve">Intracortical Electrode: </w:t>
      </w:r>
      <w:r>
        <w:rPr>
          <w:sz w:val="20"/>
          <w:szCs w:val="20"/>
        </w:rPr>
        <w:t xml:space="preserve">A conductive element surgically inserted through the skull and dura mater directly into brain tissue (cortex) to record electrical activity from neurons. Requires craniotomy (surgical removal of skull section). Used by Neuralink, Blackrock, Paradromics, Precision Neuroscience.</w:t>
      </w:r>
    </w:p>
    <w:p>
      <w:pPr>
        <w:spacing w:before="100"/>
      </w:pPr>
      <w:r>
        <w:rPr>
          <w:b/>
          <w:bCs/>
          <w:sz w:val="20"/>
          <w:szCs w:val="20"/>
        </w:rPr>
        <w:t xml:space="preserve">Endovascular Electrode: </w:t>
      </w:r>
      <w:r>
        <w:rPr>
          <w:sz w:val="20"/>
          <w:szCs w:val="20"/>
        </w:rPr>
        <w:t xml:space="preserve">A conductive element delivered through blood vessels (via jugular vein) to record neural signals from within cerebral vasculature. Does not require craniotomy but creates permanent vascular implant. Used by Synchron.</w:t>
      </w:r>
    </w:p>
    <w:p>
      <w:pPr>
        <w:spacing w:before="100"/>
      </w:pPr>
      <w:r>
        <w:rPr>
          <w:b/>
          <w:bCs/>
          <w:sz w:val="20"/>
          <w:szCs w:val="20"/>
        </w:rPr>
        <w:t xml:space="preserve">Surface Electrode (Non-Invasive): </w:t>
      </w:r>
      <w:r>
        <w:rPr>
          <w:sz w:val="20"/>
          <w:szCs w:val="20"/>
        </w:rPr>
        <w:t xml:space="preserve">A conductive element placed on the external surface of the body (skin, scalp) to record electrical activity. No tissue penetration. Fully removable. Specified by USLaP as optional technology enhancement.</w:t>
      </w:r>
    </w:p>
    <w:p>
      <w:pPr>
        <w:spacing w:before="100"/>
      </w:pPr>
      <w:r>
        <w:rPr>
          <w:b/>
          <w:bCs/>
          <w:sz w:val="20"/>
          <w:szCs w:val="20"/>
        </w:rPr>
        <w:t xml:space="preserve">Deterministic Formula: </w:t>
      </w:r>
      <w:r>
        <w:rPr>
          <w:sz w:val="20"/>
          <w:szCs w:val="20"/>
        </w:rPr>
        <w:t xml:space="preserve">A mathematical equation where identical inputs always produce identical outputs, expressed in closed form, computable by any literate person with basic arithmetic. Contrasted with probabilistic machine learning models where billions of parameters cannot be audited.</w:t>
      </w:r>
    </w:p>
    <w:p>
      <w:pPr>
        <w:spacing w:before="100"/>
      </w:pPr>
      <w:r>
        <w:rPr>
          <w:b/>
          <w:bCs/>
          <w:sz w:val="20"/>
          <w:szCs w:val="20"/>
        </w:rPr>
        <w:t xml:space="preserve">Fitrah (فِطْرَة): </w:t>
      </w:r>
      <w:r>
        <w:rPr>
          <w:sz w:val="20"/>
          <w:szCs w:val="20"/>
        </w:rPr>
        <w:t xml:space="preserve">The original pattern or natural state of the human body as specified in Quran 23:12-14 (embryological development). USLaP defines health as alignment with fitrah; disease as deviation (اِنْحِرَاف) from fitrah. Restoration means return to original pattern, not technological bypass.</w:t>
      </w:r>
    </w:p>
    <w:p>
      <w:r>
        <w:br w:type="page"/>
      </w:r>
    </w:p>
    <w:p>
      <w:pPr>
        <w:pStyle w:val="Heading1"/>
      </w:pPr>
      <w:r>
        <w:t xml:space="preserve">3. COMMERCIAL BCI #1: NEURALINK N1 IMPLANT</w:t>
      </w:r>
    </w:p>
    <w:p>
      <w:pPr>
        <w:spacing w:before="120"/>
      </w:pPr>
      <w:r>
        <w:rPr>
          <w:b/>
          <w:bCs/>
          <w:sz w:val="20"/>
          <w:szCs w:val="20"/>
        </w:rPr>
        <w:t xml:space="preserve">Company: </w:t>
      </w:r>
      <w:r>
        <w:rPr>
          <w:sz w:val="20"/>
          <w:szCs w:val="20"/>
        </w:rPr>
        <w:t xml:space="preserve">Neuralink Corporation (Founded 2016, Fremont, California)</w:t>
      </w:r>
    </w:p>
    <w:p>
      <w:pPr>
        <w:spacing w:before="60"/>
      </w:pPr>
      <w:r>
        <w:rPr>
          <w:b/>
          <w:bCs/>
          <w:sz w:val="20"/>
          <w:szCs w:val="20"/>
        </w:rPr>
        <w:t xml:space="preserve">Total Funding: </w:t>
      </w:r>
      <w:r>
        <w:rPr>
          <w:sz w:val="20"/>
          <w:szCs w:val="20"/>
        </w:rPr>
        <w:t xml:space="preserve">$1.29 billion across 6 rounds (Series E: $650M at $9B valuation, June 2025)</w:t>
      </w:r>
    </w:p>
    <w:p>
      <w:pPr>
        <w:spacing w:before="60"/>
      </w:pPr>
      <w:r>
        <w:rPr>
          <w:b/>
          <w:bCs/>
          <w:sz w:val="20"/>
          <w:szCs w:val="20"/>
        </w:rPr>
        <w:t xml:space="preserve">Key Investors: </w:t>
      </w:r>
      <w:r>
        <w:rPr>
          <w:sz w:val="20"/>
          <w:szCs w:val="20"/>
        </w:rPr>
        <w:t xml:space="preserve">Founders Fund (Peter Thiel), ARK Invest, Sequoia, Google Ventures, G42 (UAE), QIA (Qatar), Sam Altman</w:t>
      </w:r>
    </w:p>
    <w:p>
      <w:pPr>
        <w:spacing w:before="60"/>
      </w:pPr>
      <w:r>
        <w:rPr>
          <w:b/>
          <w:bCs/>
          <w:sz w:val="20"/>
          <w:szCs w:val="20"/>
        </w:rPr>
        <w:t xml:space="preserve">Patients Implanted: </w:t>
      </w:r>
      <w:r>
        <w:rPr>
          <w:sz w:val="20"/>
          <w:szCs w:val="20"/>
        </w:rPr>
        <w:t xml:space="preserve">21 (as of January 28, 2026)</w:t>
      </w:r>
    </w:p>
    <w:p>
      <w:pPr>
        <w:spacing w:before="60"/>
      </w:pPr>
      <w:r>
        <w:rPr>
          <w:b/>
          <w:bCs/>
          <w:sz w:val="20"/>
          <w:szCs w:val="20"/>
        </w:rPr>
        <w:t xml:space="preserve">Health Restored: </w:t>
      </w:r>
      <w:r>
        <w:rPr>
          <w:color w:val="8B0000"/>
          <w:sz w:val="20"/>
          <w:szCs w:val="20"/>
        </w:rPr>
        <w:t xml:space="preserve">ZERO (all patients remain with original conditions; device provides bypass only)</w:t>
      </w:r>
    </w:p>
    <w:p>
      <w:pPr>
        <w:pStyle w:val="Heading2"/>
      </w:pPr>
      <w:r>
        <w:t xml:space="preserve">3.1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pPr>
              <w:jc w:val="left"/>
            </w:pPr>
            <w:r>
              <w:rPr>
                <w:b/>
                <w:bCs/>
                <w:color w:val="FFFFFF"/>
                <w:sz w:val="17"/>
                <w:szCs w:val="17"/>
              </w:rPr>
              <w:t xml:space="preserve">Parameter</w:t>
            </w:r>
          </w:p>
        </w:tc>
        <w:tc>
          <w:tcPr>
            <w:tcW w:type="dxa" w:w="6148"/>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pPr>
              <w:jc w:val="left"/>
            </w:pPr>
            <w:r>
              <w:rPr>
                <w:b/>
                <w:bCs/>
                <w:color w:val="FFFFFF"/>
                <w:sz w:val="17"/>
                <w:szCs w:val="17"/>
              </w:rPr>
              <w:t xml:space="preserve">Specification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Total Electrode Count</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1,024 electrodes across 64 flexible polymer threads</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Thread Width</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4-6 micrometers (human hair = 70μm; thread ~12x thinner)</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Insertion Depth</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3-6 mm into motor cortex (Layer V pyramidal neurons)</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Implant Dimensions</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23mm diameter × 8mm height (replaces removed skull section)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Surgical Procedure</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Craniotomy (25mm skull section removed); robotic thread insertion</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Sampling Rate</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20 kHz per channel (20.48M samples/sec total)</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Cost Estimate</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$10K device + $30K+ surgery = $40,000+ total</w:t>
            </w:r>
          </w:p>
        </w:tc>
      </w:tr>
      <w:tr>
        <w:tc>
          <w:tcPr>
            <w:tcW w:type="dxa" w:w="3500"/>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b/>
                <w:bCs/>
                <w:color w:val="8B0000"/>
                <w:sz w:val="17"/>
                <w:szCs w:val="17"/>
              </w:rPr>
              <w:t xml:space="preserve">KNOWN FAILURE</w:t>
            </w:r>
          </w:p>
        </w:tc>
        <w:tc>
          <w:tcPr>
            <w:tcW w:type="dxa" w:w="6148"/>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color w:val="8B0000"/>
                <w:sz w:val="17"/>
                <w:szCs w:val="17"/>
              </w:rPr>
              <w:t xml:space="preserve">Patient 1: 85% thread retraction within first month; only 15% electrodes functional</w:t>
            </w:r>
          </w:p>
        </w:tc>
      </w:tr>
      <w:tr>
        <w:tc>
          <w:tcPr>
            <w:tcW w:type="dxa" w:w="3500"/>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b/>
                <w:bCs/>
                <w:color w:val="8B0000"/>
                <w:sz w:val="17"/>
                <w:szCs w:val="17"/>
              </w:rPr>
              <w:t xml:space="preserve">TRANSPARENCY</w:t>
            </w:r>
          </w:p>
        </w:tc>
        <w:tc>
          <w:tcPr>
            <w:tcW w:type="dxa" w:w="6148"/>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color w:val="8B0000"/>
                <w:sz w:val="17"/>
                <w:szCs w:val="17"/>
              </w:rPr>
              <w:t xml:space="preserve">Trial NOT registered on clinicaltrials.gov; proprietary decoder</w:t>
            </w:r>
          </w:p>
        </w:tc>
      </w:tr>
    </w:tbl>
    <w:p>
      <w:r>
        <w:br w:type="page"/>
      </w:r>
    </w:p>
    <w:p>
      <w:pPr>
        <w:pStyle w:val="Heading1"/>
      </w:pPr>
      <w:r>
        <w:t xml:space="preserve">4. COMMERCIAL BCIs #2-5: ADDITIONAL SPECIFICATIONS</w:t>
      </w:r>
    </w:p>
    <w:p>
      <w:pPr>
        <w:pStyle w:val="Heading2"/>
      </w:pPr>
      <w:r>
        <w:t xml:space="preserve">4.1 Blackrock Neurotech (Utah Array)</w:t>
      </w:r>
    </w:p>
    <w:p>
      <w:pPr>
        <w:spacing w:before="100"/>
      </w:pPr>
      <w:r>
        <w:rPr>
          <w:sz w:val="20"/>
          <w:szCs w:val="20"/>
        </w:rPr>
        <w:t xml:space="preserve">Funding: $222M+ ($200M from Tether/USDT in 2024) | Patients: 40+ | Founded: 2008 | First implant: 2004</w:t>
      </w:r>
    </w:p>
    <w:p>
      <w:pPr>
        <w:spacing w:before="60"/>
      </w:pPr>
      <w:r>
        <w:rPr>
          <w:sz w:val="20"/>
          <w:szCs w:val="20"/>
        </w:rPr>
        <w:t xml:space="preserve">Electrodes: 96-128 in 10×10 grid ("bed of nails") | Length: 1.0-1.5mm silicon spikes | Array: 4mm × 4mm</w:t>
      </w:r>
    </w:p>
    <w:p>
      <w:pPr>
        <w:spacing w:before="60"/>
      </w:pPr>
      <w:r>
        <w:rPr>
          <w:b/>
          <w:bCs/>
          <w:sz w:val="20"/>
          <w:szCs w:val="20"/>
        </w:rPr>
        <w:t xml:space="preserve">LIMITATION: </w:t>
      </w:r>
      <w:r>
        <w:rPr>
          <w:color w:val="8B0000"/>
          <w:sz w:val="20"/>
          <w:szCs w:val="20"/>
        </w:rPr>
        <w:t xml:space="preserve">Rigid silicon causes chronic gliosis (scarring); signal degrades over time; 22 years of human use with ZERO commercial product for general patients.</w:t>
      </w:r>
    </w:p>
    <w:p>
      <w:pPr>
        <w:pStyle w:val="Heading2"/>
      </w:pPr>
      <w:r>
        <w:t xml:space="preserve">4.2 Synchron (Stentrode)</w:t>
      </w:r>
    </w:p>
    <w:p>
      <w:pPr>
        <w:spacing w:before="100"/>
      </w:pPr>
      <w:r>
        <w:rPr>
          <w:sz w:val="20"/>
          <w:szCs w:val="20"/>
        </w:rPr>
        <w:t xml:space="preserve">Funding: $345M+ (DARPA RE-NET, Gates, Bezos) | Patients: 10 | Founded: 2012</w:t>
      </w:r>
    </w:p>
    <w:p>
      <w:pPr>
        <w:spacing w:before="60"/>
      </w:pPr>
      <w:r>
        <w:rPr>
          <w:sz w:val="20"/>
          <w:szCs w:val="20"/>
        </w:rPr>
        <w:t xml:space="preserve">Electrodes: 16 on nitinol stent | Insertion: Endovascular via jugular vein (no craniotomy) | Location: Superior sagittal sinus</w:t>
      </w:r>
    </w:p>
    <w:p>
      <w:pPr>
        <w:spacing w:before="60"/>
      </w:pPr>
      <w:r>
        <w:rPr>
          <w:b/>
          <w:bCs/>
          <w:sz w:val="20"/>
          <w:szCs w:val="20"/>
        </w:rPr>
        <w:t xml:space="preserve">LIMITATION: </w:t>
      </w:r>
      <w:r>
        <w:rPr>
          <w:color w:val="8B0000"/>
          <w:sz w:val="20"/>
          <w:szCs w:val="20"/>
        </w:rPr>
        <w:t xml:space="preserve">Permanent vascular implant; lower resolution (through vessel wall); depends on OpenAI + Nvidia + Apple partnerships.</w:t>
      </w:r>
    </w:p>
    <w:p>
      <w:pPr>
        <w:pStyle w:val="Heading2"/>
      </w:pPr>
      <w:r>
        <w:t xml:space="preserve">4.3 Paradromics (Connexus)</w:t>
      </w:r>
    </w:p>
    <w:p>
      <w:pPr>
        <w:spacing w:before="100"/>
      </w:pPr>
      <w:r>
        <w:rPr>
          <w:sz w:val="20"/>
          <w:szCs w:val="20"/>
        </w:rPr>
        <w:t xml:space="preserve">Funding: $105M+ private + $18M DARPA/NIH | Patients: 1 (acute test, removed) | Founded: 2015</w:t>
      </w:r>
    </w:p>
    <w:p>
      <w:pPr>
        <w:spacing w:before="60"/>
      </w:pPr>
      <w:r>
        <w:rPr>
          <w:sz w:val="20"/>
          <w:szCs w:val="20"/>
        </w:rPr>
        <w:t xml:space="preserve">Electrodes: 1,600+ (421 per modular unit) | Claim: 200+ bits/sec | Target: Speech restoration</w:t>
      </w:r>
    </w:p>
    <w:p>
      <w:pPr>
        <w:pStyle w:val="Heading2"/>
      </w:pPr>
      <w:r>
        <w:t xml:space="preserve">4.4 Precision Neuroscience (Layer 7)</w:t>
      </w:r>
    </w:p>
    <w:p>
      <w:pPr>
        <w:spacing w:before="100"/>
      </w:pPr>
      <w:r>
        <w:rPr>
          <w:sz w:val="20"/>
          <w:szCs w:val="20"/>
        </w:rPr>
        <w:t xml:space="preserve">Funding: $155M | Patients: Early trials | Founded: 2021</w:t>
      </w:r>
    </w:p>
    <w:p>
      <w:pPr>
        <w:spacing w:before="60"/>
      </w:pPr>
      <w:r>
        <w:rPr>
          <w:sz w:val="20"/>
          <w:szCs w:val="20"/>
        </w:rPr>
        <w:t xml:space="preserve">Type: Subdural ECoG (on cortex surface, not penetrating) | Still requires craniotomy</w:t>
      </w:r>
    </w:p>
    <w:p>
      <w:r>
        <w:br w:type="page"/>
      </w:r>
    </w:p>
    <w:p>
      <w:pPr>
        <w:pStyle w:val="Heading1"/>
      </w:pPr>
      <w:r>
        <w:t xml:space="preserve">5. COMMERCIAL BCI SIGNAL PROCESSING: ABSENCE OF FORMULAS</w:t>
      </w:r>
    </w:p>
    <w:p>
      <w:pPr>
        <w:spacing w:before="120"/>
      </w:pPr>
      <w:r>
        <w:rPr>
          <w:sz w:val="20"/>
          <w:szCs w:val="20"/>
        </w:rPr>
        <w:t xml:space="preserve">A critical distinction between commercial BCI systems and USLaP is the presence or absence of precise, deterministic, publicly auditable formulas. This section documents that no commercial BCI company has published closed-form equations for their neural decoders.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gridSpan w:val="1"/>
            <w:tcBorders>
              <w:top w:val="single" w:color="666666" w:sz="1"/>
              <w:left w:val="single" w:color="666666" w:sz="1"/>
              <w:bottom w:val="single" w:color="666666" w:sz="1"/>
              <w:right w:val="single" w:color="666666" w:sz="1"/>
            </w:tcBorders>
            <w:shd w:fill="2d2d2d" w:val="clear"/>
            <w:tcMar>
              <w:top w:type="dxa" w:w="100"/>
              <w:left w:type="dxa" w:w="120"/>
              <w:bottom w:type="dxa" w:w="100"/>
              <w:right w:type="dxa" w:w="120"/>
            </w:tcMar>
          </w:tcPr>
          <w:p>
            <w:pPr>
              <w:jc w:val="center"/>
            </w:pPr>
            <w:r>
              <w:rPr>
                <w:rFonts w:ascii="Courier New" w:cs="Courier New" w:eastAsia="Courier New" w:hAnsi="Courier New"/>
                <w:b/>
                <w:bCs/>
                <w:color w:val="FFFFFF"/>
                <w:sz w:val="18"/>
                <w:szCs w:val="18"/>
              </w:rPr>
              <w:t xml:space="preserve">COMMERCIAL BCI SIGNAL PROCESSING PIPELINE</w:t>
            </w:r>
          </w:p>
          <w:p>
            <w:pPr>
              <w:spacing w:before="100"/>
            </w:pPr>
            <w:r>
              <w:rPr>
                <w:rFonts w:ascii="Courier New" w:cs="Courier New" w:eastAsia="Courier New" w:hAnsi="Courier New"/>
                <w:color w:val="90EE90"/>
                <w:sz w:val="16"/>
                <w:szCs w:val="16"/>
              </w:rPr>
              <w:t xml:space="preserve">INPUT: Raw neural spikes (1,024 electrodes × time)</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1: Spike sorting</w:t>
            </w:r>
            <w:r>
              <w:rPr>
                <w:rFonts w:ascii="Courier New" w:cs="Courier New" w:eastAsia="Courier New" w:hAnsi="Courier New"/>
                <w:color w:val="ff6666"/>
                <w:sz w:val="16"/>
                <w:szCs w:val="16"/>
              </w:rPr>
              <w:t xml:space="preserve"> [PROPRIETARY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2: Feature extraction</w:t>
            </w:r>
            <w:r>
              <w:rPr>
                <w:rFonts w:ascii="Courier New" w:cs="Courier New" w:eastAsia="Courier New" w:hAnsi="Courier New"/>
                <w:color w:val="ff6666"/>
                <w:sz w:val="16"/>
                <w:szCs w:val="16"/>
              </w:rPr>
              <w:t xml:space="preserve"> [PROPRIETARY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3: Neural network decoder</w:t>
            </w:r>
            <w:r>
              <w:rPr>
                <w:rFonts w:ascii="Courier New" w:cs="Courier New" w:eastAsia="Courier New" w:hAnsi="Courier New"/>
                <w:color w:val="ff6666"/>
                <w:sz w:val="16"/>
                <w:szCs w:val="16"/>
              </w:rPr>
              <w:t xml:space="preserve"> [MILLIONS OF PARAMETERS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90EE90"/>
                <w:sz w:val="16"/>
                <w:szCs w:val="16"/>
              </w:rPr>
              <w:t xml:space="preserve">OUTPUT: Cursor position / device command</w:t>
            </w:r>
          </w:p>
          <w:p>
            <w:pPr>
              <w:spacing w:before="100"/>
              <w:jc w:val="center"/>
            </w:pPr>
            <w:r>
              <w:rPr>
                <w:rFonts w:ascii="Courier New" w:cs="Courier New" w:eastAsia="Courier New" w:hAnsi="Courier New"/>
                <w:b/>
                <w:bCs/>
                <w:color w:val="ff6666"/>
                <w:sz w:val="18"/>
                <w:szCs w:val="18"/>
              </w:rPr>
              <w:t xml:space="preserve">TOTAL DETERMINISTIC FORMULAS PUBLISHED: ZERO</w:t>
            </w:r>
          </w:p>
        </w:tc>
      </w:tr>
    </w:tbl>
    <w:p>
      <w:pPr>
        <w:spacing w:before="150"/>
      </w:pPr>
      <w:r>
        <w:rPr>
          <w:sz w:val="20"/>
          <w:szCs w:val="20"/>
        </w:rPr>
        <w:t xml:space="preserve">All commercial BCI systems use machine learning models with millions of unauditable parameters. Given identical inputs at two different times, outputs may differ. No company publishes weights or equations that any engineer can independently verify.</w:t>
      </w:r>
    </w:p>
    <w:p>
      <w:r>
        <w:br w:type="page"/>
      </w:r>
    </w:p>
    <w:p>
      <w:pPr>
        <w:pStyle w:val="Heading1"/>
      </w:pPr>
      <w:r>
        <w:t xml:space="preserve">6. USLaP NON-INVASIVE DIAGNOSTIC SPECIFICATIONS</w:t>
      </w:r>
    </w:p>
    <w:p>
      <w:pPr>
        <w:pStyle w:val="Heading2"/>
      </w:pPr>
      <w:r>
        <w:t xml:space="preserve">6.1 External Observation Protocol (Ibn Sina Methodology)</w:t>
      </w:r>
    </w:p>
    <w:p>
      <w:pPr>
        <w:spacing w:before="100"/>
      </w:pPr>
      <w:r>
        <w:rPr>
          <w:sz w:val="20"/>
          <w:szCs w:val="20"/>
        </w:rPr>
        <w:t xml:space="preserve">The Ibn Sina Protocol specifies four sanctity-compliant observation methods that provide diagnostic information without any invasive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666666" w:sz="1"/>
              <w:left w:val="single" w:color="666666" w:sz="1"/>
              <w:bottom w:val="single" w:color="666666" w:sz="1"/>
              <w:right w:val="single" w:color="666666" w:sz="1"/>
            </w:tcBorders>
            <w:shd w:fill="006400" w:val="clear"/>
            <w:tcMar>
              <w:top w:type="dxa" w:w="50"/>
              <w:left w:type="dxa" w:w="80"/>
              <w:bottom w:type="dxa" w:w="50"/>
              <w:right w:type="dxa" w:w="80"/>
            </w:tcMar>
          </w:tcPr>
          <w:p>
            <w:pPr>
              <w:jc w:val="left"/>
            </w:pPr>
            <w:r>
              <w:rPr>
                <w:b/>
                <w:bCs/>
                <w:color w:val="FFFFFF"/>
                <w:sz w:val="17"/>
                <w:szCs w:val="17"/>
              </w:rPr>
              <w:t xml:space="preserve">Method</w:t>
            </w:r>
          </w:p>
        </w:tc>
        <w:tc>
          <w:tcPr>
            <w:tcW w:type="dxa" w:w="7148"/>
            <w:tcBorders>
              <w:top w:val="single" w:color="666666" w:sz="1"/>
              <w:left w:val="single" w:color="666666" w:sz="1"/>
              <w:bottom w:val="single" w:color="666666" w:sz="1"/>
              <w:right w:val="single" w:color="666666" w:sz="1"/>
            </w:tcBorders>
            <w:shd w:fill="006400" w:val="clear"/>
            <w:tcMar>
              <w:top w:type="dxa" w:w="50"/>
              <w:left w:type="dxa" w:w="80"/>
              <w:bottom w:type="dxa" w:w="50"/>
              <w:right w:type="dxa" w:w="80"/>
            </w:tcMar>
          </w:tcPr>
          <w:p>
            <w:pPr>
              <w:jc w:val="left"/>
            </w:pPr>
            <w:r>
              <w:rPr>
                <w:b/>
                <w:bCs/>
                <w:color w:val="FFFFFF"/>
                <w:sz w:val="17"/>
                <w:szCs w:val="17"/>
              </w:rPr>
              <w:t xml:space="preserve">Description and Parameters</w:t>
            </w:r>
          </w:p>
        </w:tc>
      </w:tr>
      <w:tr>
        <w:tc>
          <w:tcPr>
            <w:tcW w:type="dxa" w:w="25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b/>
                <w:bCs/>
                <w:sz w:val="17"/>
                <w:szCs w:val="17"/>
              </w:rPr>
              <w:t xml:space="preserve">1. Visual (المُعَايَنَة)</w:t>
            </w:r>
          </w:p>
        </w:tc>
        <w:tc>
          <w:tcPr>
            <w:tcW w:type="dxa" w:w="7148"/>
            <w:tcBorders>
              <w:top w:val="single" w:color="666666" w:sz="1"/>
              <w:left w:val="single" w:color="666666" w:sz="1"/>
              <w:bottom w:val="single" w:color="666666" w:sz="1"/>
              <w:right w:val="single" w:color="666666" w:sz="1"/>
            </w:tcBorders>
            <w:tcMar>
              <w:top w:type="dxa" w:w="60"/>
              <w:left w:type="dxa" w:w="80"/>
              <w:bottom w:type="dxa" w:w="60"/>
              <w:right w:type="dxa" w:w="80"/>
            </w:tcMar>
          </w:tcPr>
          <w:p>
            <w:r>
              <w:rPr>
                <w:sz w:val="17"/>
                <w:szCs w:val="17"/>
              </w:rPr>
              <w:t xml:space="preserve">Assessment in Qiyam/Ruku/Sujud postures. Parameters: symmetry, compensation patterns, load distribution, range of motion, tremor</w:t>
            </w:r>
          </w:p>
        </w:tc>
      </w:tr>
      <w:tr>
        <w:tc>
          <w:tcPr>
            <w:tcW w:type="dxa" w:w="2500"/>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b/>
                <w:bCs/>
                <w:sz w:val="17"/>
                <w:szCs w:val="17"/>
              </w:rPr>
              <w:t xml:space="preserve">2. Palpation (الجَسّ)</w:t>
            </w:r>
          </w:p>
        </w:tc>
        <w:tc>
          <w:tcPr>
            <w:tcW w:type="dxa" w:w="7148"/>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sz w:val="17"/>
                <w:szCs w:val="17"/>
              </w:rPr>
              <w:t xml:space="preserve">Manual assessment along four warp lines. Parameters: tension, temperature gradient (Hot/Cold), moisture (Dry/Moist)</w:t>
            </w:r>
          </w:p>
        </w:tc>
      </w:tr>
      <w:tr>
        <w:tc>
          <w:tcPr>
            <w:tcW w:type="dxa" w:w="2500"/>
            <w:tcBorders>
              <w:top w:val="single" w:color="666666" w:sz="1"/>
              <w:left w:val="single" w:color="666666" w:sz="1"/>
              <w:bottom w:val="single" w:color="666666" w:sz="1"/>
              <w:right w:val="single" w:color="666666" w:sz="1"/>
            </w:tcBorders>
            <w:tcMar>
              <w:top w:type="dxa" w:w="60"/>
              <w:left w:type="dxa" w:w="80"/>
              <w:bottom w:type="dxa" w:w="60"/>
              <w:right w:type="dxa" w:w="80"/>
            </w:tcMar>
          </w:tcPr>
          <w:p>
            <w:r>
              <w:rPr>
                <w:b/>
                <w:bCs/>
                <w:sz w:val="17"/>
                <w:szCs w:val="17"/>
              </w:rPr>
              <w:t xml:space="preserve">3. Pulse (النَّبض)</w:t>
            </w:r>
          </w:p>
        </w:tc>
        <w:tc>
          <w:tcPr>
            <w:tcW w:type="dxa" w:w="7148"/>
            <w:tcBorders>
              <w:top w:val="single" w:color="666666" w:sz="1"/>
              <w:left w:val="single" w:color="666666" w:sz="1"/>
              <w:bottom w:val="single" w:color="666666" w:sz="1"/>
              <w:right w:val="single" w:color="666666" w:sz="1"/>
            </w:tcBorders>
            <w:tcMar>
              <w:top w:type="dxa" w:w="60"/>
              <w:left w:type="dxa" w:w="80"/>
              <w:bottom w:type="dxa" w:w="60"/>
              <w:right w:type="dxa" w:w="80"/>
            </w:tcMar>
          </w:tcPr>
          <w:p>
            <w:r>
              <w:rPr>
                <w:sz w:val="17"/>
                <w:szCs w:val="17"/>
              </w:rPr>
              <w:t xml:space="preserve">Radial artery at three positions (cun/guan/chi). Parameters: rate, rhythm, quality → thermodynamic state</w:t>
            </w:r>
          </w:p>
        </w:tc>
      </w:tr>
      <w:tr>
        <w:tc>
          <w:tcPr>
            <w:tcW w:type="dxa" w:w="2500"/>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b/>
                <w:bCs/>
                <w:sz w:val="17"/>
                <w:szCs w:val="17"/>
              </w:rPr>
              <w:t xml:space="preserve">4. Movement (الحَرَكَة)</w:t>
            </w:r>
          </w:p>
        </w:tc>
        <w:tc>
          <w:tcPr>
            <w:tcW w:type="dxa" w:w="7148"/>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sz w:val="17"/>
                <w:szCs w:val="17"/>
              </w:rPr>
              <w:t xml:space="preserve">Dynamic gait analysis. Parameters: symmetry, cross-body coordination, contralateral compensation</w:t>
            </w:r>
          </w:p>
        </w:tc>
      </w:tr>
      <w:tr>
        <w:tc>
          <w:tcPr>
            <w:tcW w:type="dxa" w:w="2500"/>
            <w:tcBorders>
              <w:top w:val="single" w:color="666666" w:sz="1"/>
              <w:left w:val="single" w:color="666666" w:sz="1"/>
              <w:bottom w:val="single" w:color="666666" w:sz="1"/>
              <w:right w:val="single" w:color="666666" w:sz="1"/>
            </w:tcBorders>
            <w:shd w:fill="e8f5e9" w:val="clear"/>
            <w:tcMar>
              <w:top w:type="dxa" w:w="60"/>
              <w:left w:type="dxa" w:w="80"/>
              <w:bottom w:type="dxa" w:w="60"/>
              <w:right w:type="dxa" w:w="80"/>
            </w:tcMar>
          </w:tcPr>
          <w:p>
            <w:r>
              <w:rPr>
                <w:b/>
                <w:bCs/>
                <w:color w:val="006400"/>
                <w:sz w:val="17"/>
                <w:szCs w:val="17"/>
              </w:rPr>
              <w:t xml:space="preserve">INVASIVENESS</w:t>
            </w:r>
          </w:p>
        </w:tc>
        <w:tc>
          <w:tcPr>
            <w:tcW w:type="dxa" w:w="7148"/>
            <w:tcBorders>
              <w:top w:val="single" w:color="666666" w:sz="1"/>
              <w:left w:val="single" w:color="666666" w:sz="1"/>
              <w:bottom w:val="single" w:color="666666" w:sz="1"/>
              <w:right w:val="single" w:color="666666" w:sz="1"/>
            </w:tcBorders>
            <w:shd w:fill="e8f5e9" w:val="clear"/>
            <w:tcMar>
              <w:top w:type="dxa" w:w="60"/>
              <w:left w:type="dxa" w:w="80"/>
              <w:bottom w:type="dxa" w:w="60"/>
              <w:right w:type="dxa" w:w="80"/>
            </w:tcMar>
          </w:tcPr>
          <w:p>
            <w:r>
              <w:rPr>
                <w:color w:val="006400"/>
                <w:sz w:val="17"/>
                <w:szCs w:val="17"/>
              </w:rPr>
              <w:t xml:space="preserve">ZERO — No tissue penetration, no device, no surgery</w:t>
            </w:r>
          </w:p>
        </w:tc>
      </w:tr>
      <w:tr>
        <w:tc>
          <w:tcPr>
            <w:tcW w:type="dxa" w:w="2500"/>
            <w:tcBorders>
              <w:top w:val="single" w:color="666666" w:sz="1"/>
              <w:left w:val="single" w:color="666666" w:sz="1"/>
              <w:bottom w:val="single" w:color="666666" w:sz="1"/>
              <w:right w:val="single" w:color="666666" w:sz="1"/>
            </w:tcBorders>
            <w:shd w:fill="e8f5e9" w:val="clear"/>
            <w:tcMar>
              <w:top w:type="dxa" w:w="60"/>
              <w:left w:type="dxa" w:w="80"/>
              <w:bottom w:type="dxa" w:w="60"/>
              <w:right w:type="dxa" w:w="80"/>
            </w:tcMar>
          </w:tcPr>
          <w:p>
            <w:r>
              <w:rPr>
                <w:b/>
                <w:bCs/>
                <w:color w:val="006400"/>
                <w:sz w:val="17"/>
                <w:szCs w:val="17"/>
              </w:rPr>
              <w:t xml:space="preserve">COST</w:t>
            </w:r>
          </w:p>
        </w:tc>
        <w:tc>
          <w:tcPr>
            <w:tcW w:type="dxa" w:w="7148"/>
            <w:tcBorders>
              <w:top w:val="single" w:color="666666" w:sz="1"/>
              <w:left w:val="single" w:color="666666" w:sz="1"/>
              <w:bottom w:val="single" w:color="666666" w:sz="1"/>
              <w:right w:val="single" w:color="666666" w:sz="1"/>
            </w:tcBorders>
            <w:shd w:fill="e8f5e9" w:val="clear"/>
            <w:tcMar>
              <w:top w:type="dxa" w:w="60"/>
              <w:left w:type="dxa" w:w="80"/>
              <w:bottom w:type="dxa" w:w="60"/>
              <w:right w:type="dxa" w:w="80"/>
            </w:tcMar>
          </w:tcPr>
          <w:p>
            <w:r>
              <w:rPr>
                <w:color w:val="006400"/>
                <w:sz w:val="17"/>
                <w:szCs w:val="17"/>
              </w:rPr>
              <w:t xml:space="preserve">$0 — Requires only trained observer or self-observation</w:t>
            </w:r>
          </w:p>
        </w:tc>
      </w:tr>
    </w:tbl>
    <w:p>
      <w:pPr>
        <w:pStyle w:val="Heading2"/>
      </w:pPr>
      <w:r>
        <w:t xml:space="preserve">6.2 Garment 0.1 (Optional Technology Enhancement)</w:t>
      </w:r>
    </w:p>
    <w:p>
      <w:pPr>
        <w:spacing w:before="100"/>
      </w:pPr>
      <w:r>
        <w:rPr>
          <w:sz w:val="20"/>
          <w:szCs w:val="20"/>
        </w:rPr>
        <w:t xml:space="preserve">For users who desire technological augmentation, USLaP specifies a sanctity-compliant wearable sensor suit:</w:t>
      </w:r>
    </w:p>
    <w:p>
      <w:pPr>
        <w:spacing w:before="60"/>
      </w:pPr>
      <w:r>
        <w:rPr>
          <w:b/>
          <w:bCs/>
          <w:sz w:val="20"/>
          <w:szCs w:val="20"/>
        </w:rPr>
        <w:t xml:space="preserve">Sensors: </w:t>
      </w:r>
      <w:r>
        <w:rPr>
          <w:sz w:val="20"/>
          <w:szCs w:val="20"/>
        </w:rPr>
        <w:t xml:space="preserve">Capacitive EMG (no skin contact required), accelerometers, pressure sensors, optical HRV</w:t>
      </w:r>
    </w:p>
    <w:p>
      <w:pPr>
        <w:spacing w:before="60"/>
      </w:pPr>
      <w:r>
        <w:rPr>
          <w:b/>
          <w:bCs/>
          <w:sz w:val="20"/>
          <w:szCs w:val="20"/>
        </w:rPr>
        <w:t xml:space="preserve">Data: </w:t>
      </w:r>
      <w:r>
        <w:rPr>
          <w:sz w:val="20"/>
          <w:szCs w:val="20"/>
        </w:rPr>
        <w:t xml:space="preserve">100% local processing; ZERO cloud transmission; user retains complete sovereignty</w:t>
      </w:r>
    </w:p>
    <w:p>
      <w:pPr>
        <w:spacing w:before="60"/>
      </w:pPr>
      <w:r>
        <w:rPr>
          <w:b/>
          <w:bCs/>
          <w:sz w:val="20"/>
          <w:szCs w:val="20"/>
        </w:rPr>
        <w:t xml:space="preserve">Cost: </w:t>
      </w:r>
      <w:r>
        <w:rPr>
          <w:sz w:val="20"/>
          <w:szCs w:val="20"/>
        </w:rPr>
        <w:t xml:space="preserve">&lt;$200 USD (vs. $40,000+ for BCI)</w:t>
      </w:r>
    </w:p>
    <w:p>
      <w:pPr>
        <w:spacing w:before="60"/>
      </w:pPr>
      <w:r>
        <w:rPr>
          <w:b/>
          <w:bCs/>
          <w:sz w:val="20"/>
          <w:szCs w:val="20"/>
        </w:rPr>
        <w:t xml:space="preserve">Output: </w:t>
      </w:r>
      <w:r>
        <w:rPr>
          <w:sz w:val="20"/>
          <w:szCs w:val="20"/>
        </w:rPr>
        <w:t xml:space="preserve">Personal Deep Dynamic Map — applies USLaP formulas to identify warp/weft/bias deviations</w:t>
      </w:r>
    </w:p>
    <w:p>
      <w:r>
        <w:br w:type="page"/>
      </w:r>
    </w:p>
    <w:p>
      <w:pPr>
        <w:pStyle w:val="Heading1"/>
      </w:pPr>
      <w:r>
        <w:t xml:space="preserve">7. USLaP DETERMINISTIC FORMULAS (COMPLETE SPECIFICATION)</w:t>
      </w:r>
    </w:p>
    <w:p>
      <w:pPr>
        <w:spacing w:before="100"/>
      </w:pPr>
      <w:r>
        <w:rPr>
          <w:sz w:val="20"/>
          <w:szCs w:val="20"/>
        </w:rPr>
        <w:t xml:space="preserve">Unlike commercial BCI systems, USLaP provides explicit, deterministic, closed-form formulas computable by any literate person.</w:t>
      </w:r>
    </w:p>
    <w:p>
      <w:pPr>
        <w:pStyle w:val="Heading2"/>
      </w:pPr>
      <w:r>
        <w:t xml:space="preserve">7.1 Formula 1: Thermodynamic Effect (Ibn Sina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36"/>
                <w:szCs w:val="36"/>
              </w:rPr>
              <w:t xml:space="preserve">E = f(Qₛ, Hᵦ)</w:t>
            </w:r>
          </w:p>
          <w:p>
            <w:pPr>
              <w:spacing w:before="100"/>
            </w:pPr>
            <w:r>
              <w:rPr>
                <w:rFonts w:ascii="Courier New" w:cs="Courier New" w:eastAsia="Courier New" w:hAnsi="Courier New"/>
                <w:color w:val="FFFFFF"/>
                <w:sz w:val="16"/>
                <w:szCs w:val="16"/>
              </w:rPr>
              <w:t xml:space="preserve">E = Observed Effect (deterministic output)</w:t>
            </w:r>
          </w:p>
          <w:p>
            <w:pPr>
              <w:spacing w:before="40"/>
            </w:pPr>
            <w:r>
              <w:rPr>
                <w:rFonts w:ascii="Courier New" w:cs="Courier New" w:eastAsia="Courier New" w:hAnsi="Courier New"/>
                <w:color w:val="FFFFFF"/>
                <w:sz w:val="16"/>
                <w:szCs w:val="16"/>
              </w:rPr>
              <w:t xml:space="preserve">Qₛ = Substance Quality = Temperature × Moisture × Degree</w:t>
            </w:r>
          </w:p>
          <w:p>
            <w:pPr>
              <w:spacing w:before="40"/>
            </w:pPr>
            <w:r>
              <w:rPr>
                <w:rFonts w:ascii="Courier New" w:cs="Courier New" w:eastAsia="Courier New" w:hAnsi="Courier New"/>
                <w:color w:val="FFFFFF"/>
                <w:sz w:val="16"/>
                <w:szCs w:val="16"/>
              </w:rPr>
              <w:t xml:space="preserve">Hᵦ = Body's Baseline Humoral State</w:t>
            </w:r>
          </w:p>
          <w:p>
            <w:pPr>
              <w:spacing w:before="80"/>
            </w:pPr>
            <w:r>
              <w:rPr>
                <w:rFonts w:ascii="Courier New" w:cs="Courier New" w:eastAsia="Courier New" w:hAnsi="Courier New"/>
                <w:color w:val="90EE90"/>
                <w:sz w:val="16"/>
                <w:szCs w:val="16"/>
              </w:rPr>
              <w:t xml:space="preserve">Temperature: Hot=+1, Cold=-1 | Moisture: Dry=+1, Moist=-1 | Degree: 1-4</w:t>
            </w:r>
          </w:p>
          <w:p>
            <w:pPr>
              <w:spacing w:before="80"/>
            </w:pPr>
            <w:r>
              <w:rPr>
                <w:rFonts w:ascii="Courier New" w:cs="Courier New" w:eastAsia="Courier New" w:hAnsi="Courier New"/>
                <w:color w:val="FFFFFF"/>
                <w:sz w:val="16"/>
                <w:szCs w:val="16"/>
              </w:rPr>
              <w:t xml:space="preserve">RULE: Same direction → AMPLIFIES dysfunction | Opposite → RESTORES balance</w:t>
            </w:r>
          </w:p>
        </w:tc>
      </w:tr>
    </w:tbl>
    <w:p>
      <w:pPr>
        <w:pStyle w:val="Heading2"/>
      </w:pPr>
      <w:r>
        <w:t xml:space="preserve">7.2 Formula 2: Cross-Body Diagnostic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8"/>
                <w:szCs w:val="28"/>
              </w:rPr>
              <w:t xml:space="preserve">Symptom_Right = f(Cause_Left_Dorsal)</w:t>
            </w:r>
          </w:p>
          <w:p>
            <w:pPr>
              <w:spacing w:before="40"/>
              <w:jc w:val="center"/>
            </w:pPr>
            <w:r>
              <w:rPr>
                <w:rFonts w:ascii="Courier New" w:cs="Courier New" w:eastAsia="Courier New" w:hAnsi="Courier New"/>
                <w:b/>
                <w:bCs/>
                <w:color w:val="90EE90"/>
                <w:sz w:val="28"/>
                <w:szCs w:val="28"/>
              </w:rPr>
              <w:t xml:space="preserve">Symptom_Left = f(Cause_Right_Dorsal)</w:t>
            </w:r>
          </w:p>
          <w:p>
            <w:pPr>
              <w:spacing w:before="80"/>
            </w:pPr>
            <w:r>
              <w:rPr>
                <w:rFonts w:ascii="Courier New" w:cs="Courier New" w:eastAsia="Courier New" w:hAnsi="Courier New"/>
                <w:color w:val="FFFFFF"/>
                <w:sz w:val="16"/>
                <w:szCs w:val="16"/>
              </w:rPr>
              <w:t xml:space="preserve">PRINCIPLE: Contralateral locomotion → Pain on ONE side often</w:t>
            </w:r>
          </w:p>
          <w:p>
            <w:r>
              <w:rPr>
                <w:rFonts w:ascii="Courier New" w:cs="Courier New" w:eastAsia="Courier New" w:hAnsi="Courier New"/>
                <w:color w:val="FFFFFF"/>
                <w:sz w:val="16"/>
                <w:szCs w:val="16"/>
              </w:rPr>
              <w:t xml:space="preserve">originates from restriction on OPPOSITE side's dorsal warp line.</w:t>
            </w:r>
          </w:p>
          <w:p>
            <w:pPr>
              <w:spacing w:before="80"/>
            </w:pPr>
            <w:r>
              <w:rPr>
                <w:rFonts w:ascii="Courier New" w:cs="Courier New" w:eastAsia="Courier New" w:hAnsi="Courier New"/>
                <w:color w:val="90EE90"/>
                <w:sz w:val="16"/>
                <w:szCs w:val="16"/>
              </w:rPr>
              <w:t xml:space="preserve">EXAMPLE: Right sciatica → Examine LEFT dorsal chain → Treat LEFT restriction</w:t>
            </w:r>
          </w:p>
        </w:tc>
      </w:tr>
    </w:tbl>
    <w:p>
      <w:pPr>
        <w:pStyle w:val="Heading2"/>
      </w:pPr>
      <w:r>
        <w:t xml:space="preserve">7.3 Formula 3: Deviation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36"/>
                <w:szCs w:val="36"/>
              </w:rPr>
              <w:t xml:space="preserve">Δ = |Current_State - Fitrah|</w:t>
            </w:r>
          </w:p>
          <w:p>
            <w:pPr>
              <w:spacing w:before="80"/>
            </w:pPr>
            <w:r>
              <w:rPr>
                <w:rFonts w:ascii="Courier New" w:cs="Courier New" w:eastAsia="Courier New" w:hAnsi="Courier New"/>
                <w:color w:val="FFFFFF"/>
                <w:sz w:val="16"/>
                <w:szCs w:val="16"/>
              </w:rPr>
              <w:t xml:space="preserve">Δ = Deviation magnitude from original pattern</w:t>
            </w:r>
          </w:p>
          <w:p>
            <w:pPr>
              <w:spacing w:before="40"/>
            </w:pPr>
            <w:r>
              <w:rPr>
                <w:rFonts w:ascii="Courier New" w:cs="Courier New" w:eastAsia="Courier New" w:hAnsi="Courier New"/>
                <w:color w:val="FFFFFF"/>
                <w:sz w:val="16"/>
                <w:szCs w:val="16"/>
              </w:rPr>
              <w:t xml:space="preserve">Fitrah (فِطْرَة) = Original pattern per Quran 23:12-14</w:t>
            </w:r>
          </w:p>
          <w:p>
            <w:pPr>
              <w:spacing w:before="80"/>
            </w:pPr>
            <w:r>
              <w:rPr>
                <w:rFonts w:ascii="Courier New" w:cs="Courier New" w:eastAsia="Courier New" w:hAnsi="Courier New"/>
                <w:color w:val="90EE90"/>
                <w:sz w:val="16"/>
                <w:szCs w:val="16"/>
              </w:rPr>
              <w:t xml:space="preserve">RESTORATION GOAL: Minimize Δ → 0 (return to balance)</w:t>
            </w:r>
          </w:p>
        </w:tc>
      </w:tr>
    </w:tbl>
    <w:p>
      <w:r>
        <w:br w:type="page"/>
      </w:r>
    </w:p>
    <w:p>
      <w:pPr>
        <w:pStyle w:val="Heading2"/>
      </w:pPr>
      <w:r>
        <w:t xml:space="preserve">7.4 Formula 4: Biological Frequency Correction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36"/>
                <w:szCs w:val="36"/>
              </w:rPr>
              <w:t xml:space="preserve">CPM = Hz × 60</w:t>
            </w:r>
          </w:p>
          <w:p>
            <w:pPr>
              <w:spacing w:before="80"/>
            </w:pPr>
            <w:r>
              <w:rPr>
                <w:rFonts w:ascii="Courier New" w:cs="Courier New" w:eastAsia="Courier New" w:hAnsi="Courier New"/>
                <w:color w:val="FFFFFF"/>
                <w:sz w:val="16"/>
                <w:szCs w:val="16"/>
              </w:rPr>
              <w:t xml:space="preserve">CPM = Cycles Per Minute (correct biological unit)</w:t>
            </w:r>
          </w:p>
          <w:p>
            <w:pPr>
              <w:spacing w:before="40"/>
            </w:pPr>
            <w:r>
              <w:rPr>
                <w:rFonts w:ascii="Courier New" w:cs="Courier New" w:eastAsia="Courier New" w:hAnsi="Courier New"/>
                <w:color w:val="FFFFFF"/>
                <w:sz w:val="16"/>
                <w:szCs w:val="16"/>
              </w:rPr>
              <w:t xml:space="preserve">Hz = Hertz (cycles/second) — CONTAMINATED for biology</w:t>
            </w:r>
          </w:p>
          <w:p>
            <w:pPr>
              <w:spacing w:before="80"/>
            </w:pPr>
            <w:r>
              <w:rPr>
                <w:rFonts w:ascii="Courier New" w:cs="Courier New" w:eastAsia="Courier New" w:hAnsi="Courier New"/>
                <w:color w:val="ff6666"/>
                <w:sz w:val="16"/>
                <w:szCs w:val="16"/>
              </w:rPr>
              <w:t xml:space="preserve">CRITICAL ERROR: Modern "40 Hz therapy" = 2,400 CPM (60× too fast)</w:t>
            </w:r>
          </w:p>
          <w:p>
            <w:pPr>
              <w:spacing w:before="40"/>
            </w:pPr>
            <w:r>
              <w:rPr>
                <w:rFonts w:ascii="Courier New" w:cs="Courier New" w:eastAsia="Courier New" w:hAnsi="Courier New"/>
                <w:color w:val="90EE90"/>
                <w:sz w:val="16"/>
                <w:szCs w:val="16"/>
              </w:rPr>
              <w:t xml:space="preserve">CORRECT: Therapeutic frequency = 40 CPM (Dombra, fever-breaking)</w:t>
            </w:r>
          </w:p>
          <w:p>
            <w:pPr>
              <w:spacing w:before="80"/>
            </w:pPr>
            <w:r>
              <w:rPr>
                <w:rFonts w:ascii="Courier New" w:cs="Courier New" w:eastAsia="Courier New" w:hAnsi="Courier New"/>
                <w:color w:val="FFFFFF"/>
                <w:sz w:val="16"/>
                <w:szCs w:val="16"/>
              </w:rPr>
              <w:t xml:space="preserve">UNIVERSAL RATIO: 88:40 = 11:5 (string:frequency, body, architecture)</w:t>
            </w:r>
          </w:p>
        </w:tc>
      </w:tr>
    </w:tbl>
    <w:p>
      <w:pPr>
        <w:pStyle w:val="Heading2"/>
      </w:pPr>
      <w:r>
        <w:t xml:space="preserve">7.5 Formula 5: Causal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8"/>
                <w:szCs w:val="28"/>
              </w:rPr>
              <w:t xml:space="preserve">1st → 2nd → 3rd → 4th → 5th → 6th → 7th Order</w:t>
            </w:r>
          </w:p>
          <w:p>
            <w:pPr>
              <w:spacing w:before="40"/>
              <w:jc w:val="center"/>
            </w:pPr>
            <w:r>
              <w:rPr>
                <w:rFonts w:ascii="Courier New" w:cs="Courier New" w:eastAsia="Courier New" w:hAnsi="Courier New"/>
                <w:color w:val="FFFFFF"/>
                <w:sz w:val="18"/>
                <w:szCs w:val="18"/>
              </w:rPr>
              <w:t xml:space="preserve">(ROOT) ←―――――――――――――――――――――――――→ (SYMPTOM)</w:t>
            </w:r>
          </w:p>
          <w:p>
            <w:pPr>
              <w:spacing w:before="80"/>
            </w:pPr>
            <w:r>
              <w:rPr>
                <w:rFonts w:ascii="Courier New" w:cs="Courier New" w:eastAsia="Courier New" w:hAnsi="Courier New"/>
                <w:color w:val="ff6666"/>
                <w:sz w:val="16"/>
                <w:szCs w:val="16"/>
              </w:rPr>
              <w:t xml:space="preserve">Commercial BCI records 7th order ONLY (motor cortex = end of chain)</w:t>
            </w:r>
          </w:p>
          <w:p>
            <w:pPr>
              <w:spacing w:before="40"/>
            </w:pPr>
            <w:r>
              <w:rPr>
                <w:rFonts w:ascii="Courier New" w:cs="Courier New" w:eastAsia="Courier New" w:hAnsi="Courier New"/>
                <w:color w:val="90EE90"/>
                <w:sz w:val="16"/>
                <w:szCs w:val="16"/>
              </w:rPr>
              <w:t xml:space="preserve">USLaP maps full chain: fitrah deviation → posture → fascia → vertebra → cord → cortex</w:t>
            </w:r>
          </w:p>
          <w:p>
            <w:pPr>
              <w:spacing w:before="40"/>
            </w:pPr>
            <w:r>
              <w:rPr>
                <w:rFonts w:ascii="Courier New" w:cs="Courier New" w:eastAsia="Courier New" w:hAnsi="Courier New"/>
                <w:color w:val="FFFFFF"/>
                <w:sz w:val="16"/>
                <w:szCs w:val="16"/>
              </w:rPr>
              <w:t xml:space="preserve">Effective intervention addresses EARLIEST order possible (1st = root cause)</w:t>
            </w:r>
          </w:p>
        </w:tc>
      </w:tr>
    </w:tbl>
    <w:p>
      <w:r>
        <w:br w:type="page"/>
      </w:r>
    </w:p>
    <w:p>
      <w:pPr>
        <w:pStyle w:val="Heading1"/>
      </w:pPr>
      <w:r>
        <w:t xml:space="preserve">8. FALSIFICATION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e8f4f8" w:val="clear"/>
            <w:tcMar>
              <w:top w:type="dxa" w:w="100"/>
              <w:left w:type="dxa" w:w="120"/>
              <w:bottom w:type="dxa" w:w="100"/>
              <w:right w:type="dxa" w:w="120"/>
            </w:tcMar>
          </w:tcPr>
          <w:p>
            <w:r>
              <w:rPr>
                <w:b/>
                <w:bCs/>
                <w:sz w:val="20"/>
                <w:szCs w:val="20"/>
              </w:rPr>
              <w:t xml:space="preserve">This thesis would be FALSIFIED if any commercial BCI demonstrates ALL:</w:t>
            </w:r>
          </w:p>
          <w:p>
            <w:pPr>
              <w:spacing w:before="100"/>
            </w:pPr>
            <w:r>
              <w:rPr>
                <w:sz w:val="20"/>
                <w:szCs w:val="20"/>
              </w:rPr>
              <w:t xml:space="preserve">(a) Publishes deterministic formulas (not probabilistic ML)</w:t>
            </w:r>
          </w:p>
          <w:p>
            <w:pPr>
              <w:spacing w:before="60"/>
            </w:pPr>
            <w:r>
              <w:rPr>
                <w:sz w:val="20"/>
                <w:szCs w:val="20"/>
              </w:rPr>
              <w:t xml:space="preserve">(b) Achieves verifiable health RESTORATION (not bypass)</w:t>
            </w:r>
          </w:p>
          <w:p>
            <w:pPr>
              <w:spacing w:before="60"/>
            </w:pPr>
            <w:r>
              <w:rPr>
                <w:sz w:val="20"/>
                <w:szCs w:val="20"/>
              </w:rPr>
              <w:t xml:space="preserve">(c) Provides to &gt;1% of affected population at &lt;$10,000</w:t>
            </w:r>
          </w:p>
          <w:p>
            <w:pPr>
              <w:spacing w:before="60"/>
            </w:pPr>
            <w:r>
              <w:rPr>
                <w:sz w:val="20"/>
                <w:szCs w:val="20"/>
              </w:rPr>
              <w:t xml:space="preserve">(d) Demonstrates no permanent dependency (function persists after removal)</w:t>
            </w:r>
          </w:p>
          <w:p>
            <w:pPr>
              <w:spacing w:before="60"/>
            </w:pPr>
            <w:r>
              <w:rPr>
                <w:sz w:val="20"/>
                <w:szCs w:val="20"/>
              </w:rPr>
              <w:t xml:space="preserve">(e) Registers trials on clinicaltrials.gov with full disclosure</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ffebee" w:val="clear"/>
            <w:tcMar>
              <w:top w:type="dxa" w:w="100"/>
              <w:left w:type="dxa" w:w="120"/>
              <w:bottom w:type="dxa" w:w="100"/>
              <w:right w:type="dxa" w:w="120"/>
            </w:tcMar>
          </w:tcPr>
          <w:p>
            <w:r>
              <w:rPr>
                <w:b/>
                <w:bCs/>
                <w:color w:val="8B0000"/>
                <w:sz w:val="20"/>
                <w:szCs w:val="20"/>
              </w:rPr>
              <w:t xml:space="preserve">CURRENT STATUS (January 2026) — ALL FIVE COMPANIES:</w:t>
            </w:r>
          </w:p>
          <w:p>
            <w:pPr>
              <w:spacing w:before="80"/>
            </w:pPr>
            <w:r>
              <w:rPr>
                <w:sz w:val="20"/>
                <w:szCs w:val="20"/>
              </w:rPr>
              <w:t xml:space="preserve">(a) Formulas: ZERO — FAIL</w:t>
            </w:r>
          </w:p>
          <w:p>
            <w:pPr>
              <w:spacing w:before="40"/>
            </w:pPr>
            <w:r>
              <w:rPr>
                <w:sz w:val="20"/>
                <w:szCs w:val="20"/>
              </w:rPr>
              <w:t xml:space="preserve">(b) Health restored: ZERO patients — FAIL</w:t>
            </w:r>
          </w:p>
          <w:p>
            <w:pPr>
              <w:spacing w:before="40"/>
            </w:pPr>
            <w:r>
              <w:rPr>
                <w:sz w:val="20"/>
                <w:szCs w:val="20"/>
              </w:rPr>
              <w:t xml:space="preserve">(c) Accessibility: &lt;100 patients / 5.4M = 0.002% at $40K+ — FAIL</w:t>
            </w:r>
          </w:p>
          <w:p>
            <w:pPr>
              <w:spacing w:before="40"/>
            </w:pPr>
            <w:r>
              <w:rPr>
                <w:sz w:val="20"/>
                <w:szCs w:val="20"/>
              </w:rPr>
              <w:t xml:space="preserve">(d) Dependency: All implants permanent — FAIL</w:t>
            </w:r>
          </w:p>
          <w:p>
            <w:pPr>
              <w:spacing w:before="40"/>
            </w:pPr>
            <w:r>
              <w:rPr>
                <w:sz w:val="20"/>
                <w:szCs w:val="20"/>
              </w:rPr>
              <w:t xml:space="preserve">(e) Transparency: Neuralink NOT on clinicaltrials.gov — FAIL</w:t>
            </w:r>
          </w:p>
          <w:p>
            <w:pPr>
              <w:spacing w:before="100"/>
              <w:jc w:val="center"/>
            </w:pPr>
            <w:r>
              <w:rPr>
                <w:b/>
                <w:bCs/>
                <w:color w:val="8B0000"/>
                <w:sz w:val="24"/>
                <w:szCs w:val="24"/>
              </w:rPr>
              <w:t xml:space="preserve">THESIS = 1 (UNFALSIFIED)</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5f7a" w:val="clear"/>
            <w:tcMar>
              <w:top w:type="dxa" w:w="120"/>
              <w:left w:type="dxa" w:w="150"/>
              <w:bottom w:type="dxa" w:w="120"/>
              <w:right w:type="dxa" w:w="150"/>
            </w:tcMar>
          </w:tcPr>
          <w:p>
            <w:pPr>
              <w:jc w:val="center"/>
            </w:pPr>
            <w:r>
              <w:rPr>
                <w:b/>
                <w:bCs/>
                <w:color w:val="FFFFFF"/>
                <w:sz w:val="24"/>
                <w:szCs w:val="24"/>
              </w:rPr>
              <w:t xml:space="preserve">TECHNICAL SPECIFICATION VERDICT</w:t>
            </w:r>
          </w:p>
          <w:p>
            <w:pPr>
              <w:spacing w:before="120"/>
              <w:jc w:val="center"/>
            </w:pPr>
            <w:r>
              <w:rPr>
                <w:rFonts w:ascii="Courier New" w:cs="Courier New" w:eastAsia="Courier New" w:hAnsi="Courier New"/>
                <w:b/>
                <w:bCs/>
                <w:color w:val="ff6666"/>
                <w:sz w:val="24"/>
                <w:szCs w:val="24"/>
              </w:rPr>
              <w:t xml:space="preserve">Invasive Electrode Insertion = 0 (Extraction Paradigm)</w:t>
            </w:r>
          </w:p>
          <w:p>
            <w:pPr>
              <w:spacing w:before="60"/>
              <w:jc w:val="center"/>
            </w:pPr>
            <w:r>
              <w:rPr>
                <w:rFonts w:ascii="Courier New" w:cs="Courier New" w:eastAsia="Courier New" w:hAnsi="Courier New"/>
                <w:b/>
                <w:bCs/>
                <w:color w:val="90EE90"/>
                <w:sz w:val="24"/>
                <w:szCs w:val="24"/>
              </w:rPr>
              <w:t xml:space="preserve">Non-Invasive Placement (USLaP) = 1 (Restoration Paradigm)</w:t>
            </w:r>
          </w:p>
          <w:p>
            <w:pPr>
              <w:spacing w:before="120"/>
              <w:jc w:val="center"/>
            </w:pPr>
            <w:r>
              <w:rPr>
                <w:rFonts w:ascii="Courier New" w:cs="Courier New" w:eastAsia="Courier New" w:hAnsi="Courier New"/>
                <w:b/>
                <w:bCs/>
                <w:color w:val="90EE90"/>
                <w:sz w:val="20"/>
                <w:szCs w:val="20"/>
              </w:rPr>
              <w:t xml:space="preserve">QUF TRIAD: Q=1 | U=1 | F=1</w:t>
            </w:r>
          </w:p>
          <w:p>
            <w:pPr>
              <w:spacing w:before="60"/>
              <w:jc w:val="center"/>
            </w:pPr>
            <w:r>
              <w:rPr>
                <w:color w:val="FFFFFF"/>
                <w:sz w:val="18"/>
                <w:szCs w:val="18"/>
              </w:rPr>
              <w:t xml:space="preserve">Resonance: 100% (6236 ayat → 114 surah → 1 Root)</w:t>
            </w:r>
          </w:p>
        </w:tc>
      </w:tr>
    </w:tbl>
    <w:p>
      <w:pPr>
        <w:spacing w:before="300"/>
      </w:pPr>
    </w:p>
    <w:p>
      <w:pPr>
        <w:jc w:val="center"/>
      </w:pPr>
      <w:r>
        <w:rPr>
          <w:b/>
          <w:bCs/>
          <w:color w:val="1a5f7a"/>
          <w:sz w:val="28"/>
          <w:szCs w:val="28"/>
        </w:rPr>
        <w:t xml:space="preserve">الحَمْدُ لِلَّهِ رَبّ العَالَمِين</w:t>
      </w:r>
    </w:p>
    <w:p>
      <w:pPr>
        <w:spacing w:before="60"/>
        <w:jc w:val="center"/>
      </w:pPr>
      <w:r>
        <w:rPr>
          <w:i/>
          <w:iCs/>
          <w:color w:val="666666"/>
          <w:sz w:val="18"/>
          <w:szCs w:val="18"/>
        </w:rPr>
        <w:t xml:space="preserve">All praise is due to Allah, Lord of all worlds</w:t>
      </w:r>
    </w:p>
    <w:p>
      <w:pPr>
        <w:spacing w:before="150"/>
        <w:jc w:val="center"/>
      </w:pPr>
      <w:r>
        <w:rPr>
          <w:color w:val="999999"/>
          <w:sz w:val="14"/>
          <w:szCs w:val="14"/>
        </w:rPr>
        <w:t xml:space="preserve">— END OF USLaP-TECH-001 —</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Q=1 U=1 F=1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USLaP-TECH-001: Electrode Placement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pPr>
    <w:rPr>
      <w:rFonts w:ascii="Arial" w:cs="Arial" w:eastAsia="Arial" w:hAnsi="Arial"/>
      <w:b/>
      <w:bCs/>
      <w:color w:val="1a5f7a"/>
      <w:sz w:val="32"/>
      <w:szCs w:val="32"/>
    </w:rPr>
  </w:style>
  <w:style w:type="paragraph" w:styleId="Heading2">
    <w:name w:val="Heading 2"/>
    <w:basedOn w:val="Normal"/>
    <w:next w:val="Normal"/>
    <w:qFormat/>
    <w:pPr>
      <w:spacing w:before="240" w:after="120"/>
    </w:pPr>
    <w:rPr>
      <w:rFonts w:ascii="Arial" w:cs="Arial" w:eastAsia="Arial" w:hAnsi="Arial"/>
      <w:b/>
      <w:bCs/>
      <w:color w:val="2c7a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2026-01-31T08:29:51.917Z</dcterms:created>
  <dcterms:modified xsi:type="dcterms:W3CDTF">2026-01-31T08:29:51.918Z</dcterms:modified>
</cp:coreProperties>
</file>

<file path=docProps/custom.xml><?xml version="1.0" encoding="utf-8"?>
<Properties xmlns="http://schemas.openxmlformats.org/officeDocument/2006/custom-properties" xmlns:vt="http://schemas.openxmlformats.org/officeDocument/2006/docPropsVTypes"/>
</file>