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202.png" ContentType="image/png"/>
  <Override PartName="/word/media/rId206.png" ContentType="image/png"/>
  <Override PartName="/word/media/rId210.png" ContentType="image/png"/>
  <Override PartName="/word/media/rId214.png" ContentType="image/png"/>
  <Override PartName="/word/media/rId198.png" ContentType="image/png"/>
  <Override PartName="/word/media/rId137.png" ContentType="image/png"/>
  <Override PartName="/word/media/rId1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Muslim Diversity Study: A quantitative study protocol</w:t>
      </w:r>
    </w:p>
    <w:p>
      <w:pPr>
        <w:pStyle w:val="Author"/>
      </w:pPr>
      <w:r>
        <w:t xml:space="preserve"> </w:t>
      </w:r>
    </w:p>
    <w:p>
      <w:pPr>
        <w:pStyle w:val="Author"/>
      </w:pPr>
      <w:r>
        <w:t xml:space="preserve">M. Usman Afzali</w:t>
      </w:r>
      <w:r>
        <w:rPr>
          <w:vertAlign w:val="superscript"/>
        </w:rPr>
        <w:t xml:space="preserve">1,2</w:t>
      </w:r>
      <w:r>
        <w:t xml:space="preserve">, Jamila S. Badis</w:t>
      </w:r>
      <w:r>
        <w:rPr>
          <w:vertAlign w:val="superscript"/>
        </w:rPr>
        <w:t xml:space="preserve">1</w:t>
      </w:r>
      <w:r>
        <w:t xml:space="preserve">, Parus Khoso</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Mazharuddin Syed Ahmed</w:t>
      </w:r>
      <w:r>
        <w:rPr>
          <w:vertAlign w:val="superscript"/>
        </w:rPr>
        <w:t xml:space="preserve">6</w:t>
      </w:r>
      <w:r>
        <w:t xml:space="preserve">, Hussain Raissi</w:t>
      </w:r>
      <w:r>
        <w:rPr>
          <w:vertAlign w:val="superscript"/>
        </w:rPr>
        <w:t xml:space="preserve">7</w:t>
      </w:r>
      <w:r>
        <w:t xml:space="preserve">, Hala Burhoum</w:t>
      </w:r>
      <w:r>
        <w:rPr>
          <w:vertAlign w:val="superscript"/>
        </w:rPr>
        <w:t xml:space="preserve">1</w:t>
      </w:r>
      <w:r>
        <w:t xml:space="preserve">, Tuba Azeem</w:t>
      </w:r>
      <w:r>
        <w:rPr>
          <w:vertAlign w:val="superscript"/>
        </w:rPr>
        <w:t xml:space="preserve">8</w:t>
      </w:r>
      <w:r>
        <w:t xml:space="preserve">, Iman Husain</w:t>
      </w:r>
      <w:r>
        <w:rPr>
          <w:vertAlign w:val="superscript"/>
        </w:rPr>
        <w:t xml:space="preserve">1</w:t>
      </w:r>
      <w:r>
        <w:t xml:space="preserve">, Zarqa Shaheen Ali</w:t>
      </w:r>
      <w:r>
        <w:rPr>
          <w:vertAlign w:val="superscript"/>
        </w:rPr>
        <w:t xml:space="preserve">9</w:t>
      </w:r>
      <w:r>
        <w:t xml:space="preserve">, Zahra Haidary</w:t>
      </w:r>
      <w:r>
        <w:rPr>
          <w:vertAlign w:val="superscript"/>
        </w:rPr>
        <w:t xml:space="preserve">1</w:t>
      </w:r>
      <w:r>
        <w:t xml:space="preserve">, Mashal Khan</w:t>
      </w:r>
      <w:r>
        <w:rPr>
          <w:vertAlign w:val="superscript"/>
        </w:rPr>
        <w:t xml:space="preserve">10</w:t>
      </w:r>
      <w:r>
        <w:t xml:space="preserve">, Nasratullah Hamid</w:t>
      </w:r>
      <w:r>
        <w:rPr>
          <w:vertAlign w:val="superscript"/>
        </w:rPr>
        <w:t xml:space="preserve">11</w:t>
      </w:r>
      <w:r>
        <w:t xml:space="preserve">, Gul e Aqsa</w:t>
      </w:r>
      <w:r>
        <w:rPr>
          <w:vertAlign w:val="superscript"/>
        </w:rPr>
        <w:t xml:space="preserve">12</w:t>
      </w:r>
      <w:r>
        <w:t xml:space="preserve">, Zahra Emamzadeh</w:t>
      </w:r>
      <w:r>
        <w:rPr>
          <w:vertAlign w:val="superscript"/>
        </w:rPr>
        <w:t xml:space="preserve">13</w:t>
      </w:r>
      <w:r>
        <w:t xml:space="preserve">, Rizwan Sulehry</w:t>
      </w:r>
      <w:r>
        <w:rPr>
          <w:vertAlign w:val="superscript"/>
        </w:rPr>
        <w:t xml:space="preserve">14</w:t>
      </w:r>
      <w:r>
        <w:t xml:space="preserve">, Somia Tasneem</w:t>
      </w:r>
      <w:r>
        <w:rPr>
          <w:vertAlign w:val="superscript"/>
        </w:rPr>
        <w:t xml:space="preserve">1</w:t>
      </w:r>
      <w:r>
        <w:t xml:space="preserve">, Aamina Ali</w:t>
      </w:r>
      <w:r>
        <w:rPr>
          <w:vertAlign w:val="superscript"/>
        </w:rPr>
        <w:t xml:space="preserve">15</w:t>
      </w:r>
      <w:r>
        <w:t xml:space="preserve">, Adepate Mustapha-Koiki</w:t>
      </w:r>
      <w:r>
        <w:rPr>
          <w:vertAlign w:val="superscript"/>
        </w:rPr>
        <w:t xml:space="preserve">16</w:t>
      </w:r>
      <w:r>
        <w:t xml:space="preserve">, Afrah Ali Nadukkudi Puthenpura</w:t>
      </w:r>
      <w:r>
        <w:rPr>
          <w:vertAlign w:val="superscript"/>
        </w:rPr>
        <w:t xml:space="preserve">15</w:t>
      </w:r>
      <w:r>
        <w:t xml:space="preserve">, Aarif Rasheed</w:t>
      </w:r>
      <w:r>
        <w:rPr>
          <w:vertAlign w:val="superscript"/>
        </w:rPr>
        <w:t xml:space="preserve">17</w:t>
      </w:r>
      <w:r>
        <w:t xml:space="preserve">, Kumar Yogeeswaran</w:t>
      </w:r>
      <w:r>
        <w:rPr>
          <w:vertAlign w:val="superscript"/>
        </w:rPr>
        <w:t xml:space="preserve">1</w:t>
      </w:r>
      <w:r>
        <w:t xml:space="preserve">, Chris G. Sibley</w:t>
      </w:r>
      <w:r>
        <w:rPr>
          <w:vertAlign w:val="superscript"/>
        </w:rPr>
        <w:t xml:space="preserve">18</w:t>
      </w:r>
      <w:r>
        <w:t xml:space="preserve">, and Joseph A. Bulbulia</w:t>
      </w:r>
      <w:r>
        <w:rPr>
          <w:vertAlign w:val="superscript"/>
        </w:rPr>
        <w:t xml:space="preserve">19,20</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Religion Programme, University of Otago</w:t>
      </w:r>
    </w:p>
    <w:p>
      <w:pPr>
        <w:pStyle w:val="Author"/>
      </w:pPr>
      <w:r>
        <w:rPr>
          <w:vertAlign w:val="superscript"/>
        </w:rPr>
        <w:t xml:space="preserve">3</w:t>
      </w:r>
      <w:r>
        <w:t xml:space="preserve">College of Education,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Engineering and Architectural Studies, Ara Institute of Canterbury</w:t>
      </w:r>
    </w:p>
    <w:p>
      <w:pPr>
        <w:pStyle w:val="Author"/>
      </w:pPr>
      <w:r>
        <w:rPr>
          <w:vertAlign w:val="superscript"/>
        </w:rPr>
        <w:t xml:space="preserve">7</w:t>
      </w:r>
      <w:r>
        <w:t xml:space="preserve">The National Centre for Peace and Conflict Studies, University of Otago</w:t>
      </w:r>
    </w:p>
    <w:p>
      <w:pPr>
        <w:pStyle w:val="Author"/>
      </w:pPr>
      <w:r>
        <w:rPr>
          <w:vertAlign w:val="superscript"/>
        </w:rPr>
        <w:t xml:space="preserve">8</w:t>
      </w:r>
      <w:r>
        <w:t xml:space="preserve">School of ABC, Victoria University of Wellington</w:t>
      </w:r>
    </w:p>
    <w:p>
      <w:pPr>
        <w:pStyle w:val="Author"/>
      </w:pPr>
      <w:r>
        <w:rPr>
          <w:vertAlign w:val="superscript"/>
        </w:rPr>
        <w:t xml:space="preserve">9</w:t>
      </w:r>
      <w:r>
        <w:t xml:space="preserve">ICL Business School, New Zealand Skills and Education College</w:t>
      </w:r>
    </w:p>
    <w:p>
      <w:pPr>
        <w:pStyle w:val="Author"/>
      </w:pPr>
      <w:r>
        <w:rPr>
          <w:vertAlign w:val="superscript"/>
        </w:rPr>
        <w:t xml:space="preserve">10</w:t>
      </w:r>
      <w:r>
        <w:t xml:space="preserve">Department of Psychology, Massey University</w:t>
      </w:r>
    </w:p>
    <w:p>
      <w:pPr>
        <w:pStyle w:val="Author"/>
      </w:pPr>
      <w:r>
        <w:rPr>
          <w:vertAlign w:val="superscript"/>
        </w:rPr>
        <w:t xml:space="preserve">11</w:t>
      </w:r>
      <w:r>
        <w:t xml:space="preserve">School of Psychological Medicine, Universit of Otago</w:t>
      </w:r>
    </w:p>
    <w:p>
      <w:pPr>
        <w:pStyle w:val="Author"/>
      </w:pPr>
      <w:r>
        <w:rPr>
          <w:vertAlign w:val="superscript"/>
        </w:rPr>
        <w:t xml:space="preserve">12</w:t>
      </w:r>
      <w:r>
        <w:t xml:space="preserve">School of Health Sciences, University of Canterbury</w:t>
      </w:r>
    </w:p>
    <w:p>
      <w:pPr>
        <w:pStyle w:val="Author"/>
      </w:pPr>
      <w:r>
        <w:rPr>
          <w:vertAlign w:val="superscript"/>
        </w:rPr>
        <w:t xml:space="preserve">13</w:t>
      </w:r>
      <w:r>
        <w:t xml:space="preserve">TBA, Ministry of Education</w:t>
      </w:r>
    </w:p>
    <w:p>
      <w:pPr>
        <w:pStyle w:val="Author"/>
      </w:pPr>
      <w:r>
        <w:rPr>
          <w:vertAlign w:val="superscript"/>
        </w:rPr>
        <w:t xml:space="preserve">14</w:t>
      </w:r>
      <w:r>
        <w:t xml:space="preserve">School of Management, Victoria University of Wellington</w:t>
      </w:r>
    </w:p>
    <w:p>
      <w:pPr>
        <w:pStyle w:val="Author"/>
      </w:pPr>
      <w:r>
        <w:rPr>
          <w:vertAlign w:val="superscript"/>
        </w:rPr>
        <w:t xml:space="preserve">15</w:t>
      </w:r>
      <w:r>
        <w:t xml:space="preserve">TBA, TBA</w:t>
      </w:r>
    </w:p>
    <w:p>
      <w:pPr>
        <w:pStyle w:val="Author"/>
      </w:pPr>
      <w:r>
        <w:rPr>
          <w:vertAlign w:val="superscript"/>
        </w:rPr>
        <w:t xml:space="preserve">16</w:t>
      </w:r>
      <w:r>
        <w:t xml:space="preserve">Department of Politics and International Relations, University of Auckland</w:t>
      </w:r>
    </w:p>
    <w:p>
      <w:pPr>
        <w:pStyle w:val="Author"/>
      </w:pPr>
      <w:r>
        <w:rPr>
          <w:vertAlign w:val="superscript"/>
        </w:rPr>
        <w:t xml:space="preserve">17</w:t>
      </w:r>
      <w:r>
        <w:t xml:space="preserve">Just Community</w:t>
      </w:r>
    </w:p>
    <w:p>
      <w:pPr>
        <w:pStyle w:val="Author"/>
      </w:pPr>
      <w:r>
        <w:rPr>
          <w:vertAlign w:val="superscript"/>
        </w:rPr>
        <w:t xml:space="preserve">18</w:t>
      </w:r>
      <w:r>
        <w:t xml:space="preserve">School of Psychology, University of Auckland</w:t>
      </w:r>
    </w:p>
    <w:p>
      <w:pPr>
        <w:pStyle w:val="Author"/>
      </w:pPr>
      <w:r>
        <w:rPr>
          <w:vertAlign w:val="superscript"/>
        </w:rPr>
        <w:t xml:space="preserve">19</w:t>
      </w:r>
      <w:r>
        <w:t xml:space="preserve">School of Psychology, Victoria University of Wellington</w:t>
      </w:r>
    </w:p>
    <w:p>
      <w:pPr>
        <w:pStyle w:val="Author"/>
      </w:pPr>
      <w:r>
        <w:rPr>
          <w:vertAlign w:val="superscript"/>
        </w:rPr>
        <w:t xml:space="preserve">20</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103" w:name="author-note"/>
    <w:p>
      <w:pPr>
        <w:pStyle w:val="Heading1"/>
      </w:pPr>
      <w:r>
        <w:t xml:space="preserve">Author Note</w:t>
      </w:r>
    </w:p>
    <w:p>
      <w:pPr>
        <w:pStyle w:val="FirstParagraph"/>
      </w:pPr>
      <w:r>
        <w:t xml:space="preserve">M. 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Farah Shawkat</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http://orcid.org/0000-0000-0000-0001</w:t>
      </w:r>
    </w:p>
    <w:p>
      <w:pPr>
        <w:pStyle w:val="BodyText"/>
      </w:pPr>
      <w:r>
        <w:t xml:space="preserve">Fatima A. Junaid</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http://orcid.org/0000-0002-6656-8120</w:t>
      </w:r>
    </w:p>
    <w:p>
      <w:pPr>
        <w:pStyle w:val="BodyText"/>
      </w:pPr>
      <w:r>
        <w:t xml:space="preserve">Ayca Arkilic</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http://orcid.org/0000-0002-1775-3311</w:t>
      </w:r>
    </w:p>
    <w:p>
      <w:pPr>
        <w:pStyle w:val="BodyText"/>
      </w:pPr>
      <w:r>
        <w:t xml:space="preserve">Mazharuddin Syed Ahmed</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http://orcid.org/0009-0000-7985-1622</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Gul e Aqsa</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http://orcid.org/0009-0003-0928-8039</w:t>
      </w:r>
    </w:p>
    <w:p>
      <w:pPr>
        <w:pStyle w:val="BodyText"/>
      </w:pPr>
      <w:r>
        <w:t xml:space="preserve">Zahra Emamzadeh</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http://orcid.org/0009-0000-0000-0001</w:t>
      </w:r>
    </w:p>
    <w:p>
      <w:pPr>
        <w:pStyle w:val="BodyText"/>
      </w:pPr>
      <w:r>
        <w:t xml:space="preserve">Rizwan Sulehry</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http://orcid.org/0000-0002-1209-0635</w:t>
      </w:r>
    </w:p>
    <w:p>
      <w:pPr>
        <w:pStyle w:val="BodyText"/>
      </w:pPr>
      <w:r>
        <w:t xml:space="preserve">Somia Tasneem</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http://orcid.org/0000-0001-5471-6934</w:t>
      </w:r>
    </w:p>
    <w:p>
      <w:pPr>
        <w:pStyle w:val="BodyText"/>
      </w:pPr>
      <w:r>
        <w:t xml:space="preserve">Aamina Ali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http://orcid.org/0000-0000-0000-0001</w:t>
      </w:r>
    </w:p>
    <w:p>
      <w:pPr>
        <w:pStyle w:val="BodyText"/>
      </w:pPr>
      <w:r>
        <w:t xml:space="preserve">Adepate Mustapha-Koiki</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http://orcid.org/0000-0003-4731-1781</w:t>
      </w:r>
    </w:p>
    <w:p>
      <w:pPr>
        <w:pStyle w:val="BodyText"/>
      </w:pPr>
      <w:r>
        <w:t xml:space="preserve">Afrah Ali Nadukkudi Puthenpura</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http://orcid.org/0000-0000-0000-0001</w:t>
      </w:r>
    </w:p>
    <w:p>
      <w:pPr>
        <w:pStyle w:val="BodyText"/>
      </w:pPr>
      <w:r>
        <w:t xml:space="preserve">Aarif Rasheed</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http://orcid.org/0000-0000-0000-0001</w:t>
      </w:r>
    </w:p>
    <w:p>
      <w:pPr>
        <w:pStyle w:val="BodyText"/>
      </w:pPr>
      <w:r>
        <w:t xml:space="preserve">Kumar Yogeeswaran</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http://orcid.org/0000-0002-1978-5077</w:t>
      </w:r>
    </w:p>
    <w:p>
      <w:pPr>
        <w:pStyle w:val="BodyText"/>
      </w:pPr>
      <w:r>
        <w:t xml:space="preserve">Chris G. Sibley</w:t>
      </w:r>
      <w:r>
        <w:t xml:space="preserve"> </w:t>
      </w:r>
      <w:bookmarkStart w:id="96" w:name="orchid"/>
      <w:r>
        <w:drawing>
          <wp:inline>
            <wp:extent cx="152279" cy="152279"/>
            <wp:effectExtent b="0" l="0" r="0" t="0"/>
            <wp:docPr descr="Orcid ID Logo: A green circle with white letters ID" title="" id="94" name="Picture"/>
            <a:graphic>
              <a:graphicData uri="http://schemas.openxmlformats.org/drawingml/2006/picture">
                <pic:pic>
                  <pic:nvPicPr>
                    <pic:cNvPr descr="_extensions/wjschne/apaquarto/ORCID-iD_icon-vector.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6"/>
      <w:r>
        <w:t xml:space="preserve"> </w:t>
      </w:r>
      <w:r>
        <w:t xml:space="preserve">http://orcid.org/0000-0002-4064-8800</w:t>
      </w:r>
    </w:p>
    <w:p>
      <w:pPr>
        <w:pStyle w:val="BodyText"/>
      </w:pPr>
      <w:r>
        <w:t xml:space="preserve">Joseph A. Bulbulia</w:t>
      </w:r>
      <w:r>
        <w:t xml:space="preserve"> </w:t>
      </w:r>
      <w:bookmarkStart w:id="99" w:name="orchid"/>
      <w:r>
        <w:drawing>
          <wp:inline>
            <wp:extent cx="152279" cy="152279"/>
            <wp:effectExtent b="0" l="0" r="0" t="0"/>
            <wp:docPr descr="Orcid ID Logo: A green circle with white letters ID" title="" id="97" name="Picture"/>
            <a:graphic>
              <a:graphicData uri="http://schemas.openxmlformats.org/drawingml/2006/picture">
                <pic:pic>
                  <pic:nvPicPr>
                    <pic:cNvPr descr="_extensions/wjschne/apaquarto/ORCID-iD_icon-vector.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9"/>
      <w:r>
        <w:t xml:space="preserve"> </w:t>
      </w:r>
      <w:r>
        <w:t xml:space="preserve">http://orcid.org/0000-0002-5861-2056</w:t>
      </w:r>
    </w:p>
    <w:p>
      <w:pPr>
        <w:pStyle w:val="BodyText"/>
      </w:pPr>
      <w:r>
        <w:t xml:space="preserve">This hypotheses and data analysis plan for this study are preregistred at OSF</w:t>
      </w:r>
      <w:r>
        <w:t xml:space="preserve"> </w:t>
      </w:r>
      <w:hyperlink r:id="rId100">
        <w:r>
          <w:rPr>
            <w:rStyle w:val="Hyperlink"/>
          </w:rPr>
          <w:t xml:space="preserve">https://doi.org/10.17605/OSF.IO/B39XT</w:t>
        </w:r>
      </w:hyperlink>
      <w:r>
        <w:t xml:space="preserve">. The data described in this study are part of the Muslim Diversity Study, that is conducted under the</w:t>
      </w:r>
      <w:r>
        <w:t xml:space="preserve"> </w:t>
      </w:r>
      <w:hyperlink r:id="rId101">
        <w:r>
          <w:rPr>
            <w:rStyle w:val="Hyperlink"/>
          </w:rPr>
          <w:t xml:space="preserve">New Zealand Attitudes and Values Study</w:t>
        </w:r>
      </w:hyperlink>
      <w:r>
        <w:t xml:space="preserve">. The authors have no conflict of interest to disclose. The Muslim Diversity Study - officially known as</w:t>
      </w:r>
      <w:r>
        <w:t xml:space="preserve"> </w:t>
      </w:r>
      <w:r>
        <w:t xml:space="preserve">“</w:t>
      </w:r>
      <w:r>
        <w:t xml:space="preserve">A National Longitudinal Study of Muslim Diversity and Flourishing</w:t>
      </w:r>
      <w:r>
        <w:t xml:space="preserve">”</w:t>
      </w:r>
      <w:r>
        <w:t xml:space="preserve"> </w:t>
      </w:r>
      <w:r>
        <w:t xml:space="preserve">is supported by a grant from the Templeton Religion Trust (TRT-2022-30579). The funders had no role in preparing the manuscript or the decision to publish it. The authors are grateful to W. Joel Schneider for the</w:t>
      </w:r>
      <w:r>
        <w:t xml:space="preserve"> </w:t>
      </w:r>
      <w:hyperlink r:id="rId102">
        <w:r>
          <w:rPr>
            <w:rStyle w:val="Hyperlink"/>
          </w:rPr>
          <w:t xml:space="preserve">Quarto template</w:t>
        </w:r>
      </w:hyperlink>
      <w:r>
        <w:t xml:space="preserve">.</w:t>
      </w:r>
    </w:p>
    <w:p>
      <w:pPr>
        <w:pStyle w:val="BodyText"/>
      </w:pPr>
      <w:r>
        <w:t xml:space="preserve">Author roles were classified using the Contributor Role Taxonomy (CRediT; https://credit.niso.org/) as follows: </w:t>
      </w:r>
      <w:r>
        <w:rPr>
          <w:iCs/>
          <w:i/>
        </w:rPr>
        <w:t xml:space="preserve">M. Usman Afzali</w:t>
      </w:r>
      <w:r>
        <w:rPr>
          <w:bCs/>
          <w:b/>
        </w:rPr>
        <w:t xml:space="preserve">: </w:t>
      </w:r>
      <w:r>
        <w:t xml:space="preserve">conceptualisation, data curation, formal analysis, funding acquistion, investigation, methodology, project administration, reources, supervision, visualisation, writing – original draft, and writing - review &amp; editing. </w:t>
      </w:r>
      <w:r>
        <w:rPr>
          <w:iCs/>
          <w:i/>
        </w:rPr>
        <w:t xml:space="preserve">Jamila S. Badis</w:t>
      </w:r>
      <w:r>
        <w:rPr>
          <w:bCs/>
          <w:b/>
        </w:rPr>
        <w:t xml:space="preserve">: </w:t>
      </w:r>
      <w:r>
        <w:t xml:space="preserve">data curation, project administration, writing – original draft, and writing - review &amp; editing. </w:t>
      </w:r>
      <w:r>
        <w:rPr>
          <w:iCs/>
          <w:i/>
        </w:rPr>
        <w:t xml:space="preserve">Parus Khoso</w:t>
      </w:r>
      <w:r>
        <w:rPr>
          <w:bCs/>
          <w:b/>
        </w:rPr>
        <w:t xml:space="preserve">: </w:t>
      </w:r>
      <w:r>
        <w:t xml:space="preserve">data curation, formal analysis, writing - original draft (pilot community consultation), and writing - review &amp; editing. </w:t>
      </w:r>
      <w:r>
        <w:rPr>
          <w:iCs/>
          <w:i/>
        </w:rPr>
        <w:t xml:space="preserve">Farah Shawkat</w:t>
      </w:r>
      <w:r>
        <w:rPr>
          <w:bCs/>
          <w:b/>
        </w:rPr>
        <w:t xml:space="preserve">: </w:t>
      </w:r>
      <w:r>
        <w:t xml:space="preserve">data curation, writing - original draft (method), and writing - review &amp; editing. </w:t>
      </w:r>
      <w:r>
        <w:rPr>
          <w:iCs/>
          <w:i/>
        </w:rPr>
        <w:t xml:space="preserve">Fatima A. Junaid</w:t>
      </w:r>
      <w:r>
        <w:rPr>
          <w:bCs/>
          <w:b/>
        </w:rPr>
        <w:t xml:space="preserve">: </w:t>
      </w:r>
      <w:r>
        <w:t xml:space="preserve">writing - original draft (introduction) and writing - review &amp; editing. </w:t>
      </w:r>
      <w:r>
        <w:rPr>
          <w:iCs/>
          <w:i/>
        </w:rPr>
        <w:t xml:space="preserve">Ayca Arkilic</w:t>
      </w:r>
      <w:r>
        <w:rPr>
          <w:bCs/>
          <w:b/>
        </w:rPr>
        <w:t xml:space="preserve">: </w:t>
      </w:r>
      <w:r>
        <w:t xml:space="preserve">writing - original draft (introduction) and writing - review &amp; editing. </w:t>
      </w:r>
      <w:r>
        <w:rPr>
          <w:iCs/>
          <w:i/>
        </w:rPr>
        <w:t xml:space="preserve">Mazharuddin Syed Ahmed</w:t>
      </w:r>
      <w:r>
        <w:rPr>
          <w:bCs/>
          <w:b/>
        </w:rPr>
        <w:t xml:space="preserve">: </w:t>
      </w:r>
      <w:r>
        <w:t xml:space="preserve">data curation and writing - review &amp; editing. </w:t>
      </w:r>
      <w:r>
        <w:rPr>
          <w:iCs/>
          <w:i/>
        </w:rPr>
        <w:t xml:space="preserve">Hussain Raissi</w:t>
      </w:r>
      <w:r>
        <w:rPr>
          <w:bCs/>
          <w:b/>
        </w:rPr>
        <w:t xml:space="preserve">: </w:t>
      </w:r>
      <w:r>
        <w:t xml:space="preserve">data curation, writing - original draft (method), and writing - review &amp; editing. </w:t>
      </w:r>
      <w:r>
        <w:rPr>
          <w:iCs/>
          <w:i/>
        </w:rPr>
        <w:t xml:space="preserve">Hala Burhoum</w:t>
      </w:r>
      <w:r>
        <w:rPr>
          <w:bCs/>
          <w:b/>
        </w:rPr>
        <w:t xml:space="preserve">: </w:t>
      </w:r>
      <w:r>
        <w:t xml:space="preserve">data curation, writing - original draft (method), and writing - review &amp; editing. </w:t>
      </w:r>
      <w:r>
        <w:rPr>
          <w:iCs/>
          <w:i/>
        </w:rPr>
        <w:t xml:space="preserve">Tuba Azeem</w:t>
      </w:r>
      <w:r>
        <w:rPr>
          <w:bCs/>
          <w:b/>
        </w:rPr>
        <w:t xml:space="preserve">: </w:t>
      </w:r>
      <w:r>
        <w:t xml:space="preserve">data curation, writing - original draft (method), and writing - review &amp; editing. </w:t>
      </w:r>
      <w:r>
        <w:rPr>
          <w:iCs/>
          <w:i/>
        </w:rPr>
        <w:t xml:space="preserve">Iman Husain</w:t>
      </w:r>
      <w:r>
        <w:rPr>
          <w:bCs/>
          <w:b/>
        </w:rPr>
        <w:t xml:space="preserve">: </w:t>
      </w:r>
      <w:r>
        <w:t xml:space="preserve">data curation, writing - original draft (method), and writing - review &amp; editing. </w:t>
      </w:r>
      <w:r>
        <w:rPr>
          <w:iCs/>
          <w:i/>
        </w:rPr>
        <w:t xml:space="preserve">Zarqa Shaheen Ali</w:t>
      </w:r>
      <w:r>
        <w:rPr>
          <w:bCs/>
          <w:b/>
        </w:rPr>
        <w:t xml:space="preserve">: </w:t>
      </w:r>
      <w:r>
        <w:t xml:space="preserve">data curation, writing - original draft (method), and writing - review &amp; editing. </w:t>
      </w:r>
      <w:r>
        <w:rPr>
          <w:iCs/>
          <w:i/>
        </w:rPr>
        <w:t xml:space="preserve">Zahra Haidary</w:t>
      </w:r>
      <w:r>
        <w:rPr>
          <w:bCs/>
          <w:b/>
        </w:rPr>
        <w:t xml:space="preserve">: </w:t>
      </w:r>
      <w:r>
        <w:t xml:space="preserve">data curation, writing - original draft (method), and writing - review &amp; editing. </w:t>
      </w:r>
      <w:r>
        <w:rPr>
          <w:iCs/>
          <w:i/>
        </w:rPr>
        <w:t xml:space="preserve">Mashal Khan</w:t>
      </w:r>
      <w:r>
        <w:rPr>
          <w:bCs/>
          <w:b/>
        </w:rPr>
        <w:t xml:space="preserve">: </w:t>
      </w:r>
      <w:r>
        <w:t xml:space="preserve">data curation, writing - original draft (method), and writing - review &amp; editing. </w:t>
      </w:r>
      <w:r>
        <w:rPr>
          <w:iCs/>
          <w:i/>
        </w:rPr>
        <w:t xml:space="preserve">Nasratullah Hamid</w:t>
      </w:r>
      <w:r>
        <w:rPr>
          <w:bCs/>
          <w:b/>
        </w:rPr>
        <w:t xml:space="preserve">: </w:t>
      </w:r>
      <w:r>
        <w:t xml:space="preserve">data curation, writing - original draft (method), and writing - review &amp; editing. </w:t>
      </w:r>
      <w:r>
        <w:rPr>
          <w:iCs/>
          <w:i/>
        </w:rPr>
        <w:t xml:space="preserve">Gul e Aqsa</w:t>
      </w:r>
      <w:r>
        <w:rPr>
          <w:bCs/>
          <w:b/>
        </w:rPr>
        <w:t xml:space="preserve">: </w:t>
      </w:r>
      <w:r>
        <w:t xml:space="preserve">data curation and writing - review &amp; editing. </w:t>
      </w:r>
      <w:r>
        <w:rPr>
          <w:iCs/>
          <w:i/>
        </w:rPr>
        <w:t xml:space="preserve">Zahra Emamzadeh</w:t>
      </w:r>
      <w:r>
        <w:rPr>
          <w:bCs/>
          <w:b/>
        </w:rPr>
        <w:t xml:space="preserve">: </w:t>
      </w:r>
      <w:r>
        <w:t xml:space="preserve">writing - original draft (strengths and limitations) and writing - review &amp; editing. </w:t>
      </w:r>
      <w:r>
        <w:rPr>
          <w:iCs/>
          <w:i/>
        </w:rPr>
        <w:t xml:space="preserve">Rizwan Sulehry</w:t>
      </w:r>
      <w:r>
        <w:rPr>
          <w:bCs/>
          <w:b/>
        </w:rPr>
        <w:t xml:space="preserve">: </w:t>
      </w:r>
      <w:r>
        <w:t xml:space="preserve">data curation, writing - original draft (strengths and limitations), and writing - review &amp; editing. </w:t>
      </w:r>
      <w:r>
        <w:rPr>
          <w:iCs/>
          <w:i/>
        </w:rPr>
        <w:t xml:space="preserve">Somia Tasneem</w:t>
      </w:r>
      <w:r>
        <w:rPr>
          <w:bCs/>
          <w:b/>
        </w:rPr>
        <w:t xml:space="preserve">: </w:t>
      </w:r>
      <w:r>
        <w:t xml:space="preserve">writing - original draft (strengths and limitations) and writing - review &amp; editing. </w:t>
      </w:r>
      <w:r>
        <w:rPr>
          <w:iCs/>
          <w:i/>
        </w:rPr>
        <w:t xml:space="preserve">Aamina Ali</w:t>
      </w:r>
      <w:r>
        <w:rPr>
          <w:bCs/>
          <w:b/>
        </w:rPr>
        <w:t xml:space="preserve">: </w:t>
      </w:r>
      <w:r>
        <w:t xml:space="preserve">writing - original draft (strengths and limitations) and writing - review &amp; editing. </w:t>
      </w:r>
      <w:r>
        <w:rPr>
          <w:iCs/>
          <w:i/>
        </w:rPr>
        <w:t xml:space="preserve">Adepate Mustapha-Koiki</w:t>
      </w:r>
      <w:r>
        <w:rPr>
          <w:bCs/>
          <w:b/>
        </w:rPr>
        <w:t xml:space="preserve">: </w:t>
      </w:r>
      <w:r>
        <w:t xml:space="preserve">writing - original draft (conclusions) and writing - review &amp; editing. </w:t>
      </w:r>
      <w:r>
        <w:rPr>
          <w:iCs/>
          <w:i/>
        </w:rPr>
        <w:t xml:space="preserve">Afrah Ali Nadukkudi Puthenpura</w:t>
      </w:r>
      <w:r>
        <w:rPr>
          <w:bCs/>
          <w:b/>
        </w:rPr>
        <w:t xml:space="preserve">: </w:t>
      </w:r>
      <w:r>
        <w:t xml:space="preserve">writing - original draft (conclusions) and writing - review &amp; editing. </w:t>
      </w:r>
      <w:r>
        <w:rPr>
          <w:iCs/>
          <w:i/>
        </w:rPr>
        <w:t xml:space="preserve">Aarif Rasheed</w:t>
      </w:r>
      <w:r>
        <w:rPr>
          <w:bCs/>
          <w:b/>
        </w:rPr>
        <w:t xml:space="preserve">: </w:t>
      </w:r>
      <w:r>
        <w:t xml:space="preserve">conceptualisation, data curation, funding acquistion, reources, and writing - review &amp; editing. </w:t>
      </w:r>
      <w:r>
        <w:rPr>
          <w:iCs/>
          <w:i/>
        </w:rPr>
        <w:t xml:space="preserve">Kumar Yogeeswaran</w:t>
      </w:r>
      <w:r>
        <w:rPr>
          <w:bCs/>
          <w:b/>
        </w:rPr>
        <w:t xml:space="preserve">: </w:t>
      </w:r>
      <w:r>
        <w:t xml:space="preserve">conceptualisation, funding acquistion, methodology, writing – original draft, and writing - review &amp; editing. </w:t>
      </w:r>
      <w:r>
        <w:rPr>
          <w:iCs/>
          <w:i/>
        </w:rPr>
        <w:t xml:space="preserve">Chris G. Sibley</w:t>
      </w:r>
      <w:r>
        <w:rPr>
          <w:bCs/>
          <w:b/>
        </w:rPr>
        <w:t xml:space="preserve">: </w:t>
      </w:r>
      <w:r>
        <w:t xml:space="preserve">conceptualisation, data curation, funding acquistion, methodology, project administration, reources, supervision, writing – original draft, writing - review &amp; editing, and development and management of the New Zealand Attitudes and Values Study panel data collection from 2009 to the present. </w:t>
      </w:r>
      <w:r>
        <w:rPr>
          <w:iCs/>
          <w:i/>
        </w:rPr>
        <w:t xml:space="preserve">Joseph A. Bulbulia</w:t>
      </w:r>
      <w:r>
        <w:rPr>
          <w:bCs/>
          <w:b/>
        </w:rPr>
        <w:t xml:space="preserve">: </w:t>
      </w:r>
      <w:r>
        <w:t xml:space="preserve">conceptualisation, funding acquistion, methodology, project administration, reources, supervision, writing – original draft, and writing - review &amp; editing</w:t>
      </w:r>
    </w:p>
    <w:p>
      <w:pPr>
        <w:pStyle w:val="BodyText"/>
      </w:pPr>
      <w:r>
        <w:t xml:space="preserve">Correspondence concerning this article should be addressed to M. Usman Afzali, School of Psychology, Speech and Hearing, University of Canterbury, Email: usman.afzali@otago.ac.nz</w:t>
      </w:r>
    </w:p>
    <w:p>
      <w:r>
        <w:br w:type="page"/>
      </w:r>
    </w:p>
    <w:bookmarkEnd w:id="103"/>
    <w:bookmarkStart w:id="104"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 MDS, NZAVS</w:t>
      </w:r>
    </w:p>
    <w:p>
      <w:r>
        <w:br w:type="page"/>
      </w:r>
    </w:p>
    <w:bookmarkEnd w:id="104"/>
    <w:bookmarkStart w:id="111" w:name="firstheader"/>
    <w:p>
      <w:pPr>
        <w:pStyle w:val="Heading1"/>
      </w:pPr>
      <w:r>
        <w:t xml:space="preserve">Muslim Diversity Study: A quantitative study protocol</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While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The current article elaborates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w:t>
      </w:r>
    </w:p>
    <w:bookmarkStart w:id="105" w:name="introduction"/>
    <w:p>
      <w:pPr>
        <w:pStyle w:val="Heading2"/>
      </w:pPr>
      <w:r>
        <w:t xml:space="preserve">Introduction</w:t>
      </w:r>
    </w:p>
    <w:p>
      <w:pPr>
        <w:pStyle w:val="FirstParagraph"/>
      </w:pPr>
      <w:r>
        <w:t xml:space="preserve">The Muslim community has been expanding in New Zealand. Based on the 2018 census, New Zealand had more than 60,000 Muslims; which has grown to &gt; 75,000 according to the 2023 Census</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Studies also show that the number of converts to Islam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w:t>
      </w:r>
    </w:p>
    <w:p>
      <w:pPr>
        <w:pStyle w:val="BodyText"/>
      </w:pPr>
      <w:r>
        <w:t xml:space="preserve">Muslim Diversity Study (MDS) — officially known as</w:t>
      </w:r>
      <w:r>
        <w:t xml:space="preserve"> </w:t>
      </w:r>
      <w:r>
        <w:rPr>
          <w:iCs/>
          <w:i/>
        </w:rPr>
        <w:t xml:space="preserve">A national longitudinal study of Muslim diversity and flourishing</w:t>
      </w:r>
      <w:r>
        <w:t xml:space="preserve"> </w:t>
      </w:r>
      <w:r>
        <w:t xml:space="preserve">embraces a community-oriented approach by collaborating with the Muslim community in order to make decisions about the execution of data collection and for identifying key questions of interest for the community at large.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MDS’ pilot community consultation, the decisions made and modified based on consultation, community engagement, data collection, team, measures, and proposed data analysis plan. To set the rationale for MDS, it is important to have a brief look at attitudes towards Muslims in New Zealand.</w:t>
      </w:r>
    </w:p>
    <w:bookmarkEnd w:id="105"/>
    <w:bookmarkStart w:id="106" w:name="the-need-for-muslim-diversity-study"/>
    <w:p>
      <w:pPr>
        <w:pStyle w:val="Heading2"/>
      </w:pPr>
      <w:r>
        <w:t xml:space="preserve">The need for Muslim Diversity Study</w:t>
      </w:r>
    </w:p>
    <w:p>
      <w:pPr>
        <w:pStyle w:val="FirstParagraph"/>
      </w:pPr>
      <w:r>
        <w:t xml:space="preserve">Muslims have generally faced prejudicial attitudes in New Zealand</w:t>
      </w:r>
      <w:r>
        <w:t xml:space="preserve"> </w:t>
      </w:r>
      <w:r>
        <w:t xml:space="preserve">(</w:t>
      </w:r>
      <w:hyperlink w:anchor="ref-greaves2020">
        <w:r>
          <w:rPr>
            <w:rStyle w:val="Hyperlink"/>
          </w:rPr>
          <w:t xml:space="preserve">Greaves et al., 2020</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and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Unsurprisingly, such rhetoric has been found to foster anti-Muslim prejudice</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In the aftermath of Christchurch shootings, the Government introduced unprecedented counter-terrorism measures such as the prohibition of the sale of all military-style semi-automatic and assault rifles and creating the Royal Commission of Inquiry into these attacks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The Royal Commission of Inquiry presented an 800-page report emphasizing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 In addition, New Zealand press embraced a more inclusive and positive narrative with respect to Islam and Muslims</w:t>
      </w:r>
      <w:r>
        <w:t xml:space="preserve"> </w:t>
      </w:r>
      <w:r>
        <w:t xml:space="preserve">(</w:t>
      </w:r>
      <w:hyperlink w:anchor="ref-kabir2024">
        <w:r>
          <w:rPr>
            <w:rStyle w:val="Hyperlink"/>
          </w:rPr>
          <w:t xml:space="preserve">Kabir, 2024</w:t>
        </w:r>
      </w:hyperlink>
      <w:r>
        <w:t xml:space="preserve">;</w:t>
      </w:r>
      <w:r>
        <w:t xml:space="preserve"> </w:t>
      </w:r>
      <w:hyperlink w:anchor="ref-rahman2020">
        <w:r>
          <w:rPr>
            <w:rStyle w:val="Hyperlink"/>
          </w:rPr>
          <w:t xml:space="preserve">K. A. Rahman, 2020</w:t>
        </w:r>
      </w:hyperlink>
      <w:r>
        <w:t xml:space="preserve">)</w:t>
      </w:r>
      <w:r>
        <w:t xml:space="preserve">.</w:t>
      </w:r>
    </w:p>
    <w:p>
      <w:pPr>
        <w:pStyle w:val="BodyText"/>
      </w:pPr>
      <w:r>
        <w:t xml:space="preserve">Although, there have been sporadic reports of increased hate crimes after the attacks</w:t>
      </w:r>
      <w:r>
        <w:t xml:space="preserve"> </w:t>
      </w:r>
      <w:r>
        <w:t xml:space="preserve">(</w:t>
      </w:r>
      <w:hyperlink w:anchor="ref-wilson2020">
        <w:r>
          <w:rPr>
            <w:rStyle w:val="Hyperlink"/>
          </w:rPr>
          <w:t xml:space="preserve">Wilson &amp; Shastri, 2020</w:t>
        </w:r>
      </w:hyperlink>
      <w:r>
        <w:t xml:space="preserve">)</w:t>
      </w:r>
      <w:r>
        <w:t xml:space="preserve">, the average sentiments have improved. The New Zealand Attitudes and Values Study (NZAVS), in a series of articles, reported the positive shift in these attitudes toward Muslims post Christchurch attacks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and the psychological response of New Zealand public to shootings</w:t>
      </w:r>
      <w:r>
        <w:t xml:space="preserve"> </w:t>
      </w:r>
      <w:r>
        <w:t xml:space="preserve">(</w:t>
      </w:r>
      <w:hyperlink w:anchor="ref-byrne2022">
        <w:r>
          <w:rPr>
            <w:rStyle w:val="Hyperlink"/>
          </w:rPr>
          <w:t xml:space="preserve">Byrne et al., 2022</w:t>
        </w:r>
      </w:hyperlink>
      <w:r>
        <w:t xml:space="preserve">)</w:t>
      </w:r>
      <w:r>
        <w:t xml:space="preserve">.</w:t>
      </w:r>
    </w:p>
    <w:p>
      <w:pPr>
        <w:pStyle w:val="BodyText"/>
      </w:pPr>
      <w:r>
        <w:t xml:space="preserve">The Christchurch shootings prompted many New Zealand research groups and institutions to study Muslims further, that so far have been a culturally-distinct, under-researched, minority group. These studies included trauma-focused response</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inclusion, Islamophobia, and wellbeing</w:t>
      </w:r>
      <w:r>
        <w:t xml:space="preserve"> </w:t>
      </w:r>
      <w:r>
        <w:t xml:space="preserve">(</w:t>
      </w:r>
      <w:hyperlink w:anchor="ref-junaid2024">
        <w:r>
          <w:rPr>
            <w:rStyle w:val="Hyperlink"/>
          </w:rPr>
          <w:t xml:space="preserve">Junaid et al., 2024</w:t>
        </w:r>
      </w:hyperlink>
      <w:r>
        <w:t xml:space="preserve">)</w:t>
      </w:r>
      <w:r>
        <w:t xml:space="preserve">, perceived discrimination among Muslim immigrant youth</w:t>
      </w:r>
      <w:r>
        <w:t xml:space="preserve"> </w:t>
      </w:r>
      <w:r>
        <w:t xml:space="preserve">(</w:t>
      </w:r>
      <w:hyperlink w:anchor="ref-raissi2024">
        <w:r>
          <w:rPr>
            <w:rStyle w:val="Hyperlink"/>
          </w:rPr>
          <w:t xml:space="preserve">Raissi, 2024</w:t>
        </w:r>
      </w:hyperlink>
      <w:r>
        <w:t xml:space="preserve">)</w:t>
      </w:r>
      <w:r>
        <w:t xml:space="preserve">, the political implications of government decisions</w:t>
      </w:r>
      <w:r>
        <w:t xml:space="preserve"> </w:t>
      </w:r>
      <w:r>
        <w:t xml:space="preserve">(</w:t>
      </w:r>
      <w:hyperlink w:anchor="ref-arkilic2021a">
        <w:r>
          <w:rPr>
            <w:rStyle w:val="Hyperlink"/>
          </w:rPr>
          <w:t xml:space="preserve">Arkilic, 2021</w:t>
        </w:r>
      </w:hyperlink>
      <w:r>
        <w:t xml:space="preserve">)</w:t>
      </w:r>
      <w:r>
        <w:t xml:space="preserve"> </w:t>
      </w:r>
      <w:r>
        <w:t xml:space="preserve">and etc. Given that, at NZAVS, we have explored perception of Muslims and the mechanisms of attitudinal changes towards Muslims following 15 March 2019 attacks</w:t>
      </w:r>
      <w:r>
        <w:t xml:space="preserve"> </w:t>
      </w:r>
      <w:r>
        <w:t xml:space="preserve">(</w:t>
      </w:r>
      <w:hyperlink w:anchor="ref-bulbulia2023">
        <w:r>
          <w:rPr>
            <w:rStyle w:val="Hyperlink"/>
          </w:rPr>
          <w:t xml:space="preserve">Bulbulia et al., 2023</w:t>
        </w:r>
      </w:hyperlink>
      <w:r>
        <w:t xml:space="preserve">;</w:t>
      </w:r>
      <w:r>
        <w:t xml:space="preserve"> </w:t>
      </w:r>
      <w:hyperlink w:anchor="ref-hawi2019">
        <w:r>
          <w:rPr>
            <w:rStyle w:val="Hyperlink"/>
          </w:rPr>
          <w:t xml:space="preserve">Hawi et al., 2019</w:t>
        </w:r>
      </w:hyperlink>
      <w:r>
        <w:t xml:space="preserve">;</w:t>
      </w:r>
      <w:r>
        <w:t xml:space="preserve"> </w:t>
      </w:r>
      <w:hyperlink w:anchor="ref-shaver2017">
        <w:r>
          <w:rPr>
            <w:rStyle w:val="Hyperlink"/>
          </w:rPr>
          <w:t xml:space="preserve">Shaver et al., 2017</w:t>
        </w:r>
      </w:hyperlink>
      <w:r>
        <w:t xml:space="preserve">;</w:t>
      </w:r>
      <w:r>
        <w:t xml:space="preserve"> </w:t>
      </w:r>
      <w:hyperlink w:anchor="ref-sibley2020">
        <w:r>
          <w:rPr>
            <w:rStyle w:val="Hyperlink"/>
          </w:rPr>
          <w:t xml:space="preserve">Sibley et al., 2020</w:t>
        </w:r>
      </w:hyperlink>
      <w:r>
        <w:t xml:space="preserve">)</w:t>
      </w:r>
      <w:r>
        <w:t xml:space="preserve">, it was timely and necessary that we expanded our reach further.</w:t>
      </w:r>
    </w:p>
    <w:p>
      <w:pPr>
        <w:pStyle w:val="BodyText"/>
      </w:pPr>
      <w:r>
        <w:t xml:space="preserve">The NZAVS is a planned 20-year-long longitudinal national probability annual panel study of social attitudes, personality, ideology and health outcomes that began in 2009 and is currently in its 15th year. It has so far collected data from more than 70,000 New Zealand residents using the electoral roll</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w:t>
      </w:r>
    </w:p>
    <w:p>
      <w:pPr>
        <w:pStyle w:val="BodyText"/>
      </w:pPr>
      <w:r>
        <w:t xml:space="preserve">The NZAVS has been uniquely positioned due to its prestigious reputation (&gt; 150 peer-reviewed publications), longiutinal panel design, large sample size, and a large multi-disciplinary research team</w:t>
      </w:r>
      <w:r>
        <w:t xml:space="preserve"> </w:t>
      </w:r>
      <w:r>
        <w:t xml:space="preserve">(</w:t>
      </w:r>
      <w:hyperlink w:anchor="ref-sibley2024">
        <w:r>
          <w:rPr>
            <w:rStyle w:val="Hyperlink"/>
          </w:rPr>
          <w:t xml:space="preserve">Sibley, 2024</w:t>
        </w:r>
      </w:hyperlink>
      <w:r>
        <w:t xml:space="preserve">)</w:t>
      </w:r>
      <w:r>
        <w:t xml:space="preserve">. More importantly, NZAVS has a nationally representative sample with data from different identity and religious group</w:t>
      </w:r>
      <w:r>
        <w:t xml:space="preserve"> </w:t>
      </w:r>
      <w:r>
        <w:t xml:space="preserve">(</w:t>
      </w:r>
      <w:hyperlink w:anchor="ref-sibley2024">
        <w:r>
          <w:rPr>
            <w:rStyle w:val="Hyperlink"/>
          </w:rPr>
          <w:t xml:space="preserve">Sibley, 2024</w:t>
        </w:r>
      </w:hyperlink>
      <w:r>
        <w:t xml:space="preserve">)</w:t>
      </w:r>
      <w:r>
        <w:t xml:space="preserve">, thereby, allowing us to compare data from different identity groups. However, the Muslim sample in NZAVS has been &lt; 100, that did not allow us to make meaningful inferences regarding Mulsim lives and issues in comparison with other religious groups. Hence, there was an immediate need to collect more data from Muslims in New Zealand.</w:t>
      </w:r>
    </w:p>
    <w:p>
      <w:pPr>
        <w:pStyle w:val="BodyText"/>
      </w:pPr>
      <w:r>
        <w:t xml:space="preserve">In addition,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three-year longitudinal study was conceived in 2022 to address this scholarly and community knowledge gap. Therefore, MDS is effectively a booster to NZAVS, and uses the NZAVS questionnaires to collect data from the members of Muslim community in New Zealand.</w:t>
      </w:r>
    </w:p>
    <w:p>
      <w:pPr>
        <w:pStyle w:val="BodyText"/>
      </w:pPr>
      <w:r>
        <w:t xml:space="preserve">We aim to explore the diversity of Muslims in New Zealand, assess Muslims’ perceived discrimination in comparison with other religious groups, unearth predictors of flourishing and meaning-making, and measure the effect of service-attendance and religious-identification on these constructs.</w:t>
      </w:r>
    </w:p>
    <w:p>
      <w:pPr>
        <w:pStyle w:val="BodyText"/>
      </w:pPr>
      <w:r>
        <w:t xml:space="preserve">MDS started with pilot community consultation as detailed below in this protocol.</w:t>
      </w:r>
    </w:p>
    <w:bookmarkEnd w:id="106"/>
    <w:bookmarkStart w:id="107" w:name="pilot-community-consultation"/>
    <w:p>
      <w:pPr>
        <w:pStyle w:val="Heading2"/>
      </w:pPr>
      <w:r>
        <w:t xml:space="preserve">Pilot community consultation</w:t>
      </w:r>
    </w:p>
    <w:p>
      <w:pPr>
        <w:pStyle w:val="FirstParagraph"/>
      </w:pPr>
      <w:r>
        <w:t xml:space="preserve">Before applying for the research grant, we deemed necessary to gauge Muslim community’s interest in the project, as well as the feasibility of the project for the Muslim community. This pilot consultation took place between Feb and Nov 2022 where the principal investigator reached out to 29 Muslims (20 representing community, religious or cultural organisations and 9 individuals) in different cities from different academic and cultural backgrounds, age groups, and genders including community leaders, religious scholars, and activists. The conversations focused around four objectives: 1) To assess the feasibility of the project for Muslims, 2) To assess interest of Muslims in the project, 3) To get feedback on the survey items, and 4) To inquire if translation may be needed. First, all 29 respondents believed that the study was feasible and timely for Muslims, and that Muslims will be interested to participate. In addition, the highest participation should be anticipated from youth, second generation migrants, educated, and women. Second, not only did they believe that the study and our planned measures were important, they have also promised to support us in every possible way.</w:t>
      </w:r>
    </w:p>
    <w:p>
      <w:pPr>
        <w:pStyle w:val="BodyText"/>
      </w:pPr>
      <w:r>
        <w:t xml:space="preserve">Challenges identified: 1) The participation from Christchurch might not be up to the expectations as after Christchurch shooting people were surveyed a lot and not provided with the findings. 2) It might not be easy for people to understand the questionnaires due to unfamiliarity of the community with research. 3) The participation from elderly community and Muslim converts might be low, so we need to find avenues to address them. 4) Community members might be suspicious and consider the study to have ulterior or personal motives.</w:t>
      </w:r>
    </w:p>
    <w:p>
      <w:pPr>
        <w:pStyle w:val="BodyText"/>
      </w:pPr>
      <w:r>
        <w:t xml:space="preserve">Recommendations: 1) The participants must be informed about the study motivation and be transparent and clearly communicate, benefits to the community, and that it will increase Muslims’ visibility and raise their voice in research. Especially the long-term benefits for the community and their children should be made clear. 2) We should reach out to the community via trusted community, ethnic, religious organisations, and mosques. 3) For youth engagement, we should go via youth organisations such as Muslim Student Associations (MSAs) at universities. It was suggested that a family focused strategy should be used as starting with men would be more effective. 4) Findings should be shared back with the community in future due to the diversity it will present. 5) Many said that the questionnaire needs to be translated into seven ethnic languages. However, they also indicated that a majority of potential participants could comprehend the English version easily. 6) To be able to share with the community and keep them up-to-date, it was also recommended to have a unique identity and website. Therefore, instead of calling it a booster to NZAVS, the project was named Muslim Diversity Study.</w:t>
      </w:r>
    </w:p>
    <w:p>
      <w:pPr>
        <w:pStyle w:val="BodyText"/>
      </w:pPr>
      <w:r>
        <w:t xml:space="preserve">This whole process led to develop a comprehensive guideline that addresses feasibility, advice on engagement with the community, the possible challenges, and avenues to enhance participation. The participants of this consultation form the Advisory Group of MDS and are being consulted regulary as needed.</w:t>
      </w:r>
    </w:p>
    <w:bookmarkEnd w:id="107"/>
    <w:bookmarkStart w:id="108" w:name="translation"/>
    <w:p>
      <w:pPr>
        <w:pStyle w:val="Heading2"/>
      </w:pPr>
      <w:r>
        <w:t xml:space="preserve">Translation</w:t>
      </w:r>
    </w:p>
    <w:p>
      <w:pPr>
        <w:pStyle w:val="FirstParagraph"/>
      </w:pPr>
      <w:r>
        <w:t xml:space="preserve">Our consultation with the community indicated that the translation may only be needed for a small number of New Zealand Muslims, and that a majority will be able to use the English version. We had consulted with a group (Sulaiman-Hill and colleagues) who have been conducting research within the Muslim community. Therefore, instead of using the common translation back-translation procedure, we were thinking of using a more effective way of translating, back-translating, and comparing notes to ensure conceptual equivalence</w:t>
      </w:r>
      <w:r>
        <w:t xml:space="preserve"> </w:t>
      </w:r>
      <w:r>
        <w:t xml:space="preserve">(</w:t>
      </w:r>
      <w:hyperlink w:anchor="ref-sulaiman-hill2021">
        <w:r>
          <w:rPr>
            <w:rStyle w:val="Hyperlink"/>
          </w:rPr>
          <w:t xml:space="preserve">Sulaiman-Hill et al., 2021</w:t>
        </w:r>
      </w:hyperlink>
      <w:r>
        <w:t xml:space="preserve">)</w:t>
      </w:r>
      <w:r>
        <w:t xml:space="preserve">. This method was inspired by the recent developments and recommendations based on the needs in countries that home an increasing number of refugees</w:t>
      </w:r>
      <w:r>
        <w:t xml:space="preserve"> </w:t>
      </w:r>
      <w:r>
        <w:t xml:space="preserve">(</w:t>
      </w:r>
      <w:hyperlink w:anchor="ref-barger2010">
        <w:r>
          <w:rPr>
            <w:rStyle w:val="Hyperlink"/>
          </w:rPr>
          <w:t xml:space="preserve">Barger et al., 2010</w:t>
        </w:r>
      </w:hyperlink>
      <w:r>
        <w:t xml:space="preserve">;</w:t>
      </w:r>
      <w:r>
        <w:t xml:space="preserve"> </w:t>
      </w:r>
      <w:hyperlink w:anchor="ref-ozolins2020">
        <w:r>
          <w:rPr>
            <w:rStyle w:val="Hyperlink"/>
          </w:rPr>
          <w:t xml:space="preserve">Ozolins et al., 2020</w:t>
        </w:r>
      </w:hyperlink>
      <w:r>
        <w:t xml:space="preserve">)</w:t>
      </w:r>
      <w:r>
        <w:t xml:space="preserve">. Following this, the translation was planned to be checked by experts as recommend by</w:t>
      </w:r>
      <w:r>
        <w:t xml:space="preserve"> </w:t>
      </w:r>
      <w:r>
        <w:t xml:space="preserve">Fenn et al. (</w:t>
      </w:r>
      <w:hyperlink w:anchor="ref-fenn2020">
        <w:r>
          <w:rPr>
            <w:rStyle w:val="Hyperlink"/>
          </w:rPr>
          <w:t xml:space="preserve">2020</w:t>
        </w:r>
      </w:hyperlink>
      <w:r>
        <w:t xml:space="preserve">)</w:t>
      </w:r>
      <w:r>
        <w:t xml:space="preserve"> </w:t>
      </w:r>
      <w:r>
        <w:t xml:space="preserve">and piloted within the Advisory Group to ensure reliability and conceptual equivalence.</w:t>
      </w:r>
    </w:p>
    <w:p>
      <w:pPr>
        <w:pStyle w:val="BodyText"/>
      </w:pPr>
      <w:r>
        <w:t xml:space="preserve">However, one important aspect of MDS is comparing Muslim scores on NZAVS with members from other religious groups. With a translated questionnaire, we still faced the risk of inability to capture the attitudes and behaviours as accurately as the English version. Therefore, we would not know if differences between the scores of Muslims and other groups would be due to religious affiliation or a biased translation. We raised this problem with the Advisory Group, and it was recommended not to translate the questionnaire. This gave us a methodological safety-net since we could be more confident that the meaning of concepts is not distorted because of translation.</w:t>
      </w:r>
    </w:p>
    <w:bookmarkEnd w:id="108"/>
    <w:bookmarkStart w:id="109" w:name="consultation-on-survey-items"/>
    <w:p>
      <w:pPr>
        <w:pStyle w:val="Heading2"/>
      </w:pPr>
      <w:r>
        <w:t xml:space="preserve">Consultation on survey items</w:t>
      </w:r>
    </w:p>
    <w:p>
      <w:pPr>
        <w:pStyle w:val="FirstParagraph"/>
      </w:pPr>
      <w:r>
        <w:t xml:space="preserve">items that people did not like….</w:t>
      </w:r>
    </w:p>
    <w:bookmarkEnd w:id="109"/>
    <w:bookmarkStart w:id="110" w:name="hypotheses"/>
    <w:p>
      <w:pPr>
        <w:pStyle w:val="Heading2"/>
      </w:pPr>
      <w:r>
        <w:t xml:space="preserve">Hypotheses</w:t>
      </w:r>
    </w:p>
    <w:p>
      <w:pPr>
        <w:pStyle w:val="FirstParagraph"/>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bookmarkEnd w:id="110"/>
    <w:bookmarkEnd w:id="111"/>
    <w:bookmarkStart w:id="133" w:name="method"/>
    <w:p>
      <w:pPr>
        <w:pStyle w:val="Heading1"/>
      </w:pPr>
      <w:r>
        <w:t xml:space="preserve">Method</w:t>
      </w:r>
    </w:p>
    <w:bookmarkStart w:id="112" w:name="design"/>
    <w:p>
      <w:pPr>
        <w:pStyle w:val="Heading2"/>
      </w:pPr>
      <w:r>
        <w:t xml:space="preserve">Design</w:t>
      </w:r>
    </w:p>
    <w:p>
      <w:pPr>
        <w:pStyle w:val="FirstParagraph"/>
      </w:pPr>
      <w:r>
        <w:t xml:space="preserve">MDS is a three-year-long booster for NZAVS. NZAVS is a planned 20-year-long longitudinal panel study of adult New Zealanders, currently in its 15th year (Wave 15) that correponds with Wave 1 (the firs year) of MDS (15 Oct 2023 to 14 Oct 2024). Wave 2 and Wave 3 of MDS will correspond with NZAVS Wave 16 (15 Oct 2024 to 14 Oct 2025) and Wave 17 (15 Oct 2025 to 14 Oct 2026), respectively.</w:t>
      </w:r>
    </w:p>
    <w:bookmarkEnd w:id="112"/>
    <w:bookmarkStart w:id="113" w:name="participants"/>
    <w:p>
      <w:pPr>
        <w:pStyle w:val="Heading2"/>
      </w:pPr>
      <w:r>
        <w:t xml:space="preserve">Participants</w:t>
      </w:r>
    </w:p>
    <w:p>
      <w:pPr>
        <w:pStyle w:val="FirstParagraph"/>
      </w:pPr>
      <w:r>
        <w:t xml:space="preserve">NZAVS participant details will be available online after the completion of Wave 15</w:t>
      </w:r>
      <w:r>
        <w:t xml:space="preserve"> </w:t>
      </w:r>
      <w:hyperlink r:id="rId101">
        <w:r>
          <w:rPr>
            <w:rStyle w:val="Hyperlink"/>
          </w:rPr>
          <w:t xml:space="preserve">https://osf.io/75snb/</w:t>
        </w:r>
      </w:hyperlink>
      <w:r>
        <w:t xml:space="preserve">. MDS attempts to increase the sample size of Muslims in NZAVS by</w:t>
      </w:r>
      <w:r>
        <w:t xml:space="preserve"> </w:t>
      </w:r>
      <w:r>
        <w:rPr>
          <w:iCs/>
          <w:i/>
        </w:rPr>
        <w:t xml:space="preserve">n</w:t>
      </w:r>
      <w:r>
        <w:t xml:space="preserve"> </w:t>
      </w:r>
      <w:r>
        <w:t xml:space="preserve">= 650 (&gt; 1% of New Zealand Muslim population), corresponding with the NZAVS sampling rate from the overall New Zealand population. Based on the 2018 Census, New Zealand had 60,261 Muslims in 2022</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w:t>
      </w:r>
      <w:r>
        <w:t xml:space="preserve">— about 1.3% of New Zealand population. As shown in Table</w:t>
      </w:r>
      <w:r>
        <w:t xml:space="preserve"> </w:t>
      </w:r>
      <w:hyperlink w:anchor="tbl-muslim-population">
        <w:r>
          <w:rPr>
            <w:rStyle w:val="Hyperlink"/>
          </w:rPr>
          <w:t xml:space="preserve">Table 1</w:t>
        </w:r>
      </w:hyperlink>
      <w:r>
        <w:t xml:space="preserve">, we selected six cities (Auckland, Christchurch, Hamilton, Wellington, Palmerston North, and Dunedin) that had at least 1,000 Muslims, for data collection. Inclusion criteria consisted of self identification as Muslim, being 18 year of age or older, and currently residing in New Zealand.</w:t>
      </w:r>
    </w:p>
    <w:bookmarkEnd w:id="113"/>
    <w:bookmarkStart w:id="132" w:name="materials"/>
    <w:p>
      <w:pPr>
        <w:pStyle w:val="Heading2"/>
      </w:pPr>
      <w:r>
        <w:t xml:space="preserve">Materials</w:t>
      </w:r>
    </w:p>
    <w:p>
      <w:pPr>
        <w:pStyle w:val="FirstParagraph"/>
      </w:pPr>
      <w:r>
        <w:t xml:space="preserve">NZAVS questionnaire consists of many psychological measures</w:t>
      </w:r>
      <w:r>
        <w:t xml:space="preserve"> </w:t>
      </w:r>
      <w:r>
        <w:t xml:space="preserve">(see</w:t>
      </w:r>
      <w:r>
        <w:t xml:space="preserve"> </w:t>
      </w:r>
      <w:hyperlink w:anchor="ref-sibley2024">
        <w:r>
          <w:rPr>
            <w:rStyle w:val="Hyperlink"/>
          </w:rPr>
          <w:t xml:space="preserve">Sibley, 2024</w:t>
        </w:r>
      </w:hyperlink>
      <w:r>
        <w:t xml:space="preserve">)</w:t>
      </w:r>
      <w:r>
        <w:t xml:space="preserve">. In this article, we are highlighting those that are pertinent to the readily planned papers aimed to publish from MDS.</w:t>
      </w:r>
    </w:p>
    <w:p>
      <w:pPr>
        <w:pStyle w:val="BodyText"/>
      </w:pPr>
      <w:r>
        <w:t xml:space="preserve">For Likert type scales, the minimum and maximum levels are noted along with description, for instance, 1 = Not Important, 7 = Very Important would mean that a score ranges between 1 and 7, with 1 being the minimum and 7 being the maximum score; whereas (R) indicates the reverse-scored items. Notwithstanding, we might choose to explore further measures which will then be elaborated on in the individual articles.</w:t>
      </w:r>
    </w:p>
    <w:bookmarkStart w:id="114" w:name="service-attendance-and-religiosity"/>
    <w:p>
      <w:pPr>
        <w:pStyle w:val="Heading3"/>
      </w:pPr>
      <w:r>
        <w:t xml:space="preserve">Service attendance and religiosity</w:t>
      </w:r>
    </w:p>
    <w:p>
      <w:pPr>
        <w:numPr>
          <w:ilvl w:val="0"/>
          <w:numId w:val="1001"/>
        </w:numPr>
      </w:pPr>
      <w:r>
        <w:t xml:space="preserve">Do you identify with a religion and/or spiritual group? (Yes/No). If yes, what religion or spiritual group? (String entry).</w:t>
      </w:r>
    </w:p>
    <w:p>
      <w:pPr>
        <w:numPr>
          <w:ilvl w:val="0"/>
          <w:numId w:val="1001"/>
        </w:numPr>
      </w:pPr>
      <w:r>
        <w:t xml:space="preserve">How many times did you attend a church or place of worship in the last month? (String entry).</w:t>
      </w:r>
    </w:p>
    <w:p>
      <w:pPr>
        <w:numPr>
          <w:ilvl w:val="0"/>
          <w:numId w:val="1001"/>
        </w:numPr>
      </w:pPr>
      <w:r>
        <w:t xml:space="preserve">How many times did you pray in the last week? (String entry).</w:t>
      </w:r>
    </w:p>
    <w:p>
      <w:pPr>
        <w:numPr>
          <w:ilvl w:val="0"/>
          <w:numId w:val="1001"/>
        </w:numPr>
      </w:pPr>
      <w:r>
        <w:t xml:space="preserve">How many times did you read religious scripture in the last week? (String entry).</w:t>
      </w:r>
    </w:p>
    <w:p>
      <w:pPr>
        <w:numPr>
          <w:ilvl w:val="0"/>
          <w:numId w:val="1001"/>
        </w:numPr>
      </w:pPr>
      <w:r>
        <w:t xml:space="preserve">How important is your religion to how you see yourself? (String entry) (1 = Not Important, 7 = Very Important).</w:t>
      </w:r>
    </w:p>
    <w:p>
      <w:pPr>
        <w:numPr>
          <w:ilvl w:val="0"/>
          <w:numId w:val="1001"/>
        </w:numPr>
      </w:pPr>
      <w:r>
        <w:t xml:space="preserve">I identify as a spiritual person. (1 = Strongly Disagree, 7 = Strongly Agree).</w:t>
      </w:r>
    </w:p>
    <w:p>
      <w:pPr>
        <w:numPr>
          <w:ilvl w:val="0"/>
          <w:numId w:val="1001"/>
        </w:numPr>
      </w:pPr>
      <w:r>
        <w:t xml:space="preserve">Do you believe in God? (Yes/No).</w:t>
      </w:r>
    </w:p>
    <w:p>
      <w:pPr>
        <w:numPr>
          <w:ilvl w:val="0"/>
          <w:numId w:val="1001"/>
        </w:numPr>
      </w:pPr>
      <w:r>
        <w:t xml:space="preserve">Do you believe in any form of spirit or life force? (Yes/No).</w:t>
      </w:r>
    </w:p>
    <w:bookmarkEnd w:id="114"/>
    <w:bookmarkStart w:id="115" w:name="prejudice"/>
    <w:p>
      <w:pPr>
        <w:pStyle w:val="Heading3"/>
      </w:pPr>
      <w:r>
        <w:t xml:space="preserve">Prejudice</w:t>
      </w:r>
    </w:p>
    <w:p>
      <w:pPr>
        <w:numPr>
          <w:ilvl w:val="0"/>
          <w:numId w:val="1002"/>
        </w:numPr>
      </w:pPr>
      <w:r>
        <w:t xml:space="preserve">I feel that I am often discriminated against because of my religious/spiritual beliefs. (1 = Strongly Disagree 1, 7 = Strongly Agree).</w:t>
      </w:r>
    </w:p>
    <w:p>
      <w:pPr>
        <w:numPr>
          <w:ilvl w:val="0"/>
          <w:numId w:val="1002"/>
        </w:numPr>
      </w:pPr>
      <w:r>
        <w:t xml:space="preserve">People from my ethnic group are discriminated against in New Zealand. (1 = Strongly Disagree, 7 = Strongly Agree).</w:t>
      </w:r>
    </w:p>
    <w:p>
      <w:pPr>
        <w:numPr>
          <w:ilvl w:val="0"/>
          <w:numId w:val="1002"/>
        </w:numPr>
      </w:pPr>
      <w:r>
        <w:t xml:space="preserve">I feel that I am often discriminated against because of my age. (1 = Strongly Disagree, 7 = Strongly Agree).</w:t>
      </w:r>
    </w:p>
    <w:p>
      <w:pPr>
        <w:numPr>
          <w:ilvl w:val="0"/>
          <w:numId w:val="1002"/>
        </w:numPr>
      </w:pPr>
      <w:r>
        <w:t xml:space="preserve">I feel that I am often discriminated against because of my ethnicity. (1 = Very Innacurate, 7 = Very Accurate).</w:t>
      </w:r>
    </w:p>
    <w:p>
      <w:pPr>
        <w:numPr>
          <w:ilvl w:val="0"/>
          <w:numId w:val="1002"/>
        </w:numPr>
      </w:pPr>
      <w:r>
        <w:t xml:space="preserve">I feel that I am often discriminated against because of my gender. (1 = Very Innacurate, 7 = Very Accurate).</w:t>
      </w:r>
    </w:p>
    <w:p>
      <w:pPr>
        <w:numPr>
          <w:ilvl w:val="0"/>
          <w:numId w:val="1002"/>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Likert scale where 1 = Least Warm and 7 = Most Warm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bookmarkEnd w:id="115"/>
    <w:bookmarkStart w:id="116" w:name="felt-belonging"/>
    <w:p>
      <w:pPr>
        <w:pStyle w:val="Heading3"/>
      </w:pPr>
      <w:r>
        <w:rPr>
          <w:bCs/>
          <w:b/>
        </w:rPr>
        <w:t xml:space="preserve">Felt belonging</w:t>
      </w:r>
    </w:p>
    <w:p>
      <w:pPr>
        <w:numPr>
          <w:ilvl w:val="0"/>
          <w:numId w:val="1003"/>
        </w:numPr>
      </w:pPr>
      <w:r>
        <w:t xml:space="preserve">I know that people in my life accept and value me. (1 = Very Innacurate, 7 = Very Accurate).</w:t>
      </w:r>
    </w:p>
    <w:p>
      <w:pPr>
        <w:numPr>
          <w:ilvl w:val="0"/>
          <w:numId w:val="1003"/>
        </w:numPr>
      </w:pPr>
      <w:r>
        <w:t xml:space="preserve">I feel like an outsider. (1 = Very Innacurate, 7 = Very Accurate).</w:t>
      </w:r>
    </w:p>
    <w:p>
      <w:pPr>
        <w:numPr>
          <w:ilvl w:val="0"/>
          <w:numId w:val="1003"/>
        </w:numPr>
      </w:pPr>
      <w:r>
        <w:t xml:space="preserve">I know that people in around me share my attitudes and beliefs. (1 = Very Innacurate, 7 = Very Accurate).</w:t>
      </w:r>
    </w:p>
    <w:bookmarkEnd w:id="116"/>
    <w:bookmarkStart w:id="117" w:name="support"/>
    <w:p>
      <w:pPr>
        <w:pStyle w:val="Heading3"/>
      </w:pPr>
      <w:r>
        <w:t xml:space="preserve">Support</w:t>
      </w:r>
    </w:p>
    <w:p>
      <w:pPr>
        <w:numPr>
          <w:ilvl w:val="0"/>
          <w:numId w:val="1004"/>
        </w:numPr>
      </w:pPr>
      <w:r>
        <w:t xml:space="preserve">There are people I can depend on to help me if I really need it. (1 = Strongly Disagree, 7 = Strongly Agree).</w:t>
      </w:r>
    </w:p>
    <w:p>
      <w:pPr>
        <w:numPr>
          <w:ilvl w:val="0"/>
          <w:numId w:val="1004"/>
        </w:numPr>
      </w:pPr>
      <w:r>
        <w:t xml:space="preserve">There is no one I can turn to for guidance in times of stress (R). (1 = Strongly Disagree, 7 = Strongly Agree).</w:t>
      </w:r>
    </w:p>
    <w:p>
      <w:pPr>
        <w:numPr>
          <w:ilvl w:val="0"/>
          <w:numId w:val="1004"/>
        </w:numPr>
      </w:pPr>
      <w:r>
        <w:t xml:space="preserve">I know there are people I can turn to when I need help. (1 = Strongly Disagree, 7 = Strongly Agree).</w:t>
      </w:r>
    </w:p>
    <w:bookmarkEnd w:id="117"/>
    <w:bookmarkStart w:id="118" w:name="employment"/>
    <w:p>
      <w:pPr>
        <w:pStyle w:val="Heading3"/>
      </w:pPr>
      <w:r>
        <w:t xml:space="preserve">Employment</w:t>
      </w:r>
    </w:p>
    <w:p>
      <w:pPr>
        <w:numPr>
          <w:ilvl w:val="0"/>
          <w:numId w:val="1005"/>
        </w:numPr>
      </w:pPr>
      <w:r>
        <w:t xml:space="preserve">What is your highest level of qualification? (String entry).</w:t>
      </w:r>
    </w:p>
    <w:p>
      <w:pPr>
        <w:numPr>
          <w:ilvl w:val="0"/>
          <w:numId w:val="1005"/>
        </w:numPr>
      </w:pPr>
      <w:r>
        <w:t xml:space="preserve">Are you currently employed (This includes self-employed of casual work)? (Yes/No). This leads to a four-point nominal response: employed full-time, employed part-time, unemployed, and not in the labour force.</w:t>
      </w:r>
    </w:p>
    <w:p>
      <w:pPr>
        <w:numPr>
          <w:ilvl w:val="0"/>
          <w:numId w:val="1005"/>
        </w:numPr>
      </w:pPr>
      <w:r>
        <w:t xml:space="preserve">In that job, what is your current occupation (String entry).</w:t>
      </w:r>
    </w:p>
    <w:p>
      <w:pPr>
        <w:numPr>
          <w:ilvl w:val="0"/>
          <w:numId w:val="1005"/>
        </w:numPr>
      </w:pPr>
      <w:r>
        <w:t xml:space="preserve">What is the main activity of the business or employer that you work for? (String entry).</w:t>
      </w:r>
    </w:p>
    <w:p>
      <w:pPr>
        <w:numPr>
          <w:ilvl w:val="0"/>
          <w:numId w:val="1005"/>
        </w:numPr>
      </w:pPr>
      <w:r>
        <w:t xml:space="preserve">How long have you worked at your current organization? (String entry: years/months).</w:t>
      </w:r>
    </w:p>
    <w:p>
      <w:pPr>
        <w:numPr>
          <w:ilvl w:val="0"/>
          <w:numId w:val="1005"/>
        </w:numPr>
      </w:pPr>
      <w:r>
        <w:t xml:space="preserve">How satisfied are you with your current job? (1 = Not Satisfied, 7 = Very Satisfied).</w:t>
      </w:r>
    </w:p>
    <w:p>
      <w:pPr>
        <w:numPr>
          <w:ilvl w:val="0"/>
          <w:numId w:val="1005"/>
        </w:numPr>
      </w:pPr>
      <w:r>
        <w:t xml:space="preserve">How secure do you feel in your current job? (1 = Not Secure, 7 = Very Secure).</w:t>
      </w:r>
    </w:p>
    <w:p>
      <w:pPr>
        <w:numPr>
          <w:ilvl w:val="0"/>
          <w:numId w:val="1005"/>
        </w:numPr>
      </w:pPr>
      <w:r>
        <w:t xml:space="preserve">How valued do you feel by your current organization? (1 = Not valued, 7 = Very Valued).</w:t>
      </w:r>
    </w:p>
    <w:bookmarkEnd w:id="118"/>
    <w:bookmarkStart w:id="119" w:name="health"/>
    <w:p>
      <w:pPr>
        <w:pStyle w:val="Heading3"/>
      </w:pPr>
      <w:r>
        <w:t xml:space="preserve">Health</w:t>
      </w:r>
    </w:p>
    <w:p>
      <w:pPr>
        <w:numPr>
          <w:ilvl w:val="0"/>
          <w:numId w:val="1006"/>
        </w:numPr>
      </w:pPr>
      <w:r>
        <w:t xml:space="preserve">In general, would you say your health is… (1 = Poor, 7 = Excellent).</w:t>
      </w:r>
    </w:p>
    <w:p>
      <w:pPr>
        <w:numPr>
          <w:ilvl w:val="0"/>
          <w:numId w:val="1006"/>
        </w:numPr>
      </w:pPr>
      <w:r>
        <w:t xml:space="preserve">I seem to get sick a little easier than other people. (1 = Strongly Disagree, 7 = Strongly Agree).</w:t>
      </w:r>
    </w:p>
    <w:p>
      <w:pPr>
        <w:numPr>
          <w:ilvl w:val="0"/>
          <w:numId w:val="1006"/>
        </w:numPr>
      </w:pPr>
      <w:r>
        <w:t xml:space="preserve">I expect my health to get worse. (1 = Strongly Disagree, 7 = Strongly Agree).</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How often do you have a drink containing alcohol? This is measured using a 6 point nominal scale (a. Never - I don’t drink, b. Monthly or less, c. Up to 4 times a month, d. Up to 3 times a week, e. 4 or more times a week, f. Don’t know).</w:t>
      </w:r>
    </w:p>
    <w:p>
      <w:pPr>
        <w:numPr>
          <w:ilvl w:val="0"/>
          <w:numId w:val="1006"/>
        </w:numPr>
      </w:pPr>
      <w:r>
        <w:t xml:space="preserve">Have you ever regularly smoked tobacco cigarettes? (Yes/No).</w:t>
      </w:r>
    </w:p>
    <w:p>
      <w:pPr>
        <w:numPr>
          <w:ilvl w:val="0"/>
          <w:numId w:val="1006"/>
        </w:numPr>
      </w:pPr>
      <w:r>
        <w:t xml:space="preserve">Have you ever regularly used e-cigarettes? (Yes/No).</w:t>
      </w:r>
    </w:p>
    <w:p>
      <w:pPr>
        <w:numPr>
          <w:ilvl w:val="0"/>
          <w:numId w:val="1006"/>
        </w:numPr>
      </w:pPr>
      <w:r>
        <w:t xml:space="preserve">Do you currently smoke tobacco cigarettes? (Yes/No).</w:t>
      </w:r>
    </w:p>
    <w:p>
      <w:pPr>
        <w:numPr>
          <w:ilvl w:val="0"/>
          <w:numId w:val="1006"/>
        </w:numPr>
      </w:pPr>
      <w:r>
        <w:t xml:space="preserve">Do you currently vape or use e-cigarettes? (Yes/No).</w:t>
      </w:r>
    </w:p>
    <w:p>
      <w:pPr>
        <w:numPr>
          <w:ilvl w:val="0"/>
          <w:numId w:val="1006"/>
        </w:numPr>
      </w:pPr>
      <w:r>
        <w:t xml:space="preserve">Access to and satisfaction with GP: Do you have a regular family doctor/GP? (Yes/No). (If yes) How satisfied are you with the service and care you receive from your family doctor/GP? (1 = Not Satisfied, 7 = Very Satisfied). Do you think your doctor/GP shares a similar cultural background to you? (1 = Definitely No, 7 = Definitely yes). Does your doctor/GP respect your cultural background when you are discussing health issues with them? (1= Definitely No, 7 = Definitely Yes).</w:t>
      </w:r>
    </w:p>
    <w:p>
      <w:pPr>
        <w:numPr>
          <w:ilvl w:val="0"/>
          <w:numId w:val="1006"/>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0"/>
          <w:numId w:val="1006"/>
        </w:numPr>
      </w:pPr>
      <w:r>
        <w:t xml:space="preserve">BMI: Calculated by using a person’s weight (Kg) divided by square root of height (m) that are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p>
    <w:p>
      <w:pPr>
        <w:numPr>
          <w:ilvl w:val="0"/>
          <w:numId w:val="1006"/>
        </w:numPr>
      </w:pPr>
      <w:r>
        <w:t xml:space="preserve">Forgiveness vs vengeful rumination: Items include</w:t>
      </w:r>
      <w:r>
        <w:t xml:space="preserve"> </w:t>
      </w:r>
      <w:r>
        <w:t xml:space="preserve">“</w:t>
      </w:r>
      <w:r>
        <w:t xml:space="preserve">Sometimes I can’t sleep because of thinking about past wrongs I have suffered.</w:t>
      </w:r>
      <w:r>
        <w:t xml:space="preserve">”</w:t>
      </w:r>
      <w:r>
        <w:t xml:space="preserve">,</w:t>
      </w:r>
      <w:r>
        <w:t xml:space="preserve"> </w:t>
      </w:r>
      <w:r>
        <w:t xml:space="preserve">“</w:t>
      </w:r>
      <w:r>
        <w:t xml:space="preserve">I can usually forgive and forget when someone does me wrong.</w:t>
      </w:r>
      <w:r>
        <w:t xml:space="preserve">”</w:t>
      </w:r>
      <w:r>
        <w:t xml:space="preserve">,</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p>
      <w:pPr>
        <w:numPr>
          <w:ilvl w:val="0"/>
          <w:numId w:val="1006"/>
        </w:numPr>
      </w:pPr>
      <w:r>
        <w:t xml:space="preserve">During the past month, on average, how many hours of actual sleep did you get per night? (String entry)</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Chronic diseases diagnosis: See</w:t>
      </w:r>
      <w:r>
        <w:t xml:space="preserve"> </w:t>
      </w:r>
      <w:hyperlink w:anchor="fig-chrondis">
        <w:r>
          <w:rPr>
            <w:rStyle w:val="Hyperlink"/>
          </w:rPr>
          <w:t xml:space="preserve">Figure 2</w:t>
        </w:r>
      </w:hyperlink>
      <w:r>
        <w:t xml:space="preserve">.</w:t>
      </w:r>
    </w:p>
    <w:bookmarkEnd w:id="119"/>
    <w:bookmarkStart w:id="120" w:name="matching-with-other-religious-groups"/>
    <w:p>
      <w:pPr>
        <w:pStyle w:val="Heading3"/>
      </w:pPr>
      <w:r>
        <w:t xml:space="preserve">Matching with other religious groups</w:t>
      </w:r>
    </w:p>
    <w:p>
      <w:pPr>
        <w:pStyle w:val="FirstParagraph"/>
      </w:pPr>
      <w:r>
        <w:t xml:space="preserve">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bookmarkEnd w:id="120"/>
    <w:bookmarkStart w:id="121" w:name="Xc297a9045df94009e106380cdd5516a3dfdb9e1"/>
    <w:p>
      <w:pPr>
        <w:pStyle w:val="Heading3"/>
      </w:pPr>
      <w:r>
        <w:t xml:space="preserve">Subjective wellbeing/psychological distress</w:t>
      </w:r>
    </w:p>
    <w:p>
      <w:pPr>
        <w:pStyle w:val="FirstParagraph"/>
      </w:pPr>
      <w:r>
        <w:t xml:space="preserve">Measured using the Kessler-6 items (items 1-6 in</w:t>
      </w:r>
      <w:r>
        <w:t xml:space="preserve"> </w:t>
      </w:r>
      <w:hyperlink w:anchor="fig-Kess-6">
        <w:r>
          <w:rPr>
            <w:rStyle w:val="Hyperlink"/>
          </w:rPr>
          <w:t xml:space="preserve">Figure 4</w:t>
        </w:r>
      </w:hyperlink>
      <w:r>
        <w:t xml:space="preserve">) rated on a 5-point scale (0 = None of the time, 4 = All of the time)</w:t>
      </w:r>
      <w:r>
        <w:t xml:space="preserve"> </w:t>
      </w:r>
      <w:r>
        <w:t xml:space="preserve">(</w:t>
      </w:r>
      <w:hyperlink w:anchor="ref-kessler2010">
        <w:r>
          <w:rPr>
            <w:rStyle w:val="Hyperlink"/>
          </w:rPr>
          <w:t xml:space="preserve">Kessler et al., 2010</w:t>
        </w:r>
      </w:hyperlink>
      <w:r>
        <w:t xml:space="preserve">)</w:t>
      </w:r>
      <w:r>
        <w:t xml:space="preserve">.</w:t>
      </w:r>
    </w:p>
    <w:bookmarkEnd w:id="121"/>
    <w:bookmarkStart w:id="122" w:name="meaning-of-life"/>
    <w:p>
      <w:pPr>
        <w:pStyle w:val="Heading3"/>
      </w:pPr>
      <w:r>
        <w:t xml:space="preserve">Meaning of life</w:t>
      </w:r>
    </w:p>
    <w:p>
      <w:pPr>
        <w:pStyle w:val="FirstParagraph"/>
      </w:pPr>
      <w:r>
        <w:t xml:space="preserve">“</w:t>
      </w:r>
      <w:r>
        <w:t xml:space="preserve">My life has a clear sense of purpose</w:t>
      </w:r>
      <w:r>
        <w:t xml:space="preserve">”</w:t>
      </w:r>
      <w:r>
        <w:t xml:space="preserve"> </w:t>
      </w:r>
      <w:r>
        <w:t xml:space="preserve">(1 = Strongly Disagree, 7 = Strongly Agree) and</w:t>
      </w:r>
      <w:r>
        <w:t xml:space="preserve"> </w:t>
      </w:r>
      <w:r>
        <w:t xml:space="preserve">“</w:t>
      </w:r>
      <w:r>
        <w:t xml:space="preserve">I have a good sense of what makes my life meaningful</w:t>
      </w:r>
      <w:r>
        <w:t xml:space="preserve">”</w:t>
      </w:r>
      <w:r>
        <w:t xml:space="preserve"> </w:t>
      </w:r>
      <w:r>
        <w:t xml:space="preserve">(1 = Strongly Disagree, 7 = Strongly Agree).</w:t>
      </w:r>
    </w:p>
    <w:bookmarkEnd w:id="122"/>
    <w:bookmarkStart w:id="123" w:name="life-satisfaction-and-national-wellbeing"/>
    <w:p>
      <w:pPr>
        <w:pStyle w:val="Heading3"/>
      </w:pPr>
      <w:r>
        <w:t xml:space="preserve">Life satisfaction and national wellbeing</w:t>
      </w:r>
    </w:p>
    <w:p>
      <w:pPr>
        <w:pStyle w:val="FirstParagraph"/>
      </w:pPr>
      <w:r>
        <w:t xml:space="preserve">Items from</w:t>
      </w:r>
      <w:r>
        <w:t xml:space="preserve"> </w:t>
      </w:r>
      <w:hyperlink w:anchor="fig-life-sat">
        <w:r>
          <w:rPr>
            <w:rStyle w:val="Hyperlink"/>
          </w:rPr>
          <w:t xml:space="preserve">Figure 5</w:t>
        </w:r>
      </w:hyperlink>
      <w:r>
        <w:t xml:space="preserve"> </w:t>
      </w:r>
      <w:r>
        <w:t xml:space="preserve">measured on 11-item measure (0 = Completely Dissatisfied, 10 = Completely Satisfied). In addition,</w:t>
      </w:r>
      <w:r>
        <w:t xml:space="preserve"> </w:t>
      </w:r>
      <w:r>
        <w:t xml:space="preserve">“</w:t>
      </w:r>
      <w:r>
        <w:t xml:space="preserve">I am satisfied with my life (1= Strongly Disagree, 7 = Strongly Agree)</w:t>
      </w:r>
      <w:r>
        <w:t xml:space="preserve">”</w:t>
      </w:r>
      <w:r>
        <w:t xml:space="preserve"> </w:t>
      </w:r>
      <w:r>
        <w:t xml:space="preserve">and</w:t>
      </w:r>
      <w:r>
        <w:t xml:space="preserve"> </w:t>
      </w:r>
      <w:r>
        <w:t xml:space="preserve">“</w:t>
      </w:r>
      <w:r>
        <w:t xml:space="preserve">In most ways my life is close to ideal (1 = Strongly Disagree, 7 = Strongly Agree)</w:t>
      </w:r>
      <w:r>
        <w:t xml:space="preserve">”</w:t>
      </w:r>
      <w:r>
        <w:t xml:space="preserve"> </w:t>
      </w:r>
      <w:r>
        <w:t xml:space="preserve">are used.</w:t>
      </w:r>
    </w:p>
    <w:bookmarkEnd w:id="123"/>
    <w:bookmarkStart w:id="124" w:name="self-esteem"/>
    <w:p>
      <w:pPr>
        <w:pStyle w:val="Heading3"/>
      </w:pPr>
      <w:r>
        <w:t xml:space="preserve">Self esteem</w:t>
      </w:r>
    </w:p>
    <w:p>
      <w:pPr>
        <w:pStyle w:val="FirstParagraph"/>
      </w:pPr>
      <w:r>
        <w:t xml:space="preserve">Items are,</w:t>
      </w:r>
      <w:r>
        <w:t xml:space="preserve"> </w:t>
      </w:r>
      <w:r>
        <w:t xml:space="preserve">“</w:t>
      </w:r>
      <w:r>
        <w:t xml:space="preserve">On the whole I am satisfied with myself</w:t>
      </w:r>
      <w:r>
        <w:t xml:space="preserve">”</w:t>
      </w:r>
      <w:r>
        <w:t xml:space="preserve">(1 = Very Inaccurate, 7 = Very Accurate),</w:t>
      </w:r>
      <w:r>
        <w:t xml:space="preserve"> </w:t>
      </w:r>
      <w:r>
        <w:t xml:space="preserve">“</w:t>
      </w:r>
      <w:r>
        <w:t xml:space="preserve">I take a positive attitude toward myself</w:t>
      </w:r>
      <w:r>
        <w:t xml:space="preserve">”</w:t>
      </w:r>
      <w:r>
        <w:t xml:space="preserve"> </w:t>
      </w:r>
      <w:r>
        <w:t xml:space="preserve">(1 = Very Inaccurate, 7 = Very Accurate) and</w:t>
      </w:r>
      <w:r>
        <w:t xml:space="preserve"> </w:t>
      </w:r>
      <w:r>
        <w:t xml:space="preserve">“</w:t>
      </w:r>
      <w:r>
        <w:t xml:space="preserve">I am inclined to feel that I am a failure</w:t>
      </w:r>
      <w:r>
        <w:t xml:space="preserve">”</w:t>
      </w:r>
      <w:r>
        <w:t xml:space="preserve"> </w:t>
      </w:r>
      <w:r>
        <w:t xml:space="preserve">(R) (1 = Very Inaccurate, 7 = Very Accurate).</w:t>
      </w:r>
    </w:p>
    <w:bookmarkEnd w:id="124"/>
    <w:bookmarkStart w:id="125" w:name="gratitude"/>
    <w:p>
      <w:pPr>
        <w:pStyle w:val="Heading3"/>
      </w:pPr>
      <w:r>
        <w:t xml:space="preserve">Gratitude</w:t>
      </w:r>
    </w:p>
    <w:p>
      <w:pPr>
        <w:pStyle w:val="FirstParagraph"/>
      </w:pPr>
      <w:r>
        <w:t xml:space="preserve">Items are,</w:t>
      </w:r>
      <w:r>
        <w:t xml:space="preserve"> </w:t>
      </w:r>
      <w:r>
        <w:t xml:space="preserve">“</w:t>
      </w:r>
      <w:r>
        <w:t xml:space="preserve">I have much in my life to be thankful for</w:t>
      </w:r>
      <w:r>
        <w:t xml:space="preserve">”</w:t>
      </w:r>
      <w:r>
        <w:t xml:space="preserve"> </w:t>
      </w:r>
      <w:r>
        <w:t xml:space="preserve">(1 = Strongly Disagree, 7 = Strongly Agree),</w:t>
      </w:r>
      <w:r>
        <w:t xml:space="preserve"> </w:t>
      </w:r>
      <w:r>
        <w:t xml:space="preserve">“</w:t>
      </w:r>
      <w:r>
        <w:t xml:space="preserve">When I look at the world, I don’t see much to be grateful for</w:t>
      </w:r>
      <w:r>
        <w:t xml:space="preserve">”</w:t>
      </w:r>
      <w:r>
        <w:t xml:space="preserve"> </w:t>
      </w:r>
      <w:r>
        <w:t xml:space="preserve">(1 = Strongly Disagree, 7 = Strongly Agree) and</w:t>
      </w:r>
      <w:r>
        <w:t xml:space="preserve"> </w:t>
      </w:r>
      <w:r>
        <w:t xml:space="preserve">“</w:t>
      </w:r>
      <w:r>
        <w:t xml:space="preserve">I am grateful to a wide variety of people</w:t>
      </w:r>
      <w:r>
        <w:t xml:space="preserve">”</w:t>
      </w:r>
      <w:r>
        <w:t xml:space="preserve"> </w:t>
      </w:r>
      <w:r>
        <w:t xml:space="preserve">(1 = Strongly Disagree, 7 = Strongly Agree).</w:t>
      </w:r>
    </w:p>
    <w:bookmarkEnd w:id="125"/>
    <w:bookmarkStart w:id="126" w:name="community-making"/>
    <w:p>
      <w:pPr>
        <w:pStyle w:val="Heading3"/>
      </w:pPr>
      <w:r>
        <w:t xml:space="preserve">Community making</w:t>
      </w:r>
    </w:p>
    <w:p>
      <w:pPr>
        <w:pStyle w:val="FirstParagraph"/>
      </w:pPr>
      <w:r>
        <w:t xml:space="preserve">I feel a sense of community with others in my local neighbourhood (1 = Strongly Disagree, 7 = Strongly Agree). ### Intergroup anxiety I feel anxious about interacting with people from other races (1 = Strongly Disagree, 7 = Strongly Agree).</w:t>
      </w:r>
    </w:p>
    <w:bookmarkEnd w:id="126"/>
    <w:bookmarkStart w:id="127" w:name="rumination"/>
    <w:p>
      <w:pPr>
        <w:pStyle w:val="Heading3"/>
      </w:pPr>
      <w:r>
        <w:t xml:space="preserve">Rumination</w:t>
      </w:r>
    </w:p>
    <w:p>
      <w:pPr>
        <w:pStyle w:val="FirstParagraph"/>
      </w:pPr>
      <w:r>
        <w:t xml:space="preserve">During the last 30 days, how often did you have negative thoughts that repeated over and over? (0 = None of the time, 4 = All of the time).</w:t>
      </w:r>
    </w:p>
    <w:bookmarkEnd w:id="127"/>
    <w:bookmarkStart w:id="131" w:name="forgivingness-versus-vengeful-rumination"/>
    <w:p>
      <w:pPr>
        <w:pStyle w:val="Heading3"/>
      </w:pPr>
      <w:r>
        <w:t xml:space="preserve">Forgivingness versus Vengeful Rumination</w:t>
      </w:r>
    </w:p>
    <w:p>
      <w:pPr>
        <w:pStyle w:val="FirstParagraph"/>
      </w:pPr>
      <w:r>
        <w:t xml:space="preserve">Items are,</w:t>
      </w:r>
      <w:r>
        <w:t xml:space="preserve"> </w:t>
      </w:r>
      <w:r>
        <w:t xml:space="preserve">“</w:t>
      </w:r>
      <w:r>
        <w:t xml:space="preserve">Sometimes I can’t sleep because of thinking about past wrongs I have suffered</w:t>
      </w:r>
      <w:r>
        <w:t xml:space="preserve">”</w:t>
      </w:r>
      <w:r>
        <w:t xml:space="preserve"> </w:t>
      </w:r>
      <w:r>
        <w:t xml:space="preserve">(1 = Strongly Disagree, 7 = Strongly Agree),</w:t>
      </w:r>
      <w:r>
        <w:t xml:space="preserve"> </w:t>
      </w:r>
      <w:r>
        <w:t xml:space="preserve">“</w:t>
      </w:r>
      <w:r>
        <w:t xml:space="preserve">I can usually forgive and forget when someone does me wrong</w:t>
      </w:r>
      <w:r>
        <w:t xml:space="preserve">”</w:t>
      </w:r>
      <w:r>
        <w:t xml:space="preserve"> </w:t>
      </w:r>
      <w:r>
        <w:t xml:space="preserve">(1 = Strongly Disagree, 7 = Strongly Agree), and</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p>
      <w:pPr>
        <w:numPr>
          <w:ilvl w:val="0"/>
          <w:numId w:val="1007"/>
        </w:numPr>
        <w:pStyle w:val="Compact"/>
      </w:pPr>
      <w:r>
        <w:rPr>
          <w:bCs/>
          <w:b/>
        </w:rPr>
        <w:t xml:space="preserve">Recruitment:</w:t>
      </w:r>
      <w:r>
        <w:t xml:space="preserve"> </w:t>
      </w:r>
      <w:r>
        <w:t xml:space="preserve">Detail the recruitment strategy, including outreach methods and sources of recruitment.</w:t>
      </w:r>
    </w:p>
    <w:p>
      <w:pPr>
        <w:pStyle w:val="FirstParagraph"/>
      </w:pPr>
      <w:r>
        <w:t xml:space="preserve">RAs - re related to different cultural groups.</w:t>
      </w:r>
    </w:p>
    <w:p>
      <w:pPr>
        <w:numPr>
          <w:ilvl w:val="0"/>
          <w:numId w:val="1008"/>
        </w:numPr>
        <w:pStyle w:val="Compact"/>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129" name="Picture"/>
            <a:graphic>
              <a:graphicData uri="http://schemas.openxmlformats.org/drawingml/2006/picture">
                <pic:pic>
                  <pic:nvPicPr>
                    <pic:cNvPr descr="protocol_APA_files/figure-docx/unnamed-chunk-7-1.png" id="130" name="Picture"/>
                    <pic:cNvPicPr>
                      <a:picLocks noChangeArrowheads="1" noChangeAspect="1"/>
                    </pic:cNvPicPr>
                  </pic:nvPicPr>
                  <pic:blipFill>
                    <a:blip r:embed="rId128"/>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09"/>
        </w:numPr>
        <w:pStyle w:val="Compact"/>
      </w:pPr>
      <w:r>
        <w:rPr>
          <w:bCs/>
          <w:b/>
        </w:rPr>
        <w:t xml:space="preserve">Procedure:</w:t>
      </w:r>
      <w:r>
        <w:t xml:space="preserve"> </w:t>
      </w:r>
      <w:r>
        <w:t xml:space="preserve">Outline the procedure for data collection at each time point, whether face-to-face or virtual.</w:t>
      </w:r>
    </w:p>
    <w:p>
      <w:pPr>
        <w:numPr>
          <w:ilvl w:val="0"/>
          <w:numId w:val="1010"/>
        </w:numPr>
        <w:pStyle w:val="Compact"/>
      </w:pPr>
      <w:r>
        <w:t xml:space="preserve">Community consultation in 2022: Aqsa and Parus</w:t>
      </w:r>
    </w:p>
    <w:p>
      <w:pPr>
        <w:numPr>
          <w:ilvl w:val="0"/>
          <w:numId w:val="1010"/>
        </w:numPr>
        <w:pStyle w:val="Compact"/>
      </w:pPr>
      <w:r>
        <w:t xml:space="preserve">Current Wave general procedure: Usman and Jamila with input from all RA’s: Farah, Hussain, Hala, Zarqa, Zahra H, Nasrat</w:t>
      </w:r>
    </w:p>
    <w:p>
      <w:pPr>
        <w:numPr>
          <w:ilvl w:val="0"/>
          <w:numId w:val="1011"/>
        </w:numPr>
        <w:pStyle w:val="Compact"/>
      </w:pPr>
      <w:r>
        <w:rPr>
          <w:bCs/>
          <w:b/>
        </w:rPr>
        <w:t xml:space="preserve">Ethical Considerations:</w:t>
      </w:r>
      <w:r>
        <w:t xml:space="preserve"> </w:t>
      </w:r>
      <w:r>
        <w:t xml:space="preserve">Discuss ethical approval obtained for the study and procedures for obtaining informed consent from participants.</w:t>
      </w:r>
    </w:p>
    <w:bookmarkEnd w:id="131"/>
    <w:bookmarkEnd w:id="132"/>
    <w:bookmarkEnd w:id="133"/>
    <w:bookmarkStart w:id="134" w:name="ethics"/>
    <w:p>
      <w:pPr>
        <w:pStyle w:val="Heading1"/>
      </w:pPr>
      <w:r>
        <w:t xml:space="preserve">Ethics</w:t>
      </w:r>
    </w:p>
    <w:p>
      <w:pPr>
        <w:numPr>
          <w:ilvl w:val="0"/>
          <w:numId w:val="1012"/>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12"/>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134"/>
    <w:bookmarkStart w:id="135" w:name="expected-outcomes"/>
    <w:p>
      <w:pPr>
        <w:pStyle w:val="Heading1"/>
      </w:pPr>
      <w:r>
        <w:t xml:space="preserve">Expected Outcomes</w:t>
      </w:r>
    </w:p>
    <w:p>
      <w:pPr>
        <w:numPr>
          <w:ilvl w:val="0"/>
          <w:numId w:val="1013"/>
        </w:numPr>
        <w:pStyle w:val="Compact"/>
      </w:pPr>
      <w:r>
        <w:t xml:space="preserve">Anticipated findings based on the research questions and objectives.</w:t>
      </w:r>
    </w:p>
    <w:p>
      <w:pPr>
        <w:numPr>
          <w:ilvl w:val="0"/>
          <w:numId w:val="1013"/>
        </w:numPr>
        <w:pStyle w:val="Compact"/>
      </w:pPr>
      <w:r>
        <w:t xml:space="preserve">Potential contributions of the study to the field of mental health research and implications for policy and practice.</w:t>
      </w:r>
    </w:p>
    <w:bookmarkEnd w:id="135"/>
    <w:bookmarkStart w:id="136" w:name="timeline"/>
    <w:p>
      <w:pPr>
        <w:pStyle w:val="Heading1"/>
      </w:pPr>
      <w:r>
        <w:t xml:space="preserve">Timeline</w:t>
      </w:r>
    </w:p>
    <w:p>
      <w:pPr>
        <w:numPr>
          <w:ilvl w:val="0"/>
          <w:numId w:val="1014"/>
        </w:numPr>
        <w:pStyle w:val="Compact"/>
      </w:pPr>
      <w:r>
        <w:t xml:space="preserve">Present a timeline indicating key milestones in the study, including recruitment periods, data collection waves, and analysis phases.</w:t>
      </w:r>
    </w:p>
    <w:bookmarkEnd w:id="136"/>
    <w:bookmarkStart w:id="140" w:name="waves---years---with-nzavs-corresponding"/>
    <w:p>
      <w:pPr>
        <w:pStyle w:val="Heading1"/>
      </w:pPr>
      <w:r>
        <w:t xml:space="preserve">Waves - years - with NZAVS corresponding</w:t>
      </w:r>
    </w:p>
    <w:p>
      <w:pPr>
        <w:numPr>
          <w:ilvl w:val="0"/>
          <w:numId w:val="1015"/>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138" name="Picture"/>
            <a:graphic>
              <a:graphicData uri="http://schemas.openxmlformats.org/drawingml/2006/picture">
                <pic:pic>
                  <pic:nvPicPr>
                    <pic:cNvPr descr="protocol_APA_files/figure-docx/unnamed-chunk-10-1.png" id="139" name="Picture"/>
                    <pic:cNvPicPr>
                      <a:picLocks noChangeArrowheads="1" noChangeAspect="1"/>
                    </pic:cNvPicPr>
                  </pic:nvPicPr>
                  <pic:blipFill>
                    <a:blip r:embed="rId137"/>
                    <a:stretch>
                      <a:fillRect/>
                    </a:stretch>
                  </pic:blipFill>
                  <pic:spPr bwMode="auto">
                    <a:xfrm>
                      <a:off x="0" y="0"/>
                      <a:ext cx="5943600" cy="5943600"/>
                    </a:xfrm>
                    <a:prstGeom prst="rect">
                      <a:avLst/>
                    </a:prstGeom>
                    <a:noFill/>
                    <a:ln w="9525">
                      <a:noFill/>
                      <a:headEnd/>
                      <a:tailEnd/>
                    </a:ln>
                  </pic:spPr>
                </pic:pic>
              </a:graphicData>
            </a:graphic>
          </wp:inline>
        </w:drawing>
      </w:r>
    </w:p>
    <w:bookmarkEnd w:id="140"/>
    <w:bookmarkStart w:id="141" w:name="strengths-and-limitations"/>
    <w:p>
      <w:pPr>
        <w:pStyle w:val="Heading1"/>
      </w:pPr>
      <w:r>
        <w:t xml:space="preserve">Strengths and Limitations</w:t>
      </w:r>
    </w:p>
    <w:p>
      <w:pPr>
        <w:numPr>
          <w:ilvl w:val="0"/>
          <w:numId w:val="1016"/>
        </w:numPr>
        <w:pStyle w:val="Compact"/>
      </w:pPr>
      <w:r>
        <w:t xml:space="preserve">Zahra E, Rizwan, Somia</w:t>
      </w:r>
    </w:p>
    <w:p>
      <w:pPr>
        <w:pStyle w:val="FirstParagraph"/>
      </w:pPr>
      <w:r>
        <w:t xml:space="preserve">Mentions Jamila’s and Qual here..</w:t>
      </w:r>
    </w:p>
    <w:bookmarkEnd w:id="141"/>
    <w:bookmarkStart w:id="142"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17"/>
        </w:numPr>
        <w:pStyle w:val="Compact"/>
      </w:pPr>
      <w:r>
        <w:t xml:space="preserve">Zahra E, Rizwan, Somia</w:t>
      </w:r>
    </w:p>
    <w:p>
      <w:r>
        <w:br w:type="page"/>
      </w:r>
    </w:p>
    <w:bookmarkEnd w:id="142"/>
    <w:bookmarkStart w:id="218" w:name="references"/>
    <w:p>
      <w:pPr>
        <w:pStyle w:val="Heading1"/>
      </w:pPr>
      <w:r>
        <w:t xml:space="preserve">References</w:t>
      </w:r>
    </w:p>
    <w:bookmarkStart w:id="196" w:name="refs"/>
    <w:bookmarkStart w:id="144"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43">
        <w:r>
          <w:rPr>
            <w:rStyle w:val="Hyperlink"/>
          </w:rPr>
          <w:t xml:space="preserve">http://newsroom.co.nz/2020/08/18/what-is-islams-appeal-to-maori/</w:t>
        </w:r>
      </w:hyperlink>
    </w:p>
    <w:bookmarkEnd w:id="144"/>
    <w:bookmarkStart w:id="145"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45"/>
    <w:bookmarkStart w:id="147" w:name="ref-barger2010"/>
    <w:p>
      <w:pPr>
        <w:pStyle w:val="Bibliography"/>
      </w:pPr>
      <w:r>
        <w:t xml:space="preserve">Barger, B., Nabi, R., &amp; Hong, L. Y. (2010). Standard back-translation procedures may not capture proper emotion concepts: A case study of Chinese disgust terms.</w:t>
      </w:r>
      <w:r>
        <w:t xml:space="preserve"> </w:t>
      </w:r>
      <w:r>
        <w:rPr>
          <w:iCs/>
          <w:i/>
        </w:rPr>
        <w:t xml:space="preserve">Emotion</w:t>
      </w:r>
      <w:r>
        <w:t xml:space="preserve">,</w:t>
      </w:r>
      <w:r>
        <w:t xml:space="preserve"> </w:t>
      </w:r>
      <w:r>
        <w:rPr>
          <w:iCs/>
          <w:i/>
        </w:rPr>
        <w:t xml:space="preserve">10</w:t>
      </w:r>
      <w:r>
        <w:t xml:space="preserve">(5), 703–711.</w:t>
      </w:r>
      <w:r>
        <w:t xml:space="preserve"> </w:t>
      </w:r>
      <w:hyperlink r:id="rId146">
        <w:r>
          <w:rPr>
            <w:rStyle w:val="Hyperlink"/>
          </w:rPr>
          <w:t xml:space="preserve">https://doi.org/10.1037/a0021453</w:t>
        </w:r>
      </w:hyperlink>
    </w:p>
    <w:bookmarkEnd w:id="147"/>
    <w:bookmarkStart w:id="149"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48">
        <w:r>
          <w:rPr>
            <w:rStyle w:val="Hyperlink"/>
          </w:rPr>
          <w:t xml:space="preserve">https://doi.org/10.1093/pnasnexus/pgad242</w:t>
        </w:r>
      </w:hyperlink>
    </w:p>
    <w:bookmarkEnd w:id="149"/>
    <w:bookmarkStart w:id="151"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50">
        <w:r>
          <w:rPr>
            <w:rStyle w:val="Hyperlink"/>
          </w:rPr>
          <w:t xml:space="preserve">https://doi.org/10.1038/s41598-022-05678-x</w:t>
        </w:r>
      </w:hyperlink>
    </w:p>
    <w:bookmarkEnd w:id="151"/>
    <w:bookmarkStart w:id="152"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52"/>
    <w:bookmarkStart w:id="154" w:name="ref-fenn2020"/>
    <w:p>
      <w:pPr>
        <w:pStyle w:val="Bibliography"/>
      </w:pPr>
      <w:r>
        <w:t xml:space="preserve">Fenn, J., Tan, C.-S., &amp; George, S. (2020). Development, validation and translation of psychological tests.</w:t>
      </w:r>
      <w:r>
        <w:t xml:space="preserve"> </w:t>
      </w:r>
      <w:r>
        <w:rPr>
          <w:iCs/>
          <w:i/>
        </w:rPr>
        <w:t xml:space="preserve">BJPsych Advances</w:t>
      </w:r>
      <w:r>
        <w:t xml:space="preserve">,</w:t>
      </w:r>
      <w:r>
        <w:t xml:space="preserve"> </w:t>
      </w:r>
      <w:r>
        <w:rPr>
          <w:iCs/>
          <w:i/>
        </w:rPr>
        <w:t xml:space="preserve">26</w:t>
      </w:r>
      <w:r>
        <w:t xml:space="preserve">(5), 306–315.</w:t>
      </w:r>
      <w:r>
        <w:t xml:space="preserve"> </w:t>
      </w:r>
      <w:hyperlink r:id="rId153">
        <w:r>
          <w:rPr>
            <w:rStyle w:val="Hyperlink"/>
          </w:rPr>
          <w:t xml:space="preserve">https://doi.org/10.1192/bja.2020.33</w:t>
        </w:r>
      </w:hyperlink>
    </w:p>
    <w:bookmarkEnd w:id="154"/>
    <w:bookmarkStart w:id="156"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55">
        <w:r>
          <w:rPr>
            <w:rStyle w:val="Hyperlink"/>
          </w:rPr>
          <w:t xml:space="preserve">https://www.1news.co.nz/2023/03/12/online-hate-towards-muslims-increasing-since-mosque-attacks/</w:t>
        </w:r>
      </w:hyperlink>
    </w:p>
    <w:bookmarkEnd w:id="156"/>
    <w:bookmarkStart w:id="158"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57">
        <w:r>
          <w:rPr>
            <w:rStyle w:val="Hyperlink"/>
          </w:rPr>
          <w:t xml:space="preserve">https://doi.org/10.1080/1177083x.2020.1733032</w:t>
        </w:r>
      </w:hyperlink>
    </w:p>
    <w:bookmarkEnd w:id="158"/>
    <w:bookmarkStart w:id="159"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59"/>
    <w:bookmarkStart w:id="161"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60">
        <w:r>
          <w:rPr>
            <w:rStyle w:val="Hyperlink"/>
          </w:rPr>
          <w:t xml:space="preserve">https://www.rnz.co.nz/news/national/463304/islamophobia-after-christchurch-terror-attacks-quadrupled-australian-report</w:t>
        </w:r>
      </w:hyperlink>
    </w:p>
    <w:bookmarkEnd w:id="161"/>
    <w:bookmarkStart w:id="163"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62">
        <w:r>
          <w:rPr>
            <w:rStyle w:val="Hyperlink"/>
          </w:rPr>
          <w:t xml:space="preserve">https://www.theguardian.com/world/2019/mar/15/one-of-new-zealands-darkest-days-jacinda-ardern-responds-to-christchurch-shooting</w:t>
        </w:r>
      </w:hyperlink>
    </w:p>
    <w:bookmarkEnd w:id="163"/>
    <w:bookmarkStart w:id="165" w:name="ref-junaid2024"/>
    <w:p>
      <w:pPr>
        <w:pStyle w:val="Bibliography"/>
      </w:pPr>
      <w:r>
        <w:t xml:space="preserve">Junaid, F. Ali., Cassim, S., &amp; Khan-Janif, J. (2024).</w:t>
      </w:r>
      <w:r>
        <w:t xml:space="preserve"> </w:t>
      </w:r>
      <w:r>
        <w:rPr>
          <w:iCs/>
          <w:i/>
        </w:rPr>
        <w:t xml:space="preserve">Muslims’ experiences of inclusion, discrimination, islamophobia and wellbeing in aotearoa new zealand</w:t>
      </w:r>
      <w:r>
        <w:t xml:space="preserve">.</w:t>
      </w:r>
      <w:r>
        <w:t xml:space="preserve"> </w:t>
      </w:r>
      <w:hyperlink r:id="rId164">
        <w:r>
          <w:rPr>
            <w:rStyle w:val="Hyperlink"/>
          </w:rPr>
          <w:t xml:space="preserve">https://doi.org/10.13140/RG.2.2.12693.74725/1</w:t>
        </w:r>
      </w:hyperlink>
    </w:p>
    <w:bookmarkEnd w:id="165"/>
    <w:bookmarkStart w:id="167"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66">
        <w:r>
          <w:rPr>
            <w:rStyle w:val="Hyperlink"/>
          </w:rPr>
          <w:t xml:space="preserve">https://doi.org/10.1386/jammr_00077_1</w:t>
        </w:r>
      </w:hyperlink>
    </w:p>
    <w:bookmarkEnd w:id="167"/>
    <w:bookmarkStart w:id="169"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68">
        <w:r>
          <w:rPr>
            <w:rStyle w:val="Hyperlink"/>
          </w:rPr>
          <w:t xml:space="preserve">https://doi.org/10.1002/mpr.310</w:t>
        </w:r>
      </w:hyperlink>
    </w:p>
    <w:bookmarkEnd w:id="169"/>
    <w:bookmarkStart w:id="170" w:name="ref-newzeal2024"/>
    <w:p>
      <w:pPr>
        <w:pStyle w:val="Bibliography"/>
      </w:pPr>
      <w:r>
        <w:rPr>
          <w:iCs/>
          <w:i/>
        </w:rPr>
        <w:t xml:space="preserve">New Zealand Attitudes and Values Study</w:t>
      </w:r>
      <w:r>
        <w:t xml:space="preserve">. (2024).</w:t>
      </w:r>
      <w:r>
        <w:t xml:space="preserve"> </w:t>
      </w:r>
      <w:hyperlink r:id="rId101">
        <w:r>
          <w:rPr>
            <w:rStyle w:val="Hyperlink"/>
          </w:rPr>
          <w:t xml:space="preserve">https://osf.io/75snb/</w:t>
        </w:r>
      </w:hyperlink>
    </w:p>
    <w:bookmarkEnd w:id="170"/>
    <w:bookmarkStart w:id="172" w:name="ref-ozolins2020"/>
    <w:p>
      <w:pPr>
        <w:pStyle w:val="Bibliography"/>
      </w:pPr>
      <w:r>
        <w:t xml:space="preserve">Ozolins, U., Hale, S., Cheng, X., Hyatt, A., &amp; Schofield, P. (2020). Translation and back-translation methodology in health research</w:t>
      </w:r>
      <w:r>
        <w:t xml:space="preserve"> </w:t>
      </w:r>
      <w:r>
        <w:t xml:space="preserve"> </w:t>
      </w:r>
      <w:r>
        <w:t xml:space="preserve">a critique.</w:t>
      </w:r>
      <w:r>
        <w:t xml:space="preserve"> </w:t>
      </w:r>
      <w:r>
        <w:rPr>
          <w:iCs/>
          <w:i/>
        </w:rPr>
        <w:t xml:space="preserve">Expert Review of Pharmacoeconomics &amp; Outcomes Research</w:t>
      </w:r>
      <w:r>
        <w:t xml:space="preserve">,</w:t>
      </w:r>
      <w:r>
        <w:t xml:space="preserve"> </w:t>
      </w:r>
      <w:r>
        <w:rPr>
          <w:iCs/>
          <w:i/>
        </w:rPr>
        <w:t xml:space="preserve">20</w:t>
      </w:r>
      <w:r>
        <w:t xml:space="preserve">(1), 69–77.</w:t>
      </w:r>
      <w:r>
        <w:t xml:space="preserve"> </w:t>
      </w:r>
      <w:hyperlink r:id="rId171">
        <w:r>
          <w:rPr>
            <w:rStyle w:val="Hyperlink"/>
          </w:rPr>
          <w:t xml:space="preserve">https://doi.org/10.1080/14737167.2020.1734453</w:t>
        </w:r>
      </w:hyperlink>
    </w:p>
    <w:bookmarkEnd w:id="172"/>
    <w:bookmarkStart w:id="174"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73">
        <w:r>
          <w:rPr>
            <w:rStyle w:val="Hyperlink"/>
          </w:rPr>
          <w:t xml:space="preserve">https://www.rnz.co.nz/news/on-the-inside/384911/islamic-women-s-council-repeatedly-lobbied-to-stem-discrimination</w:t>
        </w:r>
      </w:hyperlink>
    </w:p>
    <w:bookmarkEnd w:id="174"/>
    <w:bookmarkStart w:id="176"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75">
        <w:r>
          <w:rPr>
            <w:rStyle w:val="Hyperlink"/>
          </w:rPr>
          <w:t xml:space="preserve">https://doi.org/10.1080/1177083x.2020.1747503</w:t>
        </w:r>
      </w:hyperlink>
    </w:p>
    <w:bookmarkEnd w:id="176"/>
    <w:bookmarkStart w:id="177" w:name="ref-raissi2024"/>
    <w:p>
      <w:pPr>
        <w:pStyle w:val="Bibliography"/>
      </w:pPr>
      <w:r>
        <w:t xml:space="preserve">Raissi, H. (2024).</w:t>
      </w:r>
      <w:r>
        <w:t xml:space="preserve"> </w:t>
      </w:r>
      <w:r>
        <w:rPr>
          <w:iCs/>
          <w:i/>
        </w:rPr>
        <w:t xml:space="preserve">Exploring senses of belonging: A multidimensional study of muslim immigrant youth in new zealand</w:t>
      </w:r>
      <w:r>
        <w:t xml:space="preserve"> </w:t>
      </w:r>
      <w:r>
        <w:t xml:space="preserve">[PhD thesis].</w:t>
      </w:r>
    </w:p>
    <w:bookmarkEnd w:id="177"/>
    <w:bookmarkStart w:id="179"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78">
        <w:r>
          <w:rPr>
            <w:rStyle w:val="Hyperlink"/>
          </w:rPr>
          <w:t xml:space="preserve">https://christchurchattack.royalcommission.nz</w:t>
        </w:r>
      </w:hyperlink>
    </w:p>
    <w:bookmarkEnd w:id="179"/>
    <w:bookmarkStart w:id="180"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80"/>
    <w:bookmarkStart w:id="182"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81">
        <w:r>
          <w:rPr>
            <w:rStyle w:val="Hyperlink"/>
          </w:rPr>
          <w:t xml:space="preserve">https://doi.org/10.1371/journal.pone.0174606</w:t>
        </w:r>
      </w:hyperlink>
    </w:p>
    <w:bookmarkEnd w:id="182"/>
    <w:bookmarkStart w:id="184" w:name="ref-sibley2024"/>
    <w:p>
      <w:pPr>
        <w:pStyle w:val="Bibliography"/>
      </w:pPr>
      <w:r>
        <w:t xml:space="preserve">Sibley, C. G. (2024).</w:t>
      </w:r>
      <w:r>
        <w:t xml:space="preserve"> </w:t>
      </w:r>
      <w:r>
        <w:rPr>
          <w:iCs/>
          <w:i/>
        </w:rPr>
        <w:t xml:space="preserve">New Zealand Attitudes and Values Study</w:t>
      </w:r>
      <w:r>
        <w:t xml:space="preserve">.</w:t>
      </w:r>
      <w:r>
        <w:t xml:space="preserve"> </w:t>
      </w:r>
      <w:hyperlink r:id="rId183">
        <w:r>
          <w:rPr>
            <w:rStyle w:val="Hyperlink"/>
          </w:rPr>
          <w:t xml:space="preserve">https://osf.io/75snb/wiki/home/</w:t>
        </w:r>
      </w:hyperlink>
    </w:p>
    <w:bookmarkEnd w:id="184"/>
    <w:bookmarkStart w:id="185"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85"/>
    <w:bookmarkStart w:id="187" w:name="ref-statsnz2024"/>
    <w:p>
      <w:pPr>
        <w:pStyle w:val="Bibliography"/>
      </w:pPr>
      <w:r>
        <w:rPr>
          <w:iCs/>
          <w:i/>
        </w:rPr>
        <w:t xml:space="preserve">Stats NZ</w:t>
      </w:r>
      <w:r>
        <w:t xml:space="preserve">. (2024).</w:t>
      </w:r>
      <w:r>
        <w:t xml:space="preserve"> </w:t>
      </w:r>
      <w:hyperlink r:id="rId186">
        <w:r>
          <w:rPr>
            <w:rStyle w:val="Hyperlink"/>
          </w:rPr>
          <w:t xml:space="preserve">https://www.stats.govt.nz/</w:t>
        </w:r>
      </w:hyperlink>
    </w:p>
    <w:bookmarkEnd w:id="187"/>
    <w:bookmarkStart w:id="189"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188">
        <w:r>
          <w:rPr>
            <w:rStyle w:val="Hyperlink"/>
          </w:rPr>
          <w:t xml:space="preserve">https://doi.org/10.1192/bjo.2023.641</w:t>
        </w:r>
      </w:hyperlink>
    </w:p>
    <w:bookmarkEnd w:id="189"/>
    <w:bookmarkStart w:id="190"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190"/>
    <w:bookmarkStart w:id="192"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191">
        <w:r>
          <w:rPr>
            <w:rStyle w:val="Hyperlink"/>
          </w:rPr>
          <w:t xml:space="preserve">http://theconversation.com/hate-crimes-against-muslims-spiked-after-the-mosque-attacks-and-ardern-promises-to-make-such-abuse-illegal-147347</w:t>
        </w:r>
      </w:hyperlink>
    </w:p>
    <w:bookmarkEnd w:id="192"/>
    <w:bookmarkStart w:id="194" w:name="ref-worldle2019"/>
    <w:p>
      <w:pPr>
        <w:pStyle w:val="Bibliography"/>
      </w:pPr>
      <w:r>
        <w:rPr>
          <w:iCs/>
          <w:i/>
        </w:rPr>
        <w:t xml:space="preserve">World leaders condemn New Zealand mosque attacks</w:t>
      </w:r>
      <w:r>
        <w:t xml:space="preserve">. (2019).</w:t>
      </w:r>
      <w:r>
        <w:t xml:space="preserve"> </w:t>
      </w:r>
      <w:hyperlink r:id="rId193">
        <w:r>
          <w:rPr>
            <w:rStyle w:val="Hyperlink"/>
          </w:rPr>
          <w:t xml:space="preserve">https://www.aljazeera.com/news/2019/3/15/the-world-reacts-to-new-zealand-mosque-attacks</w:t>
        </w:r>
      </w:hyperlink>
    </w:p>
    <w:bookmarkEnd w:id="194"/>
    <w:bookmarkStart w:id="195"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95"/>
    <w:bookmarkEnd w:id="196"/>
    <w:p>
      <w:r>
        <w:br w:type="page"/>
      </w:r>
    </w:p>
    <w:p>
      <w:r>
        <w:br w:type="page"/>
      </w:r>
    </w:p>
    <w:bookmarkStart w:id="197" w:name="tbl-muslim-population"/>
    <w:p>
      <w:pPr>
        <w:pStyle w:val="FigureWithoutNote"/>
      </w:pPr>
      <w:r>
        <w:t xml:space="preserve">Table 1</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Muslim Population by Selected Cities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City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Population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Research Assistants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Auckland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Christchurch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Hamilton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Wellington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Palmerston North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Dunedin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197"/>
    <w:p>
      <w:r>
        <w:br w:type="page"/>
      </w:r>
    </w:p>
    <w:bookmarkStart w:id="201"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99" name="Picture"/>
            <a:graphic>
              <a:graphicData uri="http://schemas.openxmlformats.org/drawingml/2006/picture">
                <pic:pic>
                  <pic:nvPicPr>
                    <pic:cNvPr descr="figs/warmth.png" id="200" name="Picture"/>
                    <pic:cNvPicPr>
                      <a:picLocks noChangeArrowheads="1" noChangeAspect="1"/>
                    </pic:cNvPicPr>
                  </pic:nvPicPr>
                  <pic:blipFill>
                    <a:blip r:embed="rId198"/>
                    <a:stretch>
                      <a:fillRect/>
                    </a:stretch>
                  </pic:blipFill>
                  <pic:spPr bwMode="auto">
                    <a:xfrm>
                      <a:off x="0" y="0"/>
                      <a:ext cx="4457700" cy="1591623"/>
                    </a:xfrm>
                    <a:prstGeom prst="rect">
                      <a:avLst/>
                    </a:prstGeom>
                    <a:noFill/>
                    <a:ln w="9525">
                      <a:noFill/>
                      <a:headEnd/>
                      <a:tailEnd/>
                    </a:ln>
                  </pic:spPr>
                </pic:pic>
              </a:graphicData>
            </a:graphic>
          </wp:inline>
        </w:drawing>
      </w:r>
    </w:p>
    <w:bookmarkEnd w:id="201"/>
    <w:p>
      <w:pPr>
        <w:pStyle w:val="FigureNote"/>
      </w:pPr>
      <w:r>
        <w:rPr>
          <w:iCs/>
          <w:i/>
        </w:rPr>
        <w:t xml:space="preserve">Note</w:t>
      </w:r>
      <w:r>
        <w:t xml:space="preserve">. From NZAVS Wave 15</w:t>
      </w:r>
      <w:r>
        <w:t xml:space="preserve"> </w:t>
      </w:r>
      <w:hyperlink r:id="rId101">
        <w:r>
          <w:rPr>
            <w:rStyle w:val="Hyperlink"/>
          </w:rPr>
          <w:t xml:space="preserve">https://osf.io/75snb/</w:t>
        </w:r>
      </w:hyperlink>
    </w:p>
    <w:p>
      <w:r>
        <w:br w:type="page"/>
      </w:r>
    </w:p>
    <w:bookmarkStart w:id="205"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203" name="Picture"/>
            <a:graphic>
              <a:graphicData uri="http://schemas.openxmlformats.org/drawingml/2006/picture">
                <pic:pic>
                  <pic:nvPicPr>
                    <pic:cNvPr descr="figs/chronic-disease.png" id="204" name="Picture"/>
                    <pic:cNvPicPr>
                      <a:picLocks noChangeArrowheads="1" noChangeAspect="1"/>
                    </pic:cNvPicPr>
                  </pic:nvPicPr>
                  <pic:blipFill>
                    <a:blip r:embed="rId202"/>
                    <a:stretch>
                      <a:fillRect/>
                    </a:stretch>
                  </pic:blipFill>
                  <pic:spPr bwMode="auto">
                    <a:xfrm>
                      <a:off x="0" y="0"/>
                      <a:ext cx="4457700" cy="2103365"/>
                    </a:xfrm>
                    <a:prstGeom prst="rect">
                      <a:avLst/>
                    </a:prstGeom>
                    <a:noFill/>
                    <a:ln w="9525">
                      <a:noFill/>
                      <a:headEnd/>
                      <a:tailEnd/>
                    </a:ln>
                  </pic:spPr>
                </pic:pic>
              </a:graphicData>
            </a:graphic>
          </wp:inline>
        </w:drawing>
      </w:r>
    </w:p>
    <w:bookmarkEnd w:id="205"/>
    <w:p>
      <w:pPr>
        <w:pStyle w:val="FigureNote"/>
      </w:pPr>
      <w:r>
        <w:rPr>
          <w:iCs/>
          <w:i/>
        </w:rPr>
        <w:t xml:space="preserve">Note</w:t>
      </w:r>
      <w:r>
        <w:t xml:space="preserve">. From NZAVS Wave 15</w:t>
      </w:r>
      <w:r>
        <w:t xml:space="preserve"> </w:t>
      </w:r>
      <w:hyperlink r:id="rId101">
        <w:r>
          <w:rPr>
            <w:rStyle w:val="Hyperlink"/>
          </w:rPr>
          <w:t xml:space="preserve">https://osf.io/75snb/</w:t>
        </w:r>
      </w:hyperlink>
    </w:p>
    <w:p>
      <w:r>
        <w:br w:type="page"/>
      </w:r>
    </w:p>
    <w:bookmarkStart w:id="209"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207" name="Picture"/>
            <a:graphic>
              <a:graphicData uri="http://schemas.openxmlformats.org/drawingml/2006/picture">
                <pic:pic>
                  <pic:nvPicPr>
                    <pic:cNvPr descr="figs/ethnic-groups.png" id="208" name="Picture"/>
                    <pic:cNvPicPr>
                      <a:picLocks noChangeArrowheads="1" noChangeAspect="1"/>
                    </pic:cNvPicPr>
                  </pic:nvPicPr>
                  <pic:blipFill>
                    <a:blip r:embed="rId206"/>
                    <a:stretch>
                      <a:fillRect/>
                    </a:stretch>
                  </pic:blipFill>
                  <pic:spPr bwMode="auto">
                    <a:xfrm>
                      <a:off x="0" y="0"/>
                      <a:ext cx="4457700" cy="2660240"/>
                    </a:xfrm>
                    <a:prstGeom prst="rect">
                      <a:avLst/>
                    </a:prstGeom>
                    <a:noFill/>
                    <a:ln w="9525">
                      <a:noFill/>
                      <a:headEnd/>
                      <a:tailEnd/>
                    </a:ln>
                  </pic:spPr>
                </pic:pic>
              </a:graphicData>
            </a:graphic>
          </wp:inline>
        </w:drawing>
      </w:r>
    </w:p>
    <w:bookmarkEnd w:id="209"/>
    <w:p>
      <w:pPr>
        <w:pStyle w:val="FigureNote"/>
      </w:pPr>
      <w:r>
        <w:rPr>
          <w:iCs/>
          <w:i/>
        </w:rPr>
        <w:t xml:space="preserve">Note</w:t>
      </w:r>
      <w:r>
        <w:t xml:space="preserve">. From NZAVS Wave 15</w:t>
      </w:r>
      <w:r>
        <w:t xml:space="preserve"> </w:t>
      </w:r>
      <w:hyperlink r:id="rId101">
        <w:r>
          <w:rPr>
            <w:rStyle w:val="Hyperlink"/>
          </w:rPr>
          <w:t xml:space="preserve">https://osf.io/75snb/</w:t>
        </w:r>
      </w:hyperlink>
    </w:p>
    <w:p>
      <w:r>
        <w:br w:type="page"/>
      </w:r>
    </w:p>
    <w:bookmarkStart w:id="213"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211" name="Picture"/>
            <a:graphic>
              <a:graphicData uri="http://schemas.openxmlformats.org/drawingml/2006/picture">
                <pic:pic>
                  <pic:nvPicPr>
                    <pic:cNvPr descr="figs/kessler-6.png" id="212" name="Picture"/>
                    <pic:cNvPicPr>
                      <a:picLocks noChangeArrowheads="1" noChangeAspect="1"/>
                    </pic:cNvPicPr>
                  </pic:nvPicPr>
                  <pic:blipFill>
                    <a:blip r:embed="rId210"/>
                    <a:stretch>
                      <a:fillRect/>
                    </a:stretch>
                  </pic:blipFill>
                  <pic:spPr bwMode="auto">
                    <a:xfrm>
                      <a:off x="0" y="0"/>
                      <a:ext cx="4457700" cy="2009462"/>
                    </a:xfrm>
                    <a:prstGeom prst="rect">
                      <a:avLst/>
                    </a:prstGeom>
                    <a:noFill/>
                    <a:ln w="9525">
                      <a:noFill/>
                      <a:headEnd/>
                      <a:tailEnd/>
                    </a:ln>
                  </pic:spPr>
                </pic:pic>
              </a:graphicData>
            </a:graphic>
          </wp:inline>
        </w:drawing>
      </w:r>
    </w:p>
    <w:bookmarkEnd w:id="213"/>
    <w:p>
      <w:pPr>
        <w:pStyle w:val="FigureNote"/>
      </w:pPr>
      <w:r>
        <w:rPr>
          <w:iCs/>
          <w:i/>
        </w:rPr>
        <w:t xml:space="preserve">Note</w:t>
      </w:r>
      <w:r>
        <w:t xml:space="preserve">. From NZAVS Wave 15</w:t>
      </w:r>
      <w:r>
        <w:t xml:space="preserve"> </w:t>
      </w:r>
      <w:hyperlink r:id="rId101">
        <w:r>
          <w:rPr>
            <w:rStyle w:val="Hyperlink"/>
          </w:rPr>
          <w:t xml:space="preserve">https://osf.io/75snb/</w:t>
        </w:r>
      </w:hyperlink>
    </w:p>
    <w:p>
      <w:r>
        <w:br w:type="page"/>
      </w:r>
    </w:p>
    <w:bookmarkStart w:id="217"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215" name="Picture"/>
            <a:graphic>
              <a:graphicData uri="http://schemas.openxmlformats.org/drawingml/2006/picture">
                <pic:pic>
                  <pic:nvPicPr>
                    <pic:cNvPr descr="figs/life-sat.png" id="216" name="Picture"/>
                    <pic:cNvPicPr>
                      <a:picLocks noChangeArrowheads="1" noChangeAspect="1"/>
                    </pic:cNvPicPr>
                  </pic:nvPicPr>
                  <pic:blipFill>
                    <a:blip r:embed="rId214"/>
                    <a:stretch>
                      <a:fillRect/>
                    </a:stretch>
                  </pic:blipFill>
                  <pic:spPr bwMode="auto">
                    <a:xfrm>
                      <a:off x="0" y="0"/>
                      <a:ext cx="4457700" cy="1914453"/>
                    </a:xfrm>
                    <a:prstGeom prst="rect">
                      <a:avLst/>
                    </a:prstGeom>
                    <a:noFill/>
                    <a:ln w="9525">
                      <a:noFill/>
                      <a:headEnd/>
                      <a:tailEnd/>
                    </a:ln>
                  </pic:spPr>
                </pic:pic>
              </a:graphicData>
            </a:graphic>
          </wp:inline>
        </w:drawing>
      </w:r>
    </w:p>
    <w:bookmarkEnd w:id="217"/>
    <w:p>
      <w:pPr>
        <w:pStyle w:val="FigureNote"/>
      </w:pPr>
      <w:r>
        <w:rPr>
          <w:iCs/>
          <w:i/>
        </w:rPr>
        <w:t xml:space="preserve">Note</w:t>
      </w:r>
      <w:r>
        <w:t xml:space="preserve">. From NZAVS Wave 15</w:t>
      </w:r>
      <w:r>
        <w:t xml:space="preserve"> </w:t>
      </w:r>
      <w:hyperlink r:id="rId101">
        <w:r>
          <w:rPr>
            <w:rStyle w:val="Hyperlink"/>
          </w:rPr>
          <w:t xml:space="preserve">https://osf.io/75snb/</w:t>
        </w:r>
      </w:hyperlink>
    </w:p>
    <w:p>
      <w:r>
        <w:br w:type="page"/>
      </w:r>
    </w:p>
    <w:bookmarkEnd w:id="218"/>
    <w:bookmarkStart w:id="219" w:name="appendix"/>
    <w:p>
      <w:pPr>
        <w:pStyle w:val="Heading1"/>
      </w:pPr>
      <w:r>
        <w:t xml:space="preserve">Appendix</w:t>
      </w:r>
    </w:p>
    <w:bookmarkEnd w:id="219"/>
    <w:bookmarkStart w:id="220" w:name="title-for-appendix"/>
    <w:p>
      <w:pPr>
        <w:pStyle w:val="Heading1"/>
      </w:pPr>
      <w:r>
        <w:t xml:space="preserve">Title for Appendix</w:t>
      </w:r>
    </w:p>
    <w:bookmarkEnd w:id="22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198" Target="media/rId198.png" /><Relationship Type="http://schemas.openxmlformats.org/officeDocument/2006/relationships/image" Id="rId137" Target="media/rId137.png" /><Relationship Type="http://schemas.openxmlformats.org/officeDocument/2006/relationships/image" Id="rId128" Target="media/rId128.png" /><Relationship Type="http://schemas.openxmlformats.org/officeDocument/2006/relationships/hyperlink" Id="rId143" Target="http://newsroom.co.nz/2020/08/18/what-is-islams-appeal-to-maori/" TargetMode="External" /><Relationship Type="http://schemas.openxmlformats.org/officeDocument/2006/relationships/hyperlink" Id="rId191" Target="http://theconversation.com/hate-crimes-against-muslims-spiked-after-the-mosque-attacks-and-ardern-promises-to-make-such-abuse-illegal-147347" TargetMode="External" /><Relationship Type="http://schemas.openxmlformats.org/officeDocument/2006/relationships/hyperlink" Id="rId178" Target="https://christchurchattack.royalcommission.nz" TargetMode="External" /><Relationship Type="http://schemas.openxmlformats.org/officeDocument/2006/relationships/hyperlink" Id="rId168" Target="https://doi.org/10.1002/mpr.310" TargetMode="External" /><Relationship Type="http://schemas.openxmlformats.org/officeDocument/2006/relationships/hyperlink" Id="rId146" Target="https://doi.org/10.1037/a0021453" TargetMode="External" /><Relationship Type="http://schemas.openxmlformats.org/officeDocument/2006/relationships/hyperlink" Id="rId150" Target="https://doi.org/10.1038/s41598-022-05678-x" TargetMode="External" /><Relationship Type="http://schemas.openxmlformats.org/officeDocument/2006/relationships/hyperlink" Id="rId157" Target="https://doi.org/10.1080/1177083x.2020.1733032" TargetMode="External" /><Relationship Type="http://schemas.openxmlformats.org/officeDocument/2006/relationships/hyperlink" Id="rId175" Target="https://doi.org/10.1080/1177083x.2020.1747503" TargetMode="External" /><Relationship Type="http://schemas.openxmlformats.org/officeDocument/2006/relationships/hyperlink" Id="rId171" Target="https://doi.org/10.1080/14737167.2020.1734453" TargetMode="External" /><Relationship Type="http://schemas.openxmlformats.org/officeDocument/2006/relationships/hyperlink" Id="rId148" Target="https://doi.org/10.1093/pnasnexus/pgad242" TargetMode="External" /><Relationship Type="http://schemas.openxmlformats.org/officeDocument/2006/relationships/hyperlink" Id="rId153" Target="https://doi.org/10.1192/bja.2020.33" TargetMode="External" /><Relationship Type="http://schemas.openxmlformats.org/officeDocument/2006/relationships/hyperlink" Id="rId188" Target="https://doi.org/10.1192/bjo.2023.641" TargetMode="External" /><Relationship Type="http://schemas.openxmlformats.org/officeDocument/2006/relationships/hyperlink" Id="rId164" Target="https://doi.org/10.13140/RG.2.2.12693.74725/1" TargetMode="External" /><Relationship Type="http://schemas.openxmlformats.org/officeDocument/2006/relationships/hyperlink" Id="rId181" Target="https://doi.org/10.1371/journal.pone.0174606" TargetMode="External" /><Relationship Type="http://schemas.openxmlformats.org/officeDocument/2006/relationships/hyperlink" Id="rId166" Target="https://doi.org/10.1386/jammr_00077_1" TargetMode="External" /><Relationship Type="http://schemas.openxmlformats.org/officeDocument/2006/relationships/hyperlink" Id="rId100" Target="https://doi.org/10.17605/OSF.IO/B39XT" TargetMode="External" /><Relationship Type="http://schemas.openxmlformats.org/officeDocument/2006/relationships/hyperlink" Id="rId102" Target="https://github.com/wjschne/apaquarto" TargetMode="External" /><Relationship Type="http://schemas.openxmlformats.org/officeDocument/2006/relationships/hyperlink" Id="rId101" Target="https://osf.io/75snb/" TargetMode="External" /><Relationship Type="http://schemas.openxmlformats.org/officeDocument/2006/relationships/hyperlink" Id="rId183" Target="https://osf.io/75snb/wiki/home/" TargetMode="External" /><Relationship Type="http://schemas.openxmlformats.org/officeDocument/2006/relationships/hyperlink" Id="rId155" Target="https://www.1news.co.nz/2023/03/12/online-hate-towards-muslims-increasing-since-mosque-attacks/" TargetMode="External" /><Relationship Type="http://schemas.openxmlformats.org/officeDocument/2006/relationships/hyperlink" Id="rId193" Target="https://www.aljazeera.com/news/2019/3/15/the-world-reacts-to-new-zealand-mosque-attacks" TargetMode="External" /><Relationship Type="http://schemas.openxmlformats.org/officeDocument/2006/relationships/hyperlink" Id="rId160" Target="https://www.rnz.co.nz/news/national/463304/islamophobia-after-christchurch-terror-attacks-quadrupled-australian-report" TargetMode="External" /><Relationship Type="http://schemas.openxmlformats.org/officeDocument/2006/relationships/hyperlink" Id="rId173" Target="https://www.rnz.co.nz/news/on-the-inside/384911/islamic-women-s-council-repeatedly-lobbied-to-stem-discrimination" TargetMode="External" /><Relationship Type="http://schemas.openxmlformats.org/officeDocument/2006/relationships/hyperlink" Id="rId186" Target="https://www.stats.govt.nz/" TargetMode="External" /><Relationship Type="http://schemas.openxmlformats.org/officeDocument/2006/relationships/hyperlink" Id="rId162"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43" Target="http://newsroom.co.nz/2020/08/18/what-is-islams-appeal-to-maori/" TargetMode="External" /><Relationship Type="http://schemas.openxmlformats.org/officeDocument/2006/relationships/hyperlink" Id="rId191" Target="http://theconversation.com/hate-crimes-against-muslims-spiked-after-the-mosque-attacks-and-ardern-promises-to-make-such-abuse-illegal-147347" TargetMode="External" /><Relationship Type="http://schemas.openxmlformats.org/officeDocument/2006/relationships/hyperlink" Id="rId178" Target="https://christchurchattack.royalcommission.nz" TargetMode="External" /><Relationship Type="http://schemas.openxmlformats.org/officeDocument/2006/relationships/hyperlink" Id="rId168" Target="https://doi.org/10.1002/mpr.310" TargetMode="External" /><Relationship Type="http://schemas.openxmlformats.org/officeDocument/2006/relationships/hyperlink" Id="rId146" Target="https://doi.org/10.1037/a0021453" TargetMode="External" /><Relationship Type="http://schemas.openxmlformats.org/officeDocument/2006/relationships/hyperlink" Id="rId150" Target="https://doi.org/10.1038/s41598-022-05678-x" TargetMode="External" /><Relationship Type="http://schemas.openxmlformats.org/officeDocument/2006/relationships/hyperlink" Id="rId157" Target="https://doi.org/10.1080/1177083x.2020.1733032" TargetMode="External" /><Relationship Type="http://schemas.openxmlformats.org/officeDocument/2006/relationships/hyperlink" Id="rId175" Target="https://doi.org/10.1080/1177083x.2020.1747503" TargetMode="External" /><Relationship Type="http://schemas.openxmlformats.org/officeDocument/2006/relationships/hyperlink" Id="rId171" Target="https://doi.org/10.1080/14737167.2020.1734453" TargetMode="External" /><Relationship Type="http://schemas.openxmlformats.org/officeDocument/2006/relationships/hyperlink" Id="rId148" Target="https://doi.org/10.1093/pnasnexus/pgad242" TargetMode="External" /><Relationship Type="http://schemas.openxmlformats.org/officeDocument/2006/relationships/hyperlink" Id="rId153" Target="https://doi.org/10.1192/bja.2020.33" TargetMode="External" /><Relationship Type="http://schemas.openxmlformats.org/officeDocument/2006/relationships/hyperlink" Id="rId188" Target="https://doi.org/10.1192/bjo.2023.641" TargetMode="External" /><Relationship Type="http://schemas.openxmlformats.org/officeDocument/2006/relationships/hyperlink" Id="rId164" Target="https://doi.org/10.13140/RG.2.2.12693.74725/1" TargetMode="External" /><Relationship Type="http://schemas.openxmlformats.org/officeDocument/2006/relationships/hyperlink" Id="rId181" Target="https://doi.org/10.1371/journal.pone.0174606" TargetMode="External" /><Relationship Type="http://schemas.openxmlformats.org/officeDocument/2006/relationships/hyperlink" Id="rId166" Target="https://doi.org/10.1386/jammr_00077_1" TargetMode="External" /><Relationship Type="http://schemas.openxmlformats.org/officeDocument/2006/relationships/hyperlink" Id="rId100" Target="https://doi.org/10.17605/OSF.IO/B39XT" TargetMode="External" /><Relationship Type="http://schemas.openxmlformats.org/officeDocument/2006/relationships/hyperlink" Id="rId102" Target="https://github.com/wjschne/apaquarto" TargetMode="External" /><Relationship Type="http://schemas.openxmlformats.org/officeDocument/2006/relationships/hyperlink" Id="rId101" Target="https://osf.io/75snb/" TargetMode="External" /><Relationship Type="http://schemas.openxmlformats.org/officeDocument/2006/relationships/hyperlink" Id="rId183" Target="https://osf.io/75snb/wiki/home/" TargetMode="External" /><Relationship Type="http://schemas.openxmlformats.org/officeDocument/2006/relationships/hyperlink" Id="rId155" Target="https://www.1news.co.nz/2023/03/12/online-hate-towards-muslims-increasing-since-mosque-attacks/" TargetMode="External" /><Relationship Type="http://schemas.openxmlformats.org/officeDocument/2006/relationships/hyperlink" Id="rId193" Target="https://www.aljazeera.com/news/2019/3/15/the-world-reacts-to-new-zealand-mosque-attacks" TargetMode="External" /><Relationship Type="http://schemas.openxmlformats.org/officeDocument/2006/relationships/hyperlink" Id="rId160" Target="https://www.rnz.co.nz/news/national/463304/islamophobia-after-christchurch-terror-attacks-quadrupled-australian-report" TargetMode="External" /><Relationship Type="http://schemas.openxmlformats.org/officeDocument/2006/relationships/hyperlink" Id="rId173" Target="https://www.rnz.co.nz/news/on-the-inside/384911/islamic-women-s-council-repeatedly-lobbied-to-stem-discrimination" TargetMode="External" /><Relationship Type="http://schemas.openxmlformats.org/officeDocument/2006/relationships/hyperlink" Id="rId186" Target="https://www.stats.govt.nz/" TargetMode="External" /><Relationship Type="http://schemas.openxmlformats.org/officeDocument/2006/relationships/hyperlink" Id="rId162"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 MDS, NZAVS</cp:keywords>
  <dcterms:created xsi:type="dcterms:W3CDTF">2024-10-15T05:02:02Z</dcterms:created>
  <dcterms:modified xsi:type="dcterms:W3CDTF">2024-10-15T05:02:02Z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Muslim Diversity Study: A quantitative study protocol</vt:lpwstr>
  </property>
  <property fmtid="{D5CDD505-2E9C-101B-9397-08002B2CF9AE}" pid="7" name="apatitledisplay">
    <vt:lpwstr>Muslim Diversity Study: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