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80.png" ContentType="image/png"/>
  <Override PartName="/word/media/rId184.png" ContentType="image/png"/>
  <Override PartName="/word/media/rId188.png" ContentType="image/png"/>
  <Override PartName="/word/media/rId192.png" ContentType="image/png"/>
  <Override PartName="/word/media/rId176.png" ContentType="image/png"/>
  <Override PartName="/word/media/rId102.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Usman Afzali</w:t>
      </w:r>
      <w:r>
        <w:rPr>
          <w:vertAlign w:val="superscript"/>
        </w:rPr>
        <w:t xml:space="preserve">1</w:t>
      </w:r>
      <w:r>
        <w:t xml:space="preserve">, Jamila S. Badis</w:t>
      </w:r>
      <w:r>
        <w:rPr>
          <w:vertAlign w:val="superscript"/>
        </w:rPr>
        <w:t xml:space="preserve">1</w:t>
      </w:r>
      <w:r>
        <w:t xml:space="preserve">, Parus Khoso</w:t>
      </w:r>
      <w:r>
        <w:rPr>
          <w:vertAlign w:val="superscript"/>
        </w:rPr>
        <w:t xml:space="preserve">2</w:t>
      </w:r>
      <w:r>
        <w:t xml:space="preserve">, Gul e Aqsa</w:t>
      </w:r>
      <w:r>
        <w:rPr>
          <w:vertAlign w:val="superscript"/>
        </w:rPr>
        <w:t xml:space="preserve">3</w:t>
      </w:r>
      <w:r>
        <w:t xml:space="preserve">, Farah Shawkat</w:t>
      </w:r>
      <w:r>
        <w:rPr>
          <w:vertAlign w:val="superscript"/>
        </w:rPr>
        <w:t xml:space="preserve">1</w:t>
      </w:r>
      <w:r>
        <w:t xml:space="preserve">, Fatima A. Junaid</w:t>
      </w:r>
      <w:r>
        <w:rPr>
          <w:vertAlign w:val="superscript"/>
        </w:rPr>
        <w:t xml:space="preserve">4</w:t>
      </w:r>
      <w:r>
        <w:t xml:space="preserve">, Ayca Arkilic</w:t>
      </w:r>
      <w:r>
        <w:rPr>
          <w:vertAlign w:val="superscript"/>
        </w:rPr>
        <w:t xml:space="preserve">5</w:t>
      </w:r>
      <w:r>
        <w:t xml:space="preserve">, Hussain Raissi</w:t>
      </w:r>
      <w:r>
        <w:rPr>
          <w:vertAlign w:val="superscript"/>
        </w:rPr>
        <w:t xml:space="preserve">6</w:t>
      </w:r>
      <w:r>
        <w:t xml:space="preserve">, Hala Burhoum</w:t>
      </w:r>
      <w:r>
        <w:rPr>
          <w:vertAlign w:val="superscript"/>
        </w:rPr>
        <w:t xml:space="preserve">1</w:t>
      </w:r>
      <w:r>
        <w:t xml:space="preserve">, Tuba Azeem</w:t>
      </w:r>
      <w:r>
        <w:rPr>
          <w:vertAlign w:val="superscript"/>
        </w:rPr>
        <w:t xml:space="preserve">7</w:t>
      </w:r>
      <w:r>
        <w:t xml:space="preserve">, Iman Husain</w:t>
      </w:r>
      <w:r>
        <w:rPr>
          <w:vertAlign w:val="superscript"/>
        </w:rPr>
        <w:t xml:space="preserve">1</w:t>
      </w:r>
      <w:r>
        <w:t xml:space="preserve">, Zarqa Shaheen Ali</w:t>
      </w:r>
      <w:r>
        <w:rPr>
          <w:vertAlign w:val="superscript"/>
        </w:rPr>
        <w:t xml:space="preserve">8</w:t>
      </w:r>
      <w:r>
        <w:t xml:space="preserve">, Zahra Haidary</w:t>
      </w:r>
      <w:r>
        <w:rPr>
          <w:vertAlign w:val="superscript"/>
        </w:rPr>
        <w:t xml:space="preserve">1</w:t>
      </w:r>
      <w:r>
        <w:t xml:space="preserve">, Mashal Khan</w:t>
      </w:r>
      <w:r>
        <w:rPr>
          <w:vertAlign w:val="superscript"/>
        </w:rPr>
        <w:t xml:space="preserve">9</w:t>
      </w:r>
      <w:r>
        <w:t xml:space="preserve">, Nasratullah Hamid</w:t>
      </w:r>
      <w:r>
        <w:rPr>
          <w:vertAlign w:val="superscript"/>
        </w:rPr>
        <w:t xml:space="preserve">10</w:t>
      </w:r>
      <w:r>
        <w:t xml:space="preserve">, Zahra Emamzadeh</w:t>
      </w:r>
      <w:r>
        <w:rPr>
          <w:vertAlign w:val="superscript"/>
        </w:rPr>
        <w:t xml:space="preserve">11</w:t>
      </w:r>
      <w:r>
        <w:t xml:space="preserve">, Rizwan Sulehry</w:t>
      </w:r>
      <w:r>
        <w:rPr>
          <w:vertAlign w:val="superscript"/>
        </w:rPr>
        <w:t xml:space="preserve">12</w:t>
      </w:r>
      <w:r>
        <w:t xml:space="preserve">, Somia Tasneem</w:t>
      </w:r>
      <w:r>
        <w:rPr>
          <w:vertAlign w:val="superscript"/>
        </w:rPr>
        <w:t xml:space="preserve">1</w:t>
      </w:r>
      <w:r>
        <w:t xml:space="preserve">, Aamina Ali</w:t>
      </w:r>
      <w:r>
        <w:rPr>
          <w:vertAlign w:val="superscript"/>
        </w:rPr>
        <w:t xml:space="preserve">13</w:t>
      </w:r>
      <w:r>
        <w:t xml:space="preserve">, Adepate Mustapha-Koiki</w:t>
      </w:r>
      <w:r>
        <w:rPr>
          <w:vertAlign w:val="superscript"/>
        </w:rPr>
        <w:t xml:space="preserve">14</w:t>
      </w:r>
      <w:r>
        <w:t xml:space="preserve">, Aarif Rasheed</w:t>
      </w:r>
      <w:r>
        <w:rPr>
          <w:vertAlign w:val="superscript"/>
        </w:rPr>
        <w:t xml:space="preserve">15</w:t>
      </w:r>
      <w:r>
        <w:t xml:space="preserve">, Kumar Yogeeswaran</w:t>
      </w:r>
      <w:r>
        <w:rPr>
          <w:vertAlign w:val="superscript"/>
        </w:rPr>
        <w:t xml:space="preserve">1</w:t>
      </w:r>
      <w:r>
        <w:t xml:space="preserve">, Chris G. Sibley</w:t>
      </w:r>
      <w:r>
        <w:rPr>
          <w:vertAlign w:val="superscript"/>
        </w:rPr>
        <w:t xml:space="preserve">16</w:t>
      </w:r>
      <w:r>
        <w:t xml:space="preserve">, and Joseph A. Bulbulia</w:t>
      </w:r>
      <w:r>
        <w:rPr>
          <w:vertAlign w:val="superscript"/>
        </w:rPr>
        <w:t xml:space="preserve">17,18</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College of Education, University of Canterbury</w:t>
      </w:r>
    </w:p>
    <w:p>
      <w:pPr>
        <w:pStyle w:val="Author"/>
      </w:pPr>
      <w:r>
        <w:rPr>
          <w:vertAlign w:val="superscript"/>
        </w:rPr>
        <w:t xml:space="preserve">3</w:t>
      </w:r>
      <w:r>
        <w:t xml:space="preserve">School of Health Sciences,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School of Social Sciences, University of Otago</w:t>
      </w:r>
    </w:p>
    <w:p>
      <w:pPr>
        <w:pStyle w:val="Author"/>
      </w:pPr>
      <w:r>
        <w:rPr>
          <w:vertAlign w:val="superscript"/>
        </w:rPr>
        <w:t xml:space="preserve">7</w:t>
      </w:r>
      <w:r>
        <w:t xml:space="preserve">School of ABC, Victoria University of Wellington</w:t>
      </w:r>
    </w:p>
    <w:p>
      <w:pPr>
        <w:pStyle w:val="Author"/>
      </w:pPr>
      <w:r>
        <w:rPr>
          <w:vertAlign w:val="superscript"/>
        </w:rPr>
        <w:t xml:space="preserve">8</w:t>
      </w:r>
      <w:r>
        <w:t xml:space="preserve">ICL Business School, New Zealand Skills and Education College</w:t>
      </w:r>
    </w:p>
    <w:p>
      <w:pPr>
        <w:pStyle w:val="Author"/>
      </w:pPr>
      <w:r>
        <w:rPr>
          <w:vertAlign w:val="superscript"/>
        </w:rPr>
        <w:t xml:space="preserve">9</w:t>
      </w:r>
      <w:r>
        <w:t xml:space="preserve">Department of Psychology, Massey University</w:t>
      </w:r>
    </w:p>
    <w:p>
      <w:pPr>
        <w:pStyle w:val="Author"/>
      </w:pPr>
      <w:r>
        <w:rPr>
          <w:vertAlign w:val="superscript"/>
        </w:rPr>
        <w:t xml:space="preserve">10</w:t>
      </w:r>
      <w:r>
        <w:t xml:space="preserve">School of Psychological Medicine, Universit of Otago</w:t>
      </w:r>
    </w:p>
    <w:p>
      <w:pPr>
        <w:pStyle w:val="Author"/>
      </w:pPr>
      <w:r>
        <w:rPr>
          <w:vertAlign w:val="superscript"/>
        </w:rPr>
        <w:t xml:space="preserve">11</w:t>
      </w:r>
      <w:r>
        <w:t xml:space="preserve">TBA, Ministry of Education</w:t>
      </w:r>
    </w:p>
    <w:p>
      <w:pPr>
        <w:pStyle w:val="Author"/>
      </w:pPr>
      <w:r>
        <w:rPr>
          <w:vertAlign w:val="superscript"/>
        </w:rPr>
        <w:t xml:space="preserve">12</w:t>
      </w:r>
      <w:r>
        <w:t xml:space="preserve">School of Management, Victoria University of Wellington</w:t>
      </w:r>
    </w:p>
    <w:p>
      <w:pPr>
        <w:pStyle w:val="Author"/>
      </w:pPr>
      <w:r>
        <w:rPr>
          <w:vertAlign w:val="superscript"/>
        </w:rPr>
        <w:t xml:space="preserve">13</w:t>
      </w:r>
      <w:r>
        <w:t xml:space="preserve">TBA, TBA</w:t>
      </w:r>
    </w:p>
    <w:p>
      <w:pPr>
        <w:pStyle w:val="Author"/>
      </w:pPr>
      <w:r>
        <w:rPr>
          <w:vertAlign w:val="superscript"/>
        </w:rPr>
        <w:t xml:space="preserve">14</w:t>
      </w:r>
      <w:r>
        <w:t xml:space="preserve">Department of Politics and International Relations, University of Auckland</w:t>
      </w:r>
    </w:p>
    <w:p>
      <w:pPr>
        <w:pStyle w:val="Author"/>
      </w:pPr>
      <w:r>
        <w:rPr>
          <w:vertAlign w:val="superscript"/>
        </w:rPr>
        <w:t xml:space="preserve">15</w:t>
      </w:r>
      <w:r>
        <w:t xml:space="preserve">Just Community</w:t>
      </w:r>
    </w:p>
    <w:p>
      <w:pPr>
        <w:pStyle w:val="Author"/>
      </w:pPr>
      <w:r>
        <w:rPr>
          <w:vertAlign w:val="superscript"/>
        </w:rPr>
        <w:t xml:space="preserve">16</w:t>
      </w:r>
      <w:r>
        <w:t xml:space="preserve">School of Psychology, University of Auckland</w:t>
      </w:r>
    </w:p>
    <w:p>
      <w:pPr>
        <w:pStyle w:val="Author"/>
      </w:pPr>
      <w:r>
        <w:rPr>
          <w:vertAlign w:val="superscript"/>
        </w:rPr>
        <w:t xml:space="preserve">17</w:t>
      </w:r>
      <w:r>
        <w:t xml:space="preserve">School of Psychology, Victoria University of Wellington</w:t>
      </w:r>
    </w:p>
    <w:p>
      <w:pPr>
        <w:pStyle w:val="Author"/>
      </w:pPr>
      <w:r>
        <w:rPr>
          <w:vertAlign w:val="superscript"/>
        </w:rPr>
        <w:t xml:space="preserve">18</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94" w:name="author-note"/>
    <w:p>
      <w:pPr>
        <w:pStyle w:val="Heading1"/>
      </w:pPr>
      <w:r>
        <w:t xml:space="preserve">Author Note</w:t>
      </w:r>
    </w:p>
    <w:p>
      <w:pPr>
        <w:pStyle w:val="FirstParagraph"/>
      </w:pPr>
      <w:r>
        <w:t xml:space="preserve">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Gul e Aqsa</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http://orcid.org/0009-0003-0928-8039</w:t>
      </w:r>
    </w:p>
    <w:p>
      <w:pPr>
        <w:pStyle w:val="BodyText"/>
      </w:pPr>
      <w:r>
        <w:t xml:space="preserve">Farah Shawkat</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http://orcid.org/0000-0000-0000-0001</w:t>
      </w:r>
    </w:p>
    <w:p>
      <w:pPr>
        <w:pStyle w:val="BodyText"/>
      </w:pPr>
      <w:r>
        <w:t xml:space="preserve">Fatima A. Junaid</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http://orcid.org/0000-0002-6656-8120</w:t>
      </w:r>
    </w:p>
    <w:p>
      <w:pPr>
        <w:pStyle w:val="BodyText"/>
      </w:pPr>
      <w:r>
        <w:t xml:space="preserve">Ayca Arkilic</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http://orcid.org/0000-0002-1775-3311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Zahra Emamzadeh</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http://orcid.org/0009-0000-0000-0001</w:t>
      </w:r>
    </w:p>
    <w:p>
      <w:pPr>
        <w:pStyle w:val="BodyText"/>
      </w:pPr>
      <w:r>
        <w:t xml:space="preserve">Rizwan Sulehry</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http://orcid.org/0000-0002-1209-0635</w:t>
      </w:r>
    </w:p>
    <w:p>
      <w:pPr>
        <w:pStyle w:val="BodyText"/>
      </w:pPr>
      <w:r>
        <w:t xml:space="preserve">Somia Tasneem</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http://orcid.org/0000-0001-5471-6934</w:t>
      </w:r>
    </w:p>
    <w:p>
      <w:pPr>
        <w:pStyle w:val="BodyText"/>
      </w:pPr>
      <w:r>
        <w:t xml:space="preserve">Aamina Ali</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http://orcid.org/0000-0000-0000-0001</w:t>
      </w:r>
    </w:p>
    <w:p>
      <w:pPr>
        <w:pStyle w:val="BodyText"/>
      </w:pPr>
      <w:r>
        <w:t xml:space="preserve">Adepate Mustapha-Koiki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http://orcid.org/0000-0003-4731-1781</w:t>
      </w:r>
    </w:p>
    <w:p>
      <w:pPr>
        <w:pStyle w:val="BodyText"/>
      </w:pPr>
      <w:r>
        <w:t xml:space="preserve">Aarif Rasheed</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http://orcid.org/0000-0000-0000-0001</w:t>
      </w:r>
    </w:p>
    <w:p>
      <w:pPr>
        <w:pStyle w:val="BodyText"/>
      </w:pPr>
      <w:r>
        <w:t xml:space="preserve">Kumar Yogeeswaran</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http://orcid.org/0000-0002-1978-5077</w:t>
      </w:r>
    </w:p>
    <w:p>
      <w:pPr>
        <w:pStyle w:val="BodyText"/>
      </w:pPr>
      <w:r>
        <w:t xml:space="preserve">Chris G. Sibley</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http://orcid.org/0000-0002-4064-8800</w:t>
      </w:r>
    </w:p>
    <w:p>
      <w:pPr>
        <w:pStyle w:val="BodyText"/>
      </w:pPr>
      <w:r>
        <w:t xml:space="preserve">Joseph A. Bulbulia</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http://orcid.org/0000-0002-5861-2056</w:t>
      </w:r>
    </w:p>
    <w:p>
      <w:pPr>
        <w:pStyle w:val="BodyText"/>
      </w:pPr>
      <w:r>
        <w:t xml:space="preserve">Correspondence concerning this article should be addressed to Usman Afzali, School of Psychology, Speech and Hearing, University of Canterbury, 20 Kirkwood Ave, Christchurch, Canterbury 8041, New Zealand, Email: usman.afzali@canterbury.ac.nz</w:t>
      </w:r>
    </w:p>
    <w:p>
      <w:r>
        <w:br w:type="page"/>
      </w:r>
    </w:p>
    <w:bookmarkEnd w:id="94"/>
    <w:bookmarkStart w:id="95"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questionnaiere,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w:t>
      </w:r>
    </w:p>
    <w:p>
      <w:r>
        <w:br w:type="page"/>
      </w:r>
    </w:p>
    <w:bookmarkEnd w:id="95"/>
    <w:bookmarkStart w:id="96" w:name="firstheader"/>
    <w:p>
      <w:pPr>
        <w:pStyle w:val="Heading1"/>
      </w:pPr>
      <w:r>
        <w:t xml:space="preserve">A national longitudinal study of Muslim diversity and flourishing in Aotearoa New Zealand: A quantitative study protocol</w:t>
      </w:r>
    </w:p>
    <w:bookmarkEnd w:id="96"/>
    <w:bookmarkStart w:id="98" w:name="sec-intro"/>
    <w:p>
      <w:pPr>
        <w:pStyle w:val="Heading1"/>
      </w:pPr>
      <w:r>
        <w:t xml:space="preserve">Introduction</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attacked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On the other hand,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This article aims to elaborate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 The Muslim community is expanding in New Zealand.</w:t>
      </w:r>
    </w:p>
    <w:p>
      <w:pPr>
        <w:pStyle w:val="BodyText"/>
      </w:pPr>
      <w:r>
        <w:t xml:space="preserve">The Muslim community is expanding in New Zealand. According to the 2018 census, there are more than 60,000 Muslims in the country. The 2023 census results on religion have not been made publicly available yet, however it is expected that the Muslim community has grown in the last few years. Studies also show that the number of converts to Islam, particularly among the Indigenous Māori community,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 Despite this tragedy and post-2019 trauma and increasing online hatred towards them, they have shown remarkable resilience</w:t>
      </w:r>
      <w:r>
        <w:t xml:space="preserve"> </w:t>
      </w:r>
      <w:r>
        <w:t xml:space="preserve">(</w:t>
      </w:r>
      <w:hyperlink w:anchor="ref-anwar2020">
        <w:r>
          <w:rPr>
            <w:rStyle w:val="Hyperlink"/>
          </w:rPr>
          <w:t xml:space="preserve">Anwar &amp; Sumpter, 2020</w:t>
        </w:r>
      </w:hyperlink>
      <w:r>
        <w:t xml:space="preserve">;</w:t>
      </w:r>
      <w:r>
        <w:t xml:space="preserve"> </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 </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By resilience, we mean….</w:t>
      </w:r>
    </w:p>
    <w:p>
      <w:pPr>
        <w:pStyle w:val="BodyText"/>
      </w:pPr>
      <w:r>
        <w:t xml:space="preserve">This study embraces a community-oriented approach in the sense that we have consulted with the Muslim community and made decisions related to translating the questionnaires, pathways to work with community in an effective way, reaching out to community leaders and scholars, etc., based on the feedback received from them. We have also learned from other stakeholders, such as researchers from other institutions</w:t>
      </w:r>
      <w:r>
        <w:t xml:space="preserve"> </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w:t>
      </w:r>
      <w:r>
        <w:t xml:space="preserve">that had worked with community.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our pilot community consultation, the decisions made and modified based on consultation, community engagement, data collection, team, and measures. The study primarily aims to explore the diversity of Muslims in New Zealand, assess Muslims’ perceived discrimination in comparison with other groups, unearth predictors of flourishing and meaning-making, and measure the effect of service-attendance and religious-identification on these constructs.</w:t>
      </w:r>
    </w:p>
    <w:bookmarkStart w:id="97" w:name="perception-of-muslims-based-on-nzavs"/>
    <w:p>
      <w:pPr>
        <w:pStyle w:val="Heading2"/>
      </w:pPr>
      <w:r>
        <w:t xml:space="preserve">Perception of Muslims based on NZAVS</w:t>
      </w:r>
    </w:p>
    <w:p>
      <w:pPr>
        <w:pStyle w:val="FirstParagraph"/>
      </w:pPr>
      <w:r>
        <w:t xml:space="preserve">The New Zealand Attitudes and Values Study (NZAVS) is a planned 20-year-long large longitudinal national probability annual panel study of social attitudes, personality, ideology and health outcomes that began in 2009 and is currently in 15th year. It has so far collected data from more than 70,000 subjects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 For instance, our findings indicated the importance of national identity in Muslim perception</w:t>
      </w:r>
      <w:r>
        <w:t xml:space="preserve"> </w:t>
      </w:r>
      <w:r>
        <w:t xml:space="preserve">(</w:t>
      </w:r>
      <w:hyperlink w:anchor="ref-yogeeswaran2019">
        <w:r>
          <w:rPr>
            <w:rStyle w:val="Hyperlink"/>
          </w:rPr>
          <w:t xml:space="preserve">Yogeeswaran et al., 2019</w:t>
        </w:r>
      </w:hyperlink>
      <w:r>
        <w:t xml:space="preserve">)</w:t>
      </w:r>
      <w:r>
        <w:t xml:space="preserve">. More specifically, the more one believed a specific ancestral heritage (being European or Māori) or cultural aspects (ability to speak English) were important for being considered a</w:t>
      </w:r>
      <w:r>
        <w:t xml:space="preserve"> </w:t>
      </w:r>
      <w:r>
        <w:rPr>
          <w:iCs/>
          <w:i/>
        </w:rPr>
        <w:t xml:space="preserve">true</w:t>
      </w:r>
      <w:r>
        <w:t xml:space="preserve"> </w:t>
      </w:r>
      <w:r>
        <w:t xml:space="preserve">New Zealander, the lower they rated their level of warmth toward Muslims</w:t>
      </w:r>
      <w:r>
        <w:t xml:space="preserve"> </w:t>
      </w:r>
      <w:r>
        <w:t xml:space="preserve">(</w:t>
      </w:r>
      <w:hyperlink w:anchor="ref-yogeeswaran2019">
        <w:r>
          <w:rPr>
            <w:rStyle w:val="Hyperlink"/>
          </w:rPr>
          <w:t xml:space="preserve">Yogeeswaran et al., 2019</w:t>
        </w:r>
      </w:hyperlink>
      <w:r>
        <w:t xml:space="preserve">)</w:t>
      </w:r>
      <w:r>
        <w:t xml:space="preserve">. A follow-up longitudinal examination indicated that the rating of warmth towards Muslims has historically been the lowest (based on data from 2012-2018) compared to other minority groups such as Indians, Chinese, and other migrants. However, there was a visible small steady increase in trends of warmth towards all groups along the years 2012-2018</w:t>
      </w:r>
      <w:r>
        <w:t xml:space="preserve"> </w:t>
      </w:r>
      <w:r>
        <w:t xml:space="preserve">(</w:t>
      </w:r>
      <w:hyperlink w:anchor="ref-sibley2020">
        <w:r>
          <w:rPr>
            <w:rStyle w:val="Hyperlink"/>
          </w:rPr>
          <w:t xml:space="preserve">Sibley et al., 2020</w:t>
        </w:r>
      </w:hyperlink>
      <w:r>
        <w:t xml:space="preserve">)</w:t>
      </w:r>
      <w:r>
        <w:t xml:space="preserve">.</w:t>
      </w:r>
      <w:r>
        <w:t xml:space="preserve"> </w:t>
      </w:r>
      <w:r>
        <w:t xml:space="preserve">Sibley et al. (</w:t>
      </w:r>
      <w:hyperlink w:anchor="ref-sibley2020">
        <w:r>
          <w:rPr>
            <w:rStyle w:val="Hyperlink"/>
          </w:rPr>
          <w:t xml:space="preserve">2020</w:t>
        </w:r>
      </w:hyperlink>
      <w:r>
        <w:t xml:space="preserve">)</w:t>
      </w:r>
      <w:r>
        <w:t xml:space="preserve"> </w:t>
      </w:r>
      <w:r>
        <w:t xml:space="preserve">also indicated that lower education, lower socioeconomic status, being male, older age, unemployment, lower agreeableness (based on Big-6 personality test), and lower openness (based on Big-6 personality test) predicted lower warmth toward Muslims.</w:t>
      </w:r>
      <w:r>
        <w:t xml:space="preserve"> </w:t>
      </w:r>
      <w:r>
        <w:t xml:space="preserve">Badis et al. (</w:t>
      </w:r>
      <w:hyperlink w:anchor="ref-badis">
        <w:r>
          <w:rPr>
            <w:rStyle w:val="Hyperlink"/>
          </w:rPr>
          <w:t xml:space="preserve">n.d.</w:t>
        </w:r>
      </w:hyperlink>
      <w:r>
        <w:t xml:space="preserve">)</w:t>
      </w:r>
      <w:r>
        <w:t xml:space="preserve"> </w:t>
      </w:r>
      <w:r>
        <w:t xml:space="preserve">largely corroborated findings of</w:t>
      </w:r>
      <w:r>
        <w:t xml:space="preserve"> </w:t>
      </w:r>
      <w:r>
        <w:t xml:space="preserve">Sibley et al. (</w:t>
      </w:r>
      <w:hyperlink w:anchor="ref-sibley2020">
        <w:r>
          <w:rPr>
            <w:rStyle w:val="Hyperlink"/>
          </w:rPr>
          <w:t xml:space="preserve">2020</w:t>
        </w:r>
      </w:hyperlink>
      <w:r>
        <w:t xml:space="preserve">)</w:t>
      </w:r>
      <w:r>
        <w:t xml:space="preserve"> </w:t>
      </w:r>
      <w:r>
        <w:t xml:space="preserve">using data collected after the March 15th terrorist attacks. Their results reaffirmed that being male, older, of lower socioeconomic status, having lower education levels, being unemployed, and living in rural areas were associated with lower warmth towards Muslims. Regarding personality traits, they found that lower agreeableness and openness, as well as higher conscientiousness and neuroticism, predicted lower warmth.</w:t>
      </w:r>
    </w:p>
    <w:p>
      <w:pPr>
        <w:pStyle w:val="BodyText"/>
      </w:pPr>
      <w:r>
        <w:t xml:space="preserve">In addition, studies have pointed out specific anti-Muslim prejudice when compared with other religious groups</w:t>
      </w:r>
      <w:r>
        <w:t xml:space="preserve"> </w:t>
      </w:r>
      <w:r>
        <w:t xml:space="preserve">(</w:t>
      </w:r>
      <w:hyperlink w:anchor="ref-greaves2020">
        <w:r>
          <w:rPr>
            <w:rStyle w:val="Hyperlink"/>
          </w:rPr>
          <w:t xml:space="preserve">Greaves et al., 2020</w:t>
        </w:r>
      </w:hyperlink>
      <w:r>
        <w:t xml:space="preserve">)</w:t>
      </w:r>
      <w:r>
        <w:t xml:space="preserve">. Interestingly, but not unexpectedly, the overall rating of New Zealanders’ warmth towards Muslims was increased unprecedentedly (above and beyond the steady small increase reported in</w:t>
      </w:r>
      <w:r>
        <w:t xml:space="preserve"> </w:t>
      </w:r>
      <w:r>
        <w:t xml:space="preserve">Sibley et al. (</w:t>
      </w:r>
      <w:hyperlink w:anchor="ref-sibley2020">
        <w:r>
          <w:rPr>
            <w:rStyle w:val="Hyperlink"/>
          </w:rPr>
          <w:t xml:space="preserve">2020</w:t>
        </w:r>
      </w:hyperlink>
      <w:r>
        <w:t xml:space="preserve">)</w:t>
      </w:r>
      <w:r>
        <w:t xml:space="preserve">) following the 2019 Christchurch shootings</w:t>
      </w:r>
      <w:r>
        <w:t xml:space="preserve"> </w:t>
      </w:r>
      <w:r>
        <w:t xml:space="preserve">(</w:t>
      </w:r>
      <w:hyperlink w:anchor="ref-shanaah2021">
        <w:r>
          <w:rPr>
            <w:rStyle w:val="Hyperlink"/>
          </w:rPr>
          <w:t xml:space="preserve">Shanaah et al., 2021</w:t>
        </w:r>
      </w:hyperlink>
      <w:r>
        <w:t xml:space="preserve">)</w:t>
      </w:r>
      <w:r>
        <w:t xml:space="preserve"> </w:t>
      </w:r>
      <w:r>
        <w:t xml:space="preserve">and sustained for three years post shootings</w:t>
      </w:r>
      <w:r>
        <w:t xml:space="preserve"> </w:t>
      </w:r>
      <w:r>
        <w:t xml:space="preserve">(</w:t>
      </w:r>
      <w:hyperlink w:anchor="ref-bulbulia2023">
        <w:r>
          <w:rPr>
            <w:rStyle w:val="Hyperlink"/>
          </w:rPr>
          <w:t xml:space="preserve">Bulbulia et al., 2023</w:t>
        </w:r>
      </w:hyperlink>
      <w:r>
        <w:t xml:space="preserve">)</w:t>
      </w:r>
      <w:r>
        <w:t xml:space="preserve">.</w:t>
      </w:r>
      <w:r>
        <w:t xml:space="preserve"> </w:t>
      </w:r>
      <w:r>
        <w:t xml:space="preserve">Bulbulia et al. (</w:t>
      </w:r>
      <w:hyperlink w:anchor="ref-bulbulia2023">
        <w:r>
          <w:rPr>
            <w:rStyle w:val="Hyperlink"/>
          </w:rPr>
          <w:t xml:space="preserve">2023</w:t>
        </w:r>
      </w:hyperlink>
      <w:r>
        <w:t xml:space="preserve">)</w:t>
      </w:r>
      <w:r>
        <w:t xml:space="preserve"> </w:t>
      </w:r>
      <w:r>
        <w:t xml:space="preserve">argued that shootings caused increase in warmth toward Muslims, but not toward other groups – known as negative controls – stigmatised groups that were not anticipated to be affected by the shootings (e.g., people with mental illness, overweight people, and elderly people).</w:t>
      </w:r>
    </w:p>
    <w:p>
      <w:pPr>
        <w:pStyle w:val="BodyText"/>
      </w:pPr>
      <w:r>
        <w:t xml:space="preserve">The mentioned NZAVS papers used warmth towards Muslims as a proxy for Islamophobia and prejudice towards Muslims.</w:t>
      </w:r>
      <w:r>
        <w:t xml:space="preserve"> </w:t>
      </w:r>
      <w:r>
        <w:t xml:space="preserve">Badis et al. (</w:t>
      </w:r>
      <w:hyperlink w:anchor="ref-badis">
        <w:r>
          <w:rPr>
            <w:rStyle w:val="Hyperlink"/>
          </w:rPr>
          <w:t xml:space="preserve">n.d.</w:t>
        </w:r>
      </w:hyperlink>
      <w:r>
        <w:t xml:space="preserve">)</w:t>
      </w:r>
      <w:r>
        <w:t xml:space="preserve"> </w:t>
      </w:r>
      <w:r>
        <w:t xml:space="preserve">validated the use of warmth towards Muslims to examine prejudicial attitudes towards Muslims. It was found that an Islamophobia scale, added to the NZAVS post March 15th, was strongly positively correlated with coldness towards Muslims (reverse-coded warmth) (</w:t>
      </w:r>
      <w:r>
        <w:rPr>
          <w:iCs/>
          <w:i/>
        </w:rPr>
        <w:t xml:space="preserve">r</w:t>
      </w:r>
      <w:r>
        <w:t xml:space="preserve"> = 0.82, </w:t>
      </w:r>
      <w:r>
        <w:rPr>
          <w:iCs/>
          <w:i/>
        </w:rPr>
        <w:t xml:space="preserve">p</w:t>
      </w:r>
      <w:r>
        <w:t xml:space="preserve"> &lt; .001). This scale included three items:</w:t>
      </w:r>
      <w:r>
        <w:t xml:space="preserve"> </w:t>
      </w:r>
      <w:r>
        <w:t xml:space="preserve">‘</w:t>
      </w:r>
      <w:r>
        <w:t xml:space="preserve">Islam is a religion of peace</w:t>
      </w:r>
      <w:r>
        <w:t xml:space="preserve">’</w:t>
      </w:r>
      <w:r>
        <w:t xml:space="preserve"> </w:t>
      </w:r>
      <w:r>
        <w:t xml:space="preserve">(reverse-coded),</w:t>
      </w:r>
      <w:r>
        <w:t xml:space="preserve"> </w:t>
      </w:r>
      <w:r>
        <w:t xml:space="preserve">‘</w:t>
      </w:r>
      <w:r>
        <w:t xml:space="preserve">Muslims in New Zealand should have the right to found Islamic schools</w:t>
      </w:r>
      <w:r>
        <w:t xml:space="preserve">’</w:t>
      </w:r>
      <w:r>
        <w:t xml:space="preserve"> </w:t>
      </w:r>
      <w:r>
        <w:t xml:space="preserve">(reverse-coded), and</w:t>
      </w:r>
      <w:r>
        <w:t xml:space="preserve"> </w:t>
      </w:r>
      <w:r>
        <w:t xml:space="preserve">‘</w:t>
      </w:r>
      <w:r>
        <w:t xml:space="preserve">if I could, I would live in a place where there are no Muslims</w:t>
      </w:r>
      <w:r>
        <w:t xml:space="preserve">’</w:t>
      </w:r>
      <w:r>
        <w:t xml:space="preserve">. This suggests that warmth can indeed serve as a reasonable proxy for Islamophobia. This high correlation indicates that people who view Muslims coldly tend to also exhibit Islamophobic beliefs. However, the authors note that while broadly overlapping, these constructs are not identical, as evidenced by the differing role of extroversion in predicting Islamophobia versus coldness towards Muslims.</w:t>
      </w:r>
    </w:p>
    <w:p>
      <w:pPr>
        <w:pStyle w:val="BodyText"/>
      </w:pPr>
      <w:r>
        <w:t xml:space="preserve">Have a look at this too, Jamila if you haven’t yet</w:t>
      </w:r>
      <w:r>
        <w:t xml:space="preserve"> </w:t>
      </w:r>
      <w:r>
        <w:t xml:space="preserve">(</w:t>
      </w:r>
      <w:hyperlink w:anchor="ref-greaves2020">
        <w:r>
          <w:rPr>
            <w:rStyle w:val="Hyperlink"/>
          </w:rPr>
          <w:t xml:space="preserve">Greaves et al., 2020</w:t>
        </w:r>
      </w:hyperlink>
      <w:r>
        <w:t xml:space="preserve">)</w:t>
      </w:r>
      <w:r>
        <w:t xml:space="preserve">:</w:t>
      </w:r>
    </w:p>
    <w:p>
      <w:pPr>
        <w:pStyle w:val="BodyText"/>
      </w:pPr>
      <w:r>
        <w:rPr>
          <w:bCs/>
          <w:b/>
        </w:rPr>
        <w:t xml:space="preserve">Anti-Muslim sentiments and Muslim political representation in the media</w:t>
      </w:r>
    </w:p>
    <w:p>
      <w:pPr>
        <w:pStyle w:val="BodyText"/>
      </w:pPr>
      <w:r>
        <w:t xml:space="preserve">In the aftermath of the Christchurch shootings, the Government introduced unprecedented counter-terrorism measures. For example, the then Prime Minister Jacinda Ardern announced the prohibition of the sale of all military-style semi-automatic and assault rifles under stricter gun laws less than a week after March 15. The Government also vowed to create the Royal Commission of Inquiry into the Terrorist Attack in Christchurch Masjidain to scrutinise and report on</w:t>
      </w:r>
      <w:r>
        <w:t xml:space="preserve"> </w:t>
      </w:r>
      <w:r>
        <w:t xml:space="preserve">“</w:t>
      </w:r>
      <w:r>
        <w:t xml:space="preserve">the actions of the individual, the actions of relevant Public sector agencies and any changes that could prevent such terrorist attacks in the future</w:t>
      </w:r>
      <w:r>
        <w:t xml:space="preserve">”</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In November 2020, the Royal Commission of Inquiry presented an 800-page report entitled</w:t>
      </w:r>
      <w:r>
        <w:t xml:space="preserve"> </w:t>
      </w:r>
      <w:r>
        <w:rPr>
          <w:iCs/>
          <w:i/>
        </w:rPr>
        <w:t xml:space="preserve">Ko tō tātou kāinga tēnei</w:t>
      </w:r>
      <w:r>
        <w:t xml:space="preserve"> </w:t>
      </w:r>
      <w:r>
        <w:t xml:space="preserve">(</w:t>
      </w:r>
      <w:r>
        <w:t xml:space="preserve">‘</w:t>
      </w:r>
      <w:r>
        <w:t xml:space="preserve">This is our home</w:t>
      </w:r>
      <w:r>
        <w:t xml:space="preserve">’</w:t>
      </w:r>
      <w:r>
        <w:t xml:space="preserve">) to emphasise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w:t>
      </w:r>
    </w:p>
    <w:p>
      <w:pPr>
        <w:pStyle w:val="BodyText"/>
      </w:pPr>
      <w:r>
        <w:t xml:space="preserve">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w:t>
      </w:r>
      <w:r>
        <w:t xml:space="preserve">of Western media and portrayed Muslims as terror-prone and a threat to democracy and free speech. New Zealand’s Muslim community, particularly converts to Islam, faced scrutiny from security officials, the media, and the public.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Yet shortly after March 15, New Zealand press embraced a more inclusive and positive narrative with respect to Islam and Muslims</w:t>
      </w:r>
      <w:r>
        <w:t xml:space="preserve"> </w:t>
      </w:r>
      <w:r>
        <w:t xml:space="preserve">(</w:t>
      </w:r>
      <w:hyperlink w:anchor="ref-rahman2020">
        <w:r>
          <w:rPr>
            <w:rStyle w:val="Hyperlink"/>
          </w:rPr>
          <w:t xml:space="preserve">K. A. Rahman, 2020</w:t>
        </w:r>
      </w:hyperlink>
      <w:r>
        <w:t xml:space="preserve">)</w:t>
      </w:r>
      <w:r>
        <w:t xml:space="preserve">. Another study has similarly found that rather than embracing an Orientalist approach to Muslims that sidelines or dehumanises them, major New Zealand newspapers, such as</w:t>
      </w:r>
      <w:r>
        <w:t xml:space="preserve"> </w:t>
      </w:r>
      <w:r>
        <w:rPr>
          <w:iCs/>
          <w:i/>
        </w:rPr>
        <w:t xml:space="preserve">The New Zealand Herald</w:t>
      </w:r>
      <w:r>
        <w:t xml:space="preserve"> </w:t>
      </w:r>
      <w:r>
        <w:t xml:space="preserve">and</w:t>
      </w:r>
      <w:r>
        <w:t xml:space="preserve"> </w:t>
      </w:r>
      <w:r>
        <w:rPr>
          <w:iCs/>
          <w:i/>
        </w:rPr>
        <w:t xml:space="preserve">The Press</w:t>
      </w:r>
      <w:r>
        <w:t xml:space="preserve"> </w:t>
      </w:r>
      <w:r>
        <w:t xml:space="preserve">played a constructive role in condemning the terrorist attack and supporting the Muslim community as essential members of the society after the Christchurch shooting</w:t>
      </w:r>
      <w:r>
        <w:t xml:space="preserve"> </w:t>
      </w:r>
      <w:r>
        <w:t xml:space="preserve">(</w:t>
      </w:r>
      <w:hyperlink w:anchor="ref-kabir2024">
        <w:r>
          <w:rPr>
            <w:rStyle w:val="Hyperlink"/>
          </w:rPr>
          <w:t xml:space="preserve">Kabir, 2024</w:t>
        </w:r>
      </w:hyperlink>
      <w:r>
        <w:t xml:space="preserve">)</w:t>
      </w:r>
      <w:r>
        <w:t xml:space="preserve">. Notably, this was not the case in the past. Findings from before the 2019 Christchurch provided evidence for media-induced Islamophobia in New Zealand</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However, media and public interest in the Muslim community has declined rapidly. Many Muslim leaders have warned that the threat of white supremacist violence has not disappeared after the Christchurch attacks</w:t>
      </w:r>
      <w:r>
        <w:t xml:space="preserve"> </w:t>
      </w:r>
      <w:r>
        <w:t xml:space="preserve">(</w:t>
      </w:r>
      <w:hyperlink w:anchor="ref-arkilic2021a">
        <w:r>
          <w:rPr>
            <w:rStyle w:val="Hyperlink"/>
          </w:rPr>
          <w:t xml:space="preserve">Arkilic, 2021</w:t>
        </w:r>
      </w:hyperlink>
      <w:r>
        <w:t xml:space="preserve">)</w:t>
      </w:r>
      <w:r>
        <w:t xml:space="preserve">. Studies have shown that anti-Muslim hate crimes and Islamophobic abuse have increased dramatically after the March 15 terrorist attacks</w:t>
      </w:r>
      <w:r>
        <w:t xml:space="preserve"> </w:t>
      </w:r>
      <w:r>
        <w:t xml:space="preserve">(</w:t>
      </w:r>
      <w:hyperlink w:anchor="ref-wilson2020">
        <w:r>
          <w:rPr>
            <w:rStyle w:val="Hyperlink"/>
          </w:rPr>
          <w:t xml:space="preserve">Wilson &amp; Shastri, 2020</w:t>
        </w:r>
      </w:hyperlink>
      <w:r>
        <w:t xml:space="preserve">)</w:t>
      </w:r>
      <w:r>
        <w:t xml:space="preserve">.</w:t>
      </w:r>
      <w:r>
        <w:t xml:space="preserve"> </w:t>
      </w:r>
      <w:r>
        <w:t xml:space="preserve">Spoonley (</w:t>
      </w:r>
      <w:hyperlink w:anchor="ref-spoonley2020">
        <w:r>
          <w:rPr>
            <w:rStyle w:val="Hyperlink"/>
          </w:rPr>
          <w:t xml:space="preserve">2020</w:t>
        </w:r>
      </w:hyperlink>
      <w:r>
        <w:t xml:space="preserve">)</w:t>
      </w:r>
      <w:r>
        <w:t xml:space="preserve"> </w:t>
      </w:r>
      <w:r>
        <w:t xml:space="preserve">has also confirmed that there were approximately 60 to 70 groups and 150 to 300 core right-wing activists in New Zealand in 2020, which is not a small number given New Zealand’s small population of five million. Another study has suggested that while the Muslim community was the focus of intense and positive public and media coverage soon after March 15, more recent media articles about Muslims mostly involved negative words, such as sad, angry, upset and fearful. This is in stark contrast to stories involving the Christian community, which are overall neutral</w:t>
      </w:r>
      <w:r>
        <w:t xml:space="preserve"> </w:t>
      </w:r>
      <w:r>
        <w:t xml:space="preserve">(</w:t>
      </w:r>
      <w:hyperlink w:anchor="ref-newzeal2021">
        <w:r>
          <w:rPr>
            <w:rStyle w:val="Hyperlink"/>
            <w:iCs/>
            <w:i/>
          </w:rPr>
          <w:t xml:space="preserve">New Zealand Media Coverage on Muslims Mostly Use Negative Language - Study</w:t>
        </w:r>
        <w:r>
          <w:rPr>
            <w:rStyle w:val="Hyperlink"/>
          </w:rPr>
          <w:t xml:space="preserve">, 2021</w:t>
        </w:r>
      </w:hyperlink>
      <w:r>
        <w:t xml:space="preserve">)</w:t>
      </w:r>
      <w:r>
        <w:t xml:space="preserve">.</w:t>
      </w:r>
    </w:p>
    <w:p>
      <w:pPr>
        <w:pStyle w:val="BodyText"/>
      </w:pPr>
      <w:r>
        <w:t xml:space="preserve">The Muslim Diversity Study becomes all the way more important given recent developments that the governmental change has triggered. The new Government’s decision to end the coordinated response to the March 15 attacks has undermined trust and a sense of belonging in New Zealand’s Muslim community</w:t>
      </w:r>
      <w:r>
        <w:t xml:space="preserve"> </w:t>
      </w:r>
      <w:r>
        <w:t xml:space="preserve">(</w:t>
      </w:r>
      <w:hyperlink w:anchor="ref-arkilic2024">
        <w:r>
          <w:rPr>
            <w:rStyle w:val="Hyperlink"/>
          </w:rPr>
          <w:t xml:space="preserve">Arkilic &amp; Lisdonk, 2024</w:t>
        </w:r>
      </w:hyperlink>
      <w:r>
        <w:t xml:space="preserve">)</w:t>
      </w:r>
      <w:r>
        <w:t xml:space="preserve">. Concerns about the safety and security of everyone in New Zealand have also been called into question with the Government’s separate announcement it is overhauling firearms laws, which could see the reintroduction of the military-style semi-automatic weapons used in the March 15 attack.</w:t>
      </w:r>
    </w:p>
    <w:p>
      <w:pPr>
        <w:pStyle w:val="BodyText"/>
      </w:pPr>
      <w:r>
        <w:t xml:space="preserve">As it stands, we have explored perception of Muslims and the mechanisms of attitudinal changes towards Muslims following 15 March 2019 attacks</w:t>
      </w:r>
      <w:r>
        <w:t xml:space="preserve"> </w:t>
      </w:r>
      <w:r>
        <w:t xml:space="preserve">(</w:t>
      </w:r>
      <w:hyperlink w:anchor="ref-byrne2022">
        <w:r>
          <w:rPr>
            <w:rStyle w:val="Hyperlink"/>
          </w:rPr>
          <w:t xml:space="preserve">Byrne et al., 2022</w:t>
        </w:r>
      </w:hyperlink>
      <w:r>
        <w:t xml:space="preserve">;</w:t>
      </w:r>
      <w:r>
        <w:t xml:space="preserve"> </w:t>
      </w:r>
      <w:hyperlink w:anchor="ref-hawi2019">
        <w:r>
          <w:rPr>
            <w:rStyle w:val="Hyperlink"/>
          </w:rPr>
          <w:t xml:space="preserve">Hawi et al., 2019</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However,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longitudinal study was conceived in 2022 to address this scholarly and community knowledge gap.</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p>
      <w:pPr>
        <w:pStyle w:val="BodyText"/>
      </w:pPr>
      <w:r>
        <w:rPr>
          <w:bCs/>
          <w:b/>
        </w:rPr>
        <w:t xml:space="preserve">Perceived discrimination and belonging: Raissi</w:t>
      </w:r>
    </w:p>
    <w:p>
      <w:pPr>
        <w:pStyle w:val="BodyText"/>
      </w:pPr>
      <w:r>
        <w:rPr>
          <w:bCs/>
          <w:b/>
        </w:rPr>
        <w:t xml:space="preserve">Initial community consultation (Parus)</w:t>
      </w:r>
    </w:p>
    <w:p>
      <w:pPr>
        <w:numPr>
          <w:ilvl w:val="0"/>
          <w:numId w:val="1001"/>
        </w:numPr>
        <w:pStyle w:val="Compact"/>
      </w:pPr>
      <w:r>
        <w:t xml:space="preserve">Far right terrorism and attitudes toward Muslims (Usman)</w:t>
      </w:r>
    </w:p>
    <w:p>
      <w:pPr>
        <w:numPr>
          <w:ilvl w:val="0"/>
          <w:numId w:val="1001"/>
        </w:numPr>
        <w:pStyle w:val="Compact"/>
      </w:pPr>
      <w:r>
        <w:t xml:space="preserve">Other research on Muslim wellbeing (Dr Fatima)</w:t>
      </w:r>
    </w:p>
    <w:p>
      <w:pPr>
        <w:numPr>
          <w:ilvl w:val="0"/>
          <w:numId w:val="1001"/>
        </w:numPr>
        <w:pStyle w:val="Compact"/>
      </w:pPr>
      <w:r>
        <w:t xml:space="preserve">Other ongoing projects: Qual (Farah); and Islamophobia scale to verify our previous findings (Jamila).</w:t>
      </w:r>
    </w:p>
    <w:bookmarkEnd w:id="97"/>
    <w:bookmarkEnd w:id="98"/>
    <w:bookmarkStart w:id="99"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99"/>
    <w:bookmarkStart w:id="101"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100" w:name="hypotheses"/>
    <w:p>
      <w:pPr>
        <w:pStyle w:val="Heading2"/>
      </w:pPr>
      <w:r>
        <w:t xml:space="preserve">Hypotheses</w:t>
      </w:r>
    </w:p>
    <w:p>
      <w:pPr>
        <w:pStyle w:val="FirstParagraph"/>
      </w:pPr>
      <w:r>
        <w:t xml:space="preserve">Given that the present project functions as a booster for the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Based on your initial findings, can you here include any hypothesis about how perceptions of Islamophobia and racism have changed for Muslims after the 2019 ChCh attack? This would be one of the key goals and contributions of this study. (Ayca)</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100"/>
    <w:bookmarkEnd w:id="101"/>
    <w:bookmarkStart w:id="105"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numPr>
          <w:ilvl w:val="0"/>
          <w:numId w:val="1000"/>
        </w:numPr>
      </w:pPr>
      <w:r>
        <w:t xml:space="preserve">Muslim = 1.3% of New Zealand population.</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Please visit</w:t>
      </w:r>
      <w:r>
        <w:t xml:space="preserve"> </w:t>
      </w:r>
      <w:r>
        <w:t xml:space="preserve">Sibley (</w:t>
      </w:r>
      <w:hyperlink w:anchor="ref-sibley2024">
        <w:r>
          <w:rPr>
            <w:rStyle w:val="Hyperlink"/>
          </w:rPr>
          <w:t xml:space="preserve">2024</w:t>
        </w:r>
      </w:hyperlink>
      <w:r>
        <w:t xml:space="preserve">)</w:t>
      </w:r>
      <w:r>
        <w:t xml:space="preserve"> </w:t>
      </w:r>
      <w:r>
        <w:t xml:space="preserve">for further details and history of NZAVS measures.</w:t>
      </w:r>
    </w:p>
    <w:p>
      <w:pPr>
        <w:pStyle w:val="BodyText"/>
      </w:pPr>
      <w:r>
        <w:t xml:space="preserve">For Likert type scales, we are noting the the minimum and maximum level along with description. For instance,</w:t>
      </w:r>
      <w:r>
        <w:t xml:space="preserve"> </w:t>
      </w:r>
      <w:r>
        <w:rPr>
          <w:iCs/>
          <w:i/>
        </w:rPr>
        <w:t xml:space="preserve">(Not important 1-7 Very important)</w:t>
      </w:r>
      <w:r>
        <w:t xml:space="preserve"> </w:t>
      </w:r>
      <w:r>
        <w:t xml:space="preserve">would mean that it is rated on a scale of 1 to 7 where 1 indicates not important and 7 indicates very important.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(Not important 1-7 Very important)</w:t>
      </w:r>
    </w:p>
    <w:p>
      <w:pPr>
        <w:numPr>
          <w:ilvl w:val="1"/>
          <w:numId w:val="1006"/>
        </w:numPr>
      </w:pPr>
      <w:r>
        <w:t xml:space="preserve">I identify as a spiritual person.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(Strongly Disagree 1-7 Strongly Agree)</w:t>
      </w:r>
    </w:p>
    <w:p>
      <w:pPr>
        <w:numPr>
          <w:ilvl w:val="1"/>
          <w:numId w:val="1007"/>
        </w:numPr>
      </w:pPr>
      <w:r>
        <w:t xml:space="preserve">People from my ethnic group are discriminated against in New Zealand. (Strongly Disagree 1-7 Strongly Agree)</w:t>
      </w:r>
    </w:p>
    <w:p>
      <w:pPr>
        <w:numPr>
          <w:ilvl w:val="1"/>
          <w:numId w:val="1007"/>
        </w:numPr>
      </w:pPr>
      <w:r>
        <w:t xml:space="preserve">I feel that I am often discriminated against because of my age. (Strongly Disagree 1-7 Strongly Agree)</w:t>
      </w:r>
    </w:p>
    <w:p>
      <w:pPr>
        <w:numPr>
          <w:ilvl w:val="1"/>
          <w:numId w:val="1007"/>
        </w:numPr>
      </w:pPr>
      <w:r>
        <w:t xml:space="preserve">I feel that I am often discriminated against because of my ethnicity. (Very Innacurate 1-7 Very Accurate)</w:t>
      </w:r>
    </w:p>
    <w:p>
      <w:pPr>
        <w:numPr>
          <w:ilvl w:val="1"/>
          <w:numId w:val="1007"/>
        </w:numPr>
      </w:pPr>
      <w:r>
        <w:t xml:space="preserve">I feel that I am often discriminated against because of my gender. (Very Innacurate 1-7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1-7 Likert scale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(Very Innacurate 1-7 Very Accurate)</w:t>
      </w:r>
    </w:p>
    <w:p>
      <w:pPr>
        <w:numPr>
          <w:ilvl w:val="1"/>
          <w:numId w:val="1009"/>
        </w:numPr>
      </w:pPr>
      <w:r>
        <w:t xml:space="preserve">I feel like an outsider. (Very Innacurate 1-7 Very Accurate)</w:t>
      </w:r>
    </w:p>
    <w:p>
      <w:pPr>
        <w:numPr>
          <w:ilvl w:val="1"/>
          <w:numId w:val="1009"/>
        </w:numPr>
      </w:pPr>
      <w:r>
        <w:t xml:space="preserve">I know that people in around me share my attitudes and beliefs. (Very Innacurate 1-7 Very Accurate)</w:t>
      </w:r>
    </w:p>
    <w:p>
      <w:pPr>
        <w:numPr>
          <w:ilvl w:val="0"/>
          <w:numId w:val="1008"/>
        </w:numPr>
      </w:pPr>
      <w:r>
        <w:t xml:space="preserve">Support:</w:t>
      </w:r>
    </w:p>
    <w:p>
      <w:pPr>
        <w:numPr>
          <w:ilvl w:val="1"/>
          <w:numId w:val="1010"/>
        </w:numPr>
      </w:pPr>
      <w:r>
        <w:t xml:space="preserve">There are people I can depend on to help me if I really need it. (Strongly Disagree 1-7 Strongly Agree)</w:t>
      </w:r>
    </w:p>
    <w:p>
      <w:pPr>
        <w:numPr>
          <w:ilvl w:val="1"/>
          <w:numId w:val="1010"/>
        </w:numPr>
      </w:pPr>
      <w:r>
        <w:t xml:space="preserve">There is no one I can turn to for guidance in times of stress (R). (Strongly Disagree 1-7 Strongly Agree)</w:t>
      </w:r>
    </w:p>
    <w:p>
      <w:pPr>
        <w:numPr>
          <w:ilvl w:val="1"/>
          <w:numId w:val="1010"/>
        </w:numPr>
      </w:pPr>
      <w:r>
        <w:t xml:space="preserve">I know there are people I can turn to when I need help. (Strongly Disagree 1-7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(Not satisfied 1-7 Very satisfied)</w:t>
      </w:r>
    </w:p>
    <w:p>
      <w:pPr>
        <w:numPr>
          <w:ilvl w:val="1"/>
          <w:numId w:val="1011"/>
        </w:numPr>
      </w:pPr>
      <w:r>
        <w:t xml:space="preserve">How secure do you feel in your current job? (Not secure 1-7 Very secure)</w:t>
      </w:r>
    </w:p>
    <w:p>
      <w:pPr>
        <w:numPr>
          <w:ilvl w:val="1"/>
          <w:numId w:val="1011"/>
        </w:numPr>
      </w:pPr>
      <w:r>
        <w:t xml:space="preserve">How valued do you feel by your current organization? (Not valued 1-7 Very valued)</w:t>
      </w:r>
    </w:p>
    <w:p>
      <w:pPr>
        <w:numPr>
          <w:ilvl w:val="0"/>
          <w:numId w:val="1008"/>
        </w:numPr>
      </w:pPr>
      <w:r>
        <w:t xml:space="preserve">Health:</w:t>
      </w:r>
    </w:p>
    <w:p>
      <w:pPr>
        <w:numPr>
          <w:ilvl w:val="1"/>
          <w:numId w:val="1012"/>
        </w:numPr>
      </w:pPr>
      <w:r>
        <w:t xml:space="preserve">In general, would you say your health is… (Poor 1-7 Excellent)</w:t>
      </w:r>
    </w:p>
    <w:p>
      <w:pPr>
        <w:numPr>
          <w:ilvl w:val="1"/>
          <w:numId w:val="1012"/>
        </w:numPr>
      </w:pPr>
      <w:r>
        <w:t xml:space="preserve">I seem to get sick a little easier than other people. (Strogly disagree 1-7 Strongly agree)</w:t>
      </w:r>
    </w:p>
    <w:p>
      <w:pPr>
        <w:numPr>
          <w:ilvl w:val="1"/>
          <w:numId w:val="1012"/>
        </w:numPr>
      </w:pPr>
      <w:r>
        <w:t xml:space="preserve">I expect my health to get worse. (Strogly disagree 1-7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Measured using a 6 point nominal scale (Never - I don’t drink, Monthly or less, Up to 4 times a month, Up to 3 times a week, 4 or more times a week, Don’t know)</w:t>
      </w:r>
    </w:p>
    <w:p>
      <w:pPr>
        <w:numPr>
          <w:ilvl w:val="1"/>
          <w:numId w:val="1012"/>
        </w:numPr>
      </w:pPr>
      <w:r>
        <w:t xml:space="preserve">Have you ever regularly smoked tobacco cigarettes? (Yes/No).</w:t>
      </w:r>
    </w:p>
    <w:p>
      <w:pPr>
        <w:numPr>
          <w:ilvl w:val="1"/>
          <w:numId w:val="1012"/>
        </w:numPr>
      </w:pPr>
      <w:r>
        <w:t xml:space="preserve">Have you ever regularly used e-cigarettes? (Yes/No).</w:t>
      </w:r>
    </w:p>
    <w:p>
      <w:pPr>
        <w:numPr>
          <w:ilvl w:val="1"/>
          <w:numId w:val="1012"/>
        </w:numPr>
      </w:pPr>
      <w:r>
        <w:t xml:space="preserve">Do you currently smoke tobacco cigarettes? (Yes/No).</w:t>
      </w:r>
    </w:p>
    <w:p>
      <w:pPr>
        <w:numPr>
          <w:ilvl w:val="1"/>
          <w:numId w:val="1012"/>
        </w:numPr>
      </w:pPr>
      <w:r>
        <w:t xml:space="preserve">Do you currently vape or use e-cigarettes? (Yes/No).</w:t>
      </w:r>
    </w:p>
    <w:p>
      <w:pPr>
        <w:numPr>
          <w:ilvl w:val="1"/>
          <w:numId w:val="1012"/>
        </w:numPr>
      </w:pPr>
      <w:r>
        <w:t xml:space="preserve">Access to and satisfaction with GP: Do you have a regular family doctor/GP? (Yes/No). (If yes) How satisfied are you with the service and care you receive from your family doctor/GP? (Not satisfied 1-7 Very satisfied). Do you think your doctor/GP shares a similar cultural background to you? (Definitely no 1-7 Definitely yes). Does your doctor/GP respect your cultural background when you are discussing health issues with them? (Definitely no 1-7 Definitely yes).</w:t>
      </w:r>
    </w:p>
    <w:p>
      <w:pPr>
        <w:numPr>
          <w:ilvl w:val="1"/>
          <w:numId w:val="1012"/>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1"/>
          <w:numId w:val="1012"/>
        </w:numPr>
      </w:pPr>
      <w:r>
        <w:t xml:space="preserve">BMI: Calculated by using a person’s weight (Kg) divided by square root of height (m) that are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p>
    <w:p>
      <w:pPr>
        <w:numPr>
          <w:ilvl w:val="1"/>
          <w:numId w:val="1012"/>
        </w:numPr>
      </w:pPr>
      <w:r>
        <w:t xml:space="preserve">Forgiveness vs vengeful rumination: Sometimes I can’t sleep because of thinking about past wrongs I have suffered., I can usually forgive and forget when someone does me wrong., I find myself regularly thinking about past times that I have been wronged. (1 = Strongly disagree, 7 = Strongly agree)</w:t>
      </w:r>
    </w:p>
    <w:p>
      <w:pPr>
        <w:numPr>
          <w:ilvl w:val="1"/>
          <w:numId w:val="1012"/>
        </w:numPr>
      </w:pPr>
      <w:r>
        <w:t xml:space="preserve">During the past month, on average, how many hours of actual sleep did you get per night? (String entry)</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(No qualification 0-11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gender will be used to create a binary measure (Male = 1, Not male = 0).</w:t>
      </w:r>
    </w:p>
    <w:p>
      <w:pPr>
        <w:numPr>
          <w:ilvl w:val="1"/>
          <w:numId w:val="1014"/>
        </w:numPr>
      </w:pPr>
      <w:r>
        <w:t xml:space="preserve">Area-unit deprivation: Measured based on 2018 New Zealand Deprivation Index</w:t>
      </w:r>
      <w:r>
        <w:t xml:space="preserve"> </w:t>
      </w:r>
      <w:r>
        <w:t xml:space="preserve">(</w:t>
      </w:r>
      <w:hyperlink w:anchor="ref-atkinson2019">
        <w:r>
          <w:rPr>
            <w:rStyle w:val="Hyperlink"/>
          </w:rPr>
          <w:t xml:space="preserve">Atkinson et al., 2019</w:t>
        </w:r>
      </w:hyperlink>
      <w:r>
        <w:t xml:space="preserve">)</w:t>
      </w:r>
      <w:r>
        <w:t xml:space="preserve"> </w:t>
      </w:r>
      <w:r>
        <w:t xml:space="preserve">that assigns a decile-rank index (Least deprived 1-10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Socioeconomic status: A census-derived occupation-based measure NZSEI (New Zealand Socioeconomic Index) is used to estimate one’s socioeconomic status. It uses an open-ended question regarding their occupation, which is subsequently classified in accordance with the Australian and New Zealand Standard Classification of Occupations (ANZSCO) Level 3. In the case of missing values, the measures is imputed using a combination of age and education.</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w:t>
      </w:r>
      <w:r>
        <w:t xml:space="preserve"> </w:t>
      </w:r>
      <w:r>
        <w:t xml:space="preserve">“</w:t>
      </w:r>
      <w:r>
        <w:t xml:space="preserve">Yes</w:t>
      </w:r>
      <w:r>
        <w:t xml:space="preserve">”</w:t>
      </w:r>
      <w:r>
        <w:t xml:space="preserve"> </w:t>
      </w:r>
      <w:r>
        <w:t xml:space="preserve">responses to</w:t>
      </w:r>
      <w:r>
        <w:t xml:space="preserve"> </w:t>
      </w:r>
      <w:r>
        <w:t xml:space="preserve">“</w:t>
      </w:r>
      <w:r>
        <w:t xml:space="preserve">Do you identify with a religion and/or spiritual group?</w:t>
      </w:r>
      <w:r>
        <w:t xml:space="preserve">”</w:t>
      </w:r>
      <w:r>
        <w:t xml:space="preserve"> </w:t>
      </w:r>
      <w:r>
        <w:t xml:space="preserve">are assigned 1 and</w:t>
      </w:r>
      <w:r>
        <w:t xml:space="preserve"> </w:t>
      </w:r>
      <w:r>
        <w:t xml:space="preserve">“</w:t>
      </w:r>
      <w:r>
        <w:t xml:space="preserve">No</w:t>
      </w:r>
      <w:r>
        <w:t xml:space="preserve">”</w:t>
      </w:r>
      <w:r>
        <w:t xml:space="preserve"> </w:t>
      </w:r>
      <w:r>
        <w:t xml:space="preserve">responses are coded 0.</w:t>
      </w:r>
    </w:p>
    <w:p>
      <w:pPr>
        <w:numPr>
          <w:ilvl w:val="1"/>
          <w:numId w:val="1014"/>
        </w:numPr>
      </w:pPr>
      <w:r>
        <w:t xml:space="preserve">Political orientation: Based on responses to</w:t>
      </w:r>
      <w:r>
        <w:t xml:space="preserve"> </w:t>
      </w:r>
      <w:r>
        <w:t xml:space="preserve">“</w:t>
      </w:r>
      <w:r>
        <w:t xml:space="preserve">Please rate how politically left-wing versus right-wing you see yourself as being</w:t>
      </w:r>
      <w:r>
        <w:t xml:space="preserve">”</w:t>
      </w:r>
      <w:r>
        <w:t xml:space="preserve">, political orientation is assigned a 7-point scale (extremely left-wing 1-7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coded whether they are living in an urban or rural area (1 = Urban, 0 = Rural) based on the addresses provided</w:t>
      </w:r>
    </w:p>
    <w:p>
      <w:pPr>
        <w:numPr>
          <w:ilvl w:val="1"/>
          <w:numId w:val="1014"/>
        </w:numPr>
      </w:pPr>
      <w:r>
        <w:t xml:space="preserve">Occupational prestige (?)</w:t>
      </w:r>
    </w:p>
    <w:p>
      <w:pPr>
        <w:numPr>
          <w:ilvl w:val="1"/>
          <w:numId w:val="1014"/>
        </w:numPr>
      </w:pPr>
      <w:r>
        <w:t xml:space="preserve">Race-based rejection anxiety: People from other races would be likely to reject me on the basis of my race. (Strogly disagree 1-7 Strongly agree)</w:t>
      </w:r>
    </w:p>
    <w:p>
      <w:pPr>
        <w:numPr>
          <w:ilvl w:val="1"/>
          <w:numId w:val="1014"/>
        </w:numPr>
      </w:pPr>
      <w:r>
        <w:t xml:space="preserve">Big six personality traits: Six personality traits, agreeableness, conscientiousness, extraversion, openness, honesty-humility, and neuroticism, are measured using a 7-point (very inaccurate 1-7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(None of the time 0-4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 My life has a clear sense of purpose (Strongly disagree 1-7 Strongly agree) and I have a good sense of what makes my life meaningful (Strongly disagree 1-7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(Completely dissatisfied 0-10 Completely satisfied). In addition,</w:t>
      </w:r>
      <w:r>
        <w:t xml:space="preserve"> </w:t>
      </w:r>
      <w:r>
        <w:t xml:space="preserve">“</w:t>
      </w:r>
      <w:r>
        <w:t xml:space="preserve">I am satisfied with my life. (Strongly disagree 1-7 Strongly agree)</w:t>
      </w:r>
      <w:r>
        <w:t xml:space="preserve">”</w:t>
      </w:r>
      <w:r>
        <w:t xml:space="preserve"> </w:t>
      </w:r>
      <w:r>
        <w:t xml:space="preserve">and</w:t>
      </w:r>
      <w:r>
        <w:t xml:space="preserve"> </w:t>
      </w:r>
      <w:r>
        <w:t xml:space="preserve">“</w:t>
      </w:r>
      <w:r>
        <w:t xml:space="preserve">In most ways my life is close to ideal. (Strongly disagree 1-7 Strongly agree)</w:t>
      </w:r>
      <w:r>
        <w:t xml:space="preserve">”</w:t>
      </w:r>
      <w:r>
        <w:t xml:space="preserve">.</w:t>
      </w:r>
    </w:p>
    <w:p>
      <w:pPr>
        <w:numPr>
          <w:ilvl w:val="0"/>
          <w:numId w:val="1017"/>
        </w:numPr>
        <w:pStyle w:val="Compact"/>
      </w:pPr>
      <w:r>
        <w:t xml:space="preserve">Self esteem: On the whole am satisfied with myself. Take a positive attitude toward myself. Am inclined to feel that I am a failure.</w:t>
      </w:r>
    </w:p>
    <w:p>
      <w:pPr>
        <w:numPr>
          <w:ilvl w:val="0"/>
          <w:numId w:val="1017"/>
        </w:numPr>
        <w:pStyle w:val="Compact"/>
      </w:pPr>
      <w:r>
        <w:t xml:space="preserve">Gratitude: I have much in my life to be thankful for. When I look at the world, I don’t see much to be grateful for. I am grateful to a wide variety of people.</w:t>
      </w:r>
    </w:p>
    <w:p>
      <w:pPr>
        <w:numPr>
          <w:ilvl w:val="0"/>
          <w:numId w:val="1017"/>
        </w:numPr>
        <w:pStyle w:val="Compact"/>
      </w:pPr>
      <w:r>
        <w:t xml:space="preserve">Community making: I feel a sense of community with others in my local neighbourhood (Strongly disagree 1-7 Strongly agree).</w:t>
      </w:r>
    </w:p>
    <w:p>
      <w:pPr>
        <w:numPr>
          <w:ilvl w:val="0"/>
          <w:numId w:val="1017"/>
        </w:numPr>
        <w:pStyle w:val="Compact"/>
      </w:pPr>
      <w:r>
        <w:t xml:space="preserve">Intergroup anxiety: I feel anxious about interacting with people from other races. (Strongly disagree 1-7 Strongly agree).</w:t>
      </w:r>
    </w:p>
    <w:p>
      <w:pPr>
        <w:numPr>
          <w:ilvl w:val="0"/>
          <w:numId w:val="1017"/>
        </w:numPr>
        <w:pStyle w:val="Compact"/>
      </w:pPr>
      <w:r>
        <w:t xml:space="preserve">Rumination: During the last 30 days, how often did…. you have negative thoughts that repeated over and over? (0 = None of the time, 4 = All of the time).</w:t>
      </w:r>
    </w:p>
    <w:p>
      <w:pPr>
        <w:numPr>
          <w:ilvl w:val="0"/>
          <w:numId w:val="1017"/>
        </w:numPr>
        <w:pStyle w:val="Compact"/>
      </w:pPr>
      <w:r>
        <w:t xml:space="preserve">Forgivingness versus Vengeful Rumination. Sometimes I can’t sleep because of thinking about past wrongs I have suffered. (1-7 Strongly disagree 1-7 Strongly agree). I can usually forgive and forget when someone does me wrong (1-7 Strongly disagree 1-7 Strongly agree).. I find myself regularly thinking about past times that I have been wronged. (1-7 Strongly disagree 1-7 Strongly agree).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103" name="Picture"/>
            <a:graphic>
              <a:graphicData uri="http://schemas.openxmlformats.org/drawingml/2006/picture">
                <pic:pic>
                  <pic:nvPicPr>
                    <pic:cNvPr descr="protocol_APA_files/figure-docx/unnamed-chunk-6-1.png" id="104" name="Picture"/>
                    <pic:cNvPicPr>
                      <a:picLocks noChangeArrowheads="1" noChangeAspect="1"/>
                    </pic:cNvPicPr>
                  </pic:nvPicPr>
                  <pic:blipFill>
                    <a:blip r:embed="rId102"/>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105"/>
    <w:bookmarkStart w:id="106"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106"/>
    <w:bookmarkStart w:id="110"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108" name="Picture"/>
            <a:graphic>
              <a:graphicData uri="http://schemas.openxmlformats.org/drawingml/2006/picture">
                <pic:pic>
                  <pic:nvPicPr>
                    <pic:cNvPr descr="protocol_APA_files/figure-docx/unnamed-chunk-9-1.png" id="109" name="Picture"/>
                    <pic:cNvPicPr>
                      <a:picLocks noChangeArrowheads="1" noChangeAspect="1"/>
                    </pic:cNvPicPr>
                  </pic:nvPicPr>
                  <pic:blipFill>
                    <a:blip r:embed="rId107"/>
                    <a:stretch>
                      <a:fillRect/>
                    </a:stretch>
                  </pic:blipFill>
                  <pic:spPr bwMode="auto">
                    <a:xfrm>
                      <a:off x="0" y="0"/>
                      <a:ext cx="5943600" cy="5943600"/>
                    </a:xfrm>
                    <a:prstGeom prst="rect">
                      <a:avLst/>
                    </a:prstGeom>
                    <a:noFill/>
                    <a:ln w="9525">
                      <a:noFill/>
                      <a:headEnd/>
                      <a:tailEnd/>
                    </a:ln>
                  </pic:spPr>
                </pic:pic>
              </a:graphicData>
            </a:graphic>
          </wp:inline>
        </w:drawing>
      </w:r>
    </w:p>
    <w:bookmarkEnd w:id="110"/>
    <w:bookmarkStart w:id="111" w:name="strengths-and-limitations"/>
    <w:p>
      <w:pPr>
        <w:pStyle w:val="Heading1"/>
      </w:pPr>
      <w:r>
        <w:t xml:space="preserve">Strengths and Limitations</w:t>
      </w:r>
    </w:p>
    <w:p>
      <w:pPr>
        <w:numPr>
          <w:ilvl w:val="0"/>
          <w:numId w:val="1025"/>
        </w:numPr>
        <w:pStyle w:val="Compact"/>
      </w:pPr>
      <w:r>
        <w:t xml:space="preserve">Zahra E, Rizwan, Somia</w:t>
      </w:r>
    </w:p>
    <w:bookmarkEnd w:id="111"/>
    <w:bookmarkStart w:id="112"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112"/>
    <w:bookmarkStart w:id="113" w:name="ethics"/>
    <w:p>
      <w:pPr>
        <w:pStyle w:val="Heading1"/>
      </w:pPr>
      <w:r>
        <w:t xml:space="preserve">Ethics</w:t>
      </w:r>
    </w:p>
    <w:bookmarkEnd w:id="113"/>
    <w:bookmarkStart w:id="114"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14"/>
    <w:bookmarkStart w:id="116"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15">
        <w:r>
          <w:rPr>
            <w:rStyle w:val="Hyperlink"/>
          </w:rPr>
          <w:t xml:space="preserve">New Zealand Attitudes and Values Study</w:t>
        </w:r>
      </w:hyperlink>
      <w:r>
        <w:t xml:space="preserve">.</w:t>
      </w:r>
    </w:p>
    <w:bookmarkEnd w:id="116"/>
    <w:bookmarkStart w:id="117" w:name="coi"/>
    <w:p>
      <w:pPr>
        <w:pStyle w:val="Heading1"/>
      </w:pPr>
      <w:r>
        <w:t xml:space="preserve">CoI</w:t>
      </w:r>
    </w:p>
    <w:p>
      <w:pPr>
        <w:pStyle w:val="FirstParagraph"/>
      </w:pPr>
      <w:r>
        <w:t xml:space="preserve">We have no conflict of interest to disclose.</w:t>
      </w:r>
    </w:p>
    <w:p>
      <w:r>
        <w:br w:type="page"/>
      </w:r>
    </w:p>
    <w:bookmarkEnd w:id="117"/>
    <w:bookmarkStart w:id="173" w:name="references"/>
    <w:p>
      <w:pPr>
        <w:pStyle w:val="Heading1"/>
      </w:pPr>
      <w:r>
        <w:t xml:space="preserve">References</w:t>
      </w:r>
    </w:p>
    <w:bookmarkStart w:id="172" w:name="refs"/>
    <w:bookmarkStart w:id="119" w:name="ref-anwar2020"/>
    <w:p>
      <w:pPr>
        <w:pStyle w:val="Bibliography"/>
      </w:pPr>
      <w:r>
        <w:t xml:space="preserve">Anwar, N. D., &amp; Sumpter, C. (2020). Societal resilience following terrorism: community and coordination in Christchurch.</w:t>
      </w:r>
      <w:r>
        <w:t xml:space="preserve"> </w:t>
      </w:r>
      <w:r>
        <w:rPr>
          <w:iCs/>
          <w:i/>
        </w:rPr>
        <w:t xml:space="preserve">Behavioral Sciences of Terrorism and Political Aggression</w:t>
      </w:r>
      <w:r>
        <w:t xml:space="preserve">,</w:t>
      </w:r>
      <w:r>
        <w:t xml:space="preserve"> </w:t>
      </w:r>
      <w:r>
        <w:rPr>
          <w:iCs/>
          <w:i/>
        </w:rPr>
        <w:t xml:space="preserve">14</w:t>
      </w:r>
      <w:r>
        <w:t xml:space="preserve">(1), 70–95.</w:t>
      </w:r>
      <w:r>
        <w:t xml:space="preserve"> </w:t>
      </w:r>
      <w:hyperlink r:id="rId118">
        <w:r>
          <w:rPr>
            <w:rStyle w:val="Hyperlink"/>
          </w:rPr>
          <w:t xml:space="preserve">https://doi.org/10.1080/19434472.2020.1800785</w:t>
        </w:r>
      </w:hyperlink>
    </w:p>
    <w:bookmarkEnd w:id="119"/>
    <w:bookmarkStart w:id="121"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20">
        <w:r>
          <w:rPr>
            <w:rStyle w:val="Hyperlink"/>
          </w:rPr>
          <w:t xml:space="preserve">http://newsroom.co.nz/2020/08/18/what-is-islams-appeal-to-maori/</w:t>
        </w:r>
      </w:hyperlink>
    </w:p>
    <w:bookmarkEnd w:id="121"/>
    <w:bookmarkStart w:id="122"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22"/>
    <w:bookmarkStart w:id="124" w:name="ref-arkilic2024"/>
    <w:p>
      <w:pPr>
        <w:pStyle w:val="Bibliography"/>
      </w:pPr>
      <w:r>
        <w:t xml:space="preserve">Arkilic, A., &amp; Lisdonk, N. van de. (2024).</w:t>
      </w:r>
      <w:r>
        <w:t xml:space="preserve"> </w:t>
      </w:r>
      <w:r>
        <w:rPr>
          <w:iCs/>
          <w:i/>
        </w:rPr>
        <w:t xml:space="preserve">’They are us’ loses its lustre</w:t>
      </w:r>
      <w:r>
        <w:t xml:space="preserve">.</w:t>
      </w:r>
      <w:r>
        <w:t xml:space="preserve"> </w:t>
      </w:r>
      <w:hyperlink r:id="rId123">
        <w:r>
          <w:rPr>
            <w:rStyle w:val="Hyperlink"/>
          </w:rPr>
          <w:t xml:space="preserve">http://newsroom.co.nz/2024/09/01/they-are-us-loses-its-lustre/</w:t>
        </w:r>
      </w:hyperlink>
    </w:p>
    <w:bookmarkEnd w:id="124"/>
    <w:bookmarkStart w:id="125" w:name="ref-atkinson2019"/>
    <w:p>
      <w:pPr>
        <w:pStyle w:val="Bibliography"/>
      </w:pPr>
      <w:r>
        <w:t xml:space="preserve">Atkinson, J., Salmond, C., &amp; Crampton, P. (2019).</w:t>
      </w:r>
      <w:r>
        <w:t xml:space="preserve"> </w:t>
      </w:r>
      <w:r>
        <w:rPr>
          <w:iCs/>
          <w:i/>
        </w:rPr>
        <w:t xml:space="preserve">NZDep2018 Index of Deprivation</w:t>
      </w:r>
      <w:r>
        <w:t xml:space="preserve">.</w:t>
      </w:r>
    </w:p>
    <w:bookmarkEnd w:id="125"/>
    <w:bookmarkStart w:id="126" w:name="ref-badis"/>
    <w:p>
      <w:pPr>
        <w:pStyle w:val="Bibliography"/>
      </w:pPr>
      <w:r>
        <w:t xml:space="preserve">Badis, J. S., Afzali, M. U., &amp; Sibley, C. G. (n.d.).</w:t>
      </w:r>
      <w:r>
        <w:t xml:space="preserve"> </w:t>
      </w:r>
      <w:r>
        <w:rPr>
          <w:iCs/>
          <w:i/>
        </w:rPr>
        <w:t xml:space="preserve">Predictors of islamophobia in new zealand: Findings from the new zealand attitudes and values study</w:t>
      </w:r>
      <w:r>
        <w:t xml:space="preserve">.</w:t>
      </w:r>
    </w:p>
    <w:bookmarkEnd w:id="126"/>
    <w:bookmarkStart w:id="128"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27">
        <w:r>
          <w:rPr>
            <w:rStyle w:val="Hyperlink"/>
          </w:rPr>
          <w:t xml:space="preserve">https://doi.org/10.1093/pnasnexus/pgad242</w:t>
        </w:r>
      </w:hyperlink>
    </w:p>
    <w:bookmarkEnd w:id="128"/>
    <w:bookmarkStart w:id="130"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29">
        <w:r>
          <w:rPr>
            <w:rStyle w:val="Hyperlink"/>
          </w:rPr>
          <w:t xml:space="preserve">https://doi.org/10.1038/s41598-022-05678-x</w:t>
        </w:r>
      </w:hyperlink>
    </w:p>
    <w:bookmarkEnd w:id="130"/>
    <w:bookmarkStart w:id="131"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31"/>
    <w:bookmarkStart w:id="133"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32">
        <w:r>
          <w:rPr>
            <w:rStyle w:val="Hyperlink"/>
          </w:rPr>
          <w:t xml:space="preserve">https://www.1news.co.nz/2023/03/12/online-hate-towards-muslims-increasing-since-mosque-attacks/</w:t>
        </w:r>
      </w:hyperlink>
    </w:p>
    <w:bookmarkEnd w:id="133"/>
    <w:bookmarkStart w:id="135"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34">
        <w:r>
          <w:rPr>
            <w:rStyle w:val="Hyperlink"/>
          </w:rPr>
          <w:t xml:space="preserve">https://doi.org/10.1080/1177083x.2020.1733032</w:t>
        </w:r>
      </w:hyperlink>
    </w:p>
    <w:bookmarkEnd w:id="135"/>
    <w:bookmarkStart w:id="136"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36"/>
    <w:bookmarkStart w:id="138"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37">
        <w:r>
          <w:rPr>
            <w:rStyle w:val="Hyperlink"/>
          </w:rPr>
          <w:t xml:space="preserve">https://www.rnz.co.nz/news/national/463304/islamophobia-after-christchurch-terror-attacks-quadrupled-australian-report</w:t>
        </w:r>
      </w:hyperlink>
    </w:p>
    <w:bookmarkEnd w:id="138"/>
    <w:bookmarkStart w:id="140"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39">
        <w:r>
          <w:rPr>
            <w:rStyle w:val="Hyperlink"/>
          </w:rPr>
          <w:t xml:space="preserve">https://www.theguardian.com/world/2019/mar/15/one-of-new-zealands-darkest-days-jacinda-ardern-responds-to-christchurch-shooting</w:t>
        </w:r>
      </w:hyperlink>
    </w:p>
    <w:bookmarkEnd w:id="140"/>
    <w:bookmarkStart w:id="142"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41">
        <w:r>
          <w:rPr>
            <w:rStyle w:val="Hyperlink"/>
          </w:rPr>
          <w:t xml:space="preserve">https://doi.org/10.1386/jammr_00077_1</w:t>
        </w:r>
      </w:hyperlink>
    </w:p>
    <w:bookmarkEnd w:id="142"/>
    <w:bookmarkStart w:id="144"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43">
        <w:r>
          <w:rPr>
            <w:rStyle w:val="Hyperlink"/>
          </w:rPr>
          <w:t xml:space="preserve">https://doi.org/10.1002/mpr.310</w:t>
        </w:r>
      </w:hyperlink>
    </w:p>
    <w:bookmarkEnd w:id="144"/>
    <w:bookmarkStart w:id="145" w:name="ref-newzeal2024"/>
    <w:p>
      <w:pPr>
        <w:pStyle w:val="Bibliography"/>
      </w:pPr>
      <w:r>
        <w:rPr>
          <w:iCs/>
          <w:i/>
        </w:rPr>
        <w:t xml:space="preserve">New Zealand Attitudes and Values Study</w:t>
      </w:r>
      <w:r>
        <w:t xml:space="preserve">. (2024).</w:t>
      </w:r>
      <w:r>
        <w:t xml:space="preserve"> </w:t>
      </w:r>
      <w:hyperlink r:id="rId115">
        <w:r>
          <w:rPr>
            <w:rStyle w:val="Hyperlink"/>
          </w:rPr>
          <w:t xml:space="preserve">https://osf.io/75snb/</w:t>
        </w:r>
      </w:hyperlink>
    </w:p>
    <w:bookmarkEnd w:id="145"/>
    <w:bookmarkStart w:id="147" w:name="ref-newzeal2021"/>
    <w:p>
      <w:pPr>
        <w:pStyle w:val="Bibliography"/>
      </w:pPr>
      <w:r>
        <w:rPr>
          <w:iCs/>
          <w:i/>
        </w:rPr>
        <w:t xml:space="preserve">New zealand media coverage on muslims mostly use negative language - study</w:t>
      </w:r>
      <w:r>
        <w:t xml:space="preserve">. (2021).</w:t>
      </w:r>
      <w:r>
        <w:t xml:space="preserve"> </w:t>
      </w:r>
      <w:hyperlink r:id="rId146">
        <w:r>
          <w:rPr>
            <w:rStyle w:val="Hyperlink"/>
          </w:rPr>
          <w:t xml:space="preserve">https://www.rnz.co.nz/news/national/458598/new-zealand-media-coverage-on-muslims-mostly-use-negative-language-study</w:t>
        </w:r>
      </w:hyperlink>
    </w:p>
    <w:bookmarkEnd w:id="147"/>
    <w:bookmarkStart w:id="149"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48">
        <w:r>
          <w:rPr>
            <w:rStyle w:val="Hyperlink"/>
          </w:rPr>
          <w:t xml:space="preserve">https://www.rnz.co.nz/news/on-the-inside/384911/islamic-women-s-council-repeatedly-lobbied-to-stem-discrimination</w:t>
        </w:r>
      </w:hyperlink>
    </w:p>
    <w:bookmarkEnd w:id="149"/>
    <w:bookmarkStart w:id="151"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50">
        <w:r>
          <w:rPr>
            <w:rStyle w:val="Hyperlink"/>
          </w:rPr>
          <w:t xml:space="preserve">https://doi.org/10.1080/1177083x.2020.1747503</w:t>
        </w:r>
      </w:hyperlink>
    </w:p>
    <w:bookmarkEnd w:id="151"/>
    <w:bookmarkStart w:id="153"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52">
        <w:r>
          <w:rPr>
            <w:rStyle w:val="Hyperlink"/>
          </w:rPr>
          <w:t xml:space="preserve">https://christchurchattack.royalcommission.nz</w:t>
        </w:r>
      </w:hyperlink>
    </w:p>
    <w:bookmarkEnd w:id="153"/>
    <w:bookmarkStart w:id="154"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54"/>
    <w:bookmarkStart w:id="156"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55">
        <w:r>
          <w:rPr>
            <w:rStyle w:val="Hyperlink"/>
          </w:rPr>
          <w:t xml:space="preserve">https://doi.org/10.1371/journal.pone.0174606</w:t>
        </w:r>
      </w:hyperlink>
    </w:p>
    <w:bookmarkEnd w:id="156"/>
    <w:bookmarkStart w:id="158" w:name="ref-sibley2024"/>
    <w:p>
      <w:pPr>
        <w:pStyle w:val="Bibliography"/>
      </w:pPr>
      <w:r>
        <w:t xml:space="preserve">Sibley, C. G. (2024).</w:t>
      </w:r>
      <w:r>
        <w:t xml:space="preserve"> </w:t>
      </w:r>
      <w:r>
        <w:rPr>
          <w:iCs/>
          <w:i/>
        </w:rPr>
        <w:t xml:space="preserve">New Zealand Attitudes and Values Study</w:t>
      </w:r>
      <w:r>
        <w:t xml:space="preserve">.</w:t>
      </w:r>
      <w:r>
        <w:t xml:space="preserve"> </w:t>
      </w:r>
      <w:hyperlink r:id="rId157">
        <w:r>
          <w:rPr>
            <w:rStyle w:val="Hyperlink"/>
          </w:rPr>
          <w:t xml:space="preserve">https://osf.io/75snb/wiki/home/</w:t>
        </w:r>
      </w:hyperlink>
    </w:p>
    <w:bookmarkEnd w:id="158"/>
    <w:bookmarkStart w:id="159"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59"/>
    <w:bookmarkStart w:id="160"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60"/>
    <w:bookmarkStart w:id="162" w:name="ref-spoonley2020"/>
    <w:p>
      <w:pPr>
        <w:pStyle w:val="Bibliography"/>
      </w:pPr>
      <w:r>
        <w:t xml:space="preserve">Spoonley, P. (2020).</w:t>
      </w:r>
      <w:r>
        <w:t xml:space="preserve"> </w:t>
      </w:r>
      <w:r>
        <w:rPr>
          <w:iCs/>
          <w:i/>
        </w:rPr>
        <w:t xml:space="preserve">Far-right extremists still threaten new zealand, a year on from the christchurch attacks</w:t>
      </w:r>
      <w:r>
        <w:t xml:space="preserve">.</w:t>
      </w:r>
      <w:r>
        <w:t xml:space="preserve"> </w:t>
      </w:r>
      <w:hyperlink r:id="rId161">
        <w:r>
          <w:rPr>
            <w:rStyle w:val="Hyperlink"/>
          </w:rPr>
          <w:t xml:space="preserve">http://theconversation.com/far-right-extremists-still-threaten-new-zealand-a-year-on-from-the-christchurch-attacks-133050</w:t>
        </w:r>
      </w:hyperlink>
    </w:p>
    <w:bookmarkEnd w:id="162"/>
    <w:bookmarkStart w:id="164"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163">
        <w:r>
          <w:rPr>
            <w:rStyle w:val="Hyperlink"/>
          </w:rPr>
          <w:t xml:space="preserve">https://doi.org/10.1192/bjo.2023.641</w:t>
        </w:r>
      </w:hyperlink>
    </w:p>
    <w:bookmarkEnd w:id="164"/>
    <w:bookmarkStart w:id="165"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165"/>
    <w:bookmarkStart w:id="166" w:name="ref-thenew2016"/>
    <w:p>
      <w:pPr>
        <w:pStyle w:val="Bibliography"/>
      </w:pPr>
      <w:r>
        <w:rPr>
          <w:iCs/>
          <w:i/>
        </w:rPr>
        <w:t xml:space="preserve">The New Zealand Qualifications Framework</w:t>
      </w:r>
      <w:r>
        <w:t xml:space="preserve">. (2016).</w:t>
      </w:r>
    </w:p>
    <w:bookmarkEnd w:id="166"/>
    <w:bookmarkStart w:id="168"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167">
        <w:r>
          <w:rPr>
            <w:rStyle w:val="Hyperlink"/>
          </w:rPr>
          <w:t xml:space="preserve">http://theconversation.com/hate-crimes-against-muslims-spiked-after-the-mosque-attacks-and-ardern-promises-to-make-such-abuse-illegal-147347</w:t>
        </w:r>
      </w:hyperlink>
    </w:p>
    <w:bookmarkEnd w:id="168"/>
    <w:bookmarkStart w:id="170" w:name="ref-worldle2019"/>
    <w:p>
      <w:pPr>
        <w:pStyle w:val="Bibliography"/>
      </w:pPr>
      <w:r>
        <w:rPr>
          <w:iCs/>
          <w:i/>
        </w:rPr>
        <w:t xml:space="preserve">World leaders condemn New Zealand mosque attacks</w:t>
      </w:r>
      <w:r>
        <w:t xml:space="preserve">. (2019).</w:t>
      </w:r>
      <w:r>
        <w:t xml:space="preserve"> </w:t>
      </w:r>
      <w:hyperlink r:id="rId169">
        <w:r>
          <w:rPr>
            <w:rStyle w:val="Hyperlink"/>
          </w:rPr>
          <w:t xml:space="preserve">https://www.aljazeera.com/news/2019/3/15/the-world-reacts-to-new-zealand-mosque-attacks</w:t>
        </w:r>
      </w:hyperlink>
    </w:p>
    <w:bookmarkEnd w:id="170"/>
    <w:bookmarkStart w:id="171"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71"/>
    <w:bookmarkEnd w:id="172"/>
    <w:p>
      <w:r>
        <w:br w:type="page"/>
      </w:r>
    </w:p>
    <w:bookmarkEnd w:id="173"/>
    <w:bookmarkStart w:id="175" w:name="acknowledgements"/>
    <w:p>
      <w:pPr>
        <w:pStyle w:val="Heading1"/>
      </w:pPr>
      <w:r>
        <w:t xml:space="preserve">Acknowledgements</w:t>
      </w:r>
    </w:p>
    <w:p>
      <w:pPr>
        <w:pStyle w:val="FirstParagraph"/>
      </w:pPr>
      <w:r>
        <w:t xml:space="preserve">W. Joel Schneider for the</w:t>
      </w:r>
      <w:r>
        <w:t xml:space="preserve"> </w:t>
      </w:r>
      <w:hyperlink r:id="rId174">
        <w:r>
          <w:rPr>
            <w:rStyle w:val="Hyperlink"/>
          </w:rPr>
          <w:t xml:space="preserve">Quarto template</w:t>
        </w:r>
      </w:hyperlink>
      <w:r>
        <w:t xml:space="preserve">.</w:t>
      </w:r>
    </w:p>
    <w:p>
      <w:r>
        <w:br w:type="page"/>
      </w:r>
    </w:p>
    <w:bookmarkEnd w:id="175"/>
    <w:bookmarkStart w:id="196"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Ayca Arkilic:</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79"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77" name="Picture"/>
            <a:graphic>
              <a:graphicData uri="http://schemas.openxmlformats.org/drawingml/2006/picture">
                <pic:pic>
                  <pic:nvPicPr>
                    <pic:cNvPr descr="figs/warmth.png" id="178" name="Picture"/>
                    <pic:cNvPicPr>
                      <a:picLocks noChangeArrowheads="1" noChangeAspect="1"/>
                    </pic:cNvPicPr>
                  </pic:nvPicPr>
                  <pic:blipFill>
                    <a:blip r:embed="rId176"/>
                    <a:stretch>
                      <a:fillRect/>
                    </a:stretch>
                  </pic:blipFill>
                  <pic:spPr bwMode="auto">
                    <a:xfrm>
                      <a:off x="0" y="0"/>
                      <a:ext cx="4457700" cy="1591623"/>
                    </a:xfrm>
                    <a:prstGeom prst="rect">
                      <a:avLst/>
                    </a:prstGeom>
                    <a:noFill/>
                    <a:ln w="9525">
                      <a:noFill/>
                      <a:headEnd/>
                      <a:tailEnd/>
                    </a:ln>
                  </pic:spPr>
                </pic:pic>
              </a:graphicData>
            </a:graphic>
          </wp:inline>
        </w:drawing>
      </w:r>
    </w:p>
    <w:bookmarkEnd w:id="179"/>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83"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81" name="Picture"/>
            <a:graphic>
              <a:graphicData uri="http://schemas.openxmlformats.org/drawingml/2006/picture">
                <pic:pic>
                  <pic:nvPicPr>
                    <pic:cNvPr descr="figs/chronic-disease.png" id="182" name="Picture"/>
                    <pic:cNvPicPr>
                      <a:picLocks noChangeArrowheads="1" noChangeAspect="1"/>
                    </pic:cNvPicPr>
                  </pic:nvPicPr>
                  <pic:blipFill>
                    <a:blip r:embed="rId180"/>
                    <a:stretch>
                      <a:fillRect/>
                    </a:stretch>
                  </pic:blipFill>
                  <pic:spPr bwMode="auto">
                    <a:xfrm>
                      <a:off x="0" y="0"/>
                      <a:ext cx="4457700" cy="2103365"/>
                    </a:xfrm>
                    <a:prstGeom prst="rect">
                      <a:avLst/>
                    </a:prstGeom>
                    <a:noFill/>
                    <a:ln w="9525">
                      <a:noFill/>
                      <a:headEnd/>
                      <a:tailEnd/>
                    </a:ln>
                  </pic:spPr>
                </pic:pic>
              </a:graphicData>
            </a:graphic>
          </wp:inline>
        </w:drawing>
      </w:r>
    </w:p>
    <w:bookmarkEnd w:id="183"/>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87"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85" name="Picture"/>
            <a:graphic>
              <a:graphicData uri="http://schemas.openxmlformats.org/drawingml/2006/picture">
                <pic:pic>
                  <pic:nvPicPr>
                    <pic:cNvPr descr="figs/ethnic-groups.png" id="186" name="Picture"/>
                    <pic:cNvPicPr>
                      <a:picLocks noChangeArrowheads="1" noChangeAspect="1"/>
                    </pic:cNvPicPr>
                  </pic:nvPicPr>
                  <pic:blipFill>
                    <a:blip r:embed="rId184"/>
                    <a:stretch>
                      <a:fillRect/>
                    </a:stretch>
                  </pic:blipFill>
                  <pic:spPr bwMode="auto">
                    <a:xfrm>
                      <a:off x="0" y="0"/>
                      <a:ext cx="4457700" cy="2660240"/>
                    </a:xfrm>
                    <a:prstGeom prst="rect">
                      <a:avLst/>
                    </a:prstGeom>
                    <a:noFill/>
                    <a:ln w="9525">
                      <a:noFill/>
                      <a:headEnd/>
                      <a:tailEnd/>
                    </a:ln>
                  </pic:spPr>
                </pic:pic>
              </a:graphicData>
            </a:graphic>
          </wp:inline>
        </w:drawing>
      </w:r>
    </w:p>
    <w:bookmarkEnd w:id="187"/>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91"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89" name="Picture"/>
            <a:graphic>
              <a:graphicData uri="http://schemas.openxmlformats.org/drawingml/2006/picture">
                <pic:pic>
                  <pic:nvPicPr>
                    <pic:cNvPr descr="figs/kessler-6.png" id="190" name="Picture"/>
                    <pic:cNvPicPr>
                      <a:picLocks noChangeArrowheads="1" noChangeAspect="1"/>
                    </pic:cNvPicPr>
                  </pic:nvPicPr>
                  <pic:blipFill>
                    <a:blip r:embed="rId188"/>
                    <a:stretch>
                      <a:fillRect/>
                    </a:stretch>
                  </pic:blipFill>
                  <pic:spPr bwMode="auto">
                    <a:xfrm>
                      <a:off x="0" y="0"/>
                      <a:ext cx="4457700" cy="2009462"/>
                    </a:xfrm>
                    <a:prstGeom prst="rect">
                      <a:avLst/>
                    </a:prstGeom>
                    <a:noFill/>
                    <a:ln w="9525">
                      <a:noFill/>
                      <a:headEnd/>
                      <a:tailEnd/>
                    </a:ln>
                  </pic:spPr>
                </pic:pic>
              </a:graphicData>
            </a:graphic>
          </wp:inline>
        </w:drawing>
      </w:r>
    </w:p>
    <w:bookmarkEnd w:id="191"/>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Start w:id="195"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93" name="Picture"/>
            <a:graphic>
              <a:graphicData uri="http://schemas.openxmlformats.org/drawingml/2006/picture">
                <pic:pic>
                  <pic:nvPicPr>
                    <pic:cNvPr descr="figs/life-sat.png" id="194" name="Picture"/>
                    <pic:cNvPicPr>
                      <a:picLocks noChangeArrowheads="1" noChangeAspect="1"/>
                    </pic:cNvPicPr>
                  </pic:nvPicPr>
                  <pic:blipFill>
                    <a:blip r:embed="rId192"/>
                    <a:stretch>
                      <a:fillRect/>
                    </a:stretch>
                  </pic:blipFill>
                  <pic:spPr bwMode="auto">
                    <a:xfrm>
                      <a:off x="0" y="0"/>
                      <a:ext cx="4457700" cy="1914453"/>
                    </a:xfrm>
                    <a:prstGeom prst="rect">
                      <a:avLst/>
                    </a:prstGeom>
                    <a:noFill/>
                    <a:ln w="9525">
                      <a:noFill/>
                      <a:headEnd/>
                      <a:tailEnd/>
                    </a:ln>
                  </pic:spPr>
                </pic:pic>
              </a:graphicData>
            </a:graphic>
          </wp:inline>
        </w:drawing>
      </w:r>
    </w:p>
    <w:bookmarkEnd w:id="195"/>
    <w:p>
      <w:pPr>
        <w:pStyle w:val="FigureNote"/>
      </w:pPr>
      <w:r>
        <w:rPr>
          <w:iCs/>
          <w:i/>
        </w:rPr>
        <w:t xml:space="preserve">Note</w:t>
      </w:r>
      <w:r>
        <w:t xml:space="preserve">. From NZAVS Wave 15</w:t>
      </w:r>
      <w:r>
        <w:t xml:space="preserve"> </w:t>
      </w:r>
      <w:hyperlink r:id="rId115">
        <w:r>
          <w:rPr>
            <w:rStyle w:val="Hyperlink"/>
          </w:rPr>
          <w:t xml:space="preserve">https://osf.io/75snb/</w:t>
        </w:r>
      </w:hyperlink>
    </w:p>
    <w:p>
      <w:r>
        <w:br w:type="page"/>
      </w:r>
    </w:p>
    <w:bookmarkEnd w:id="196"/>
    <w:bookmarkStart w:id="197" w:name="appendix"/>
    <w:p>
      <w:pPr>
        <w:pStyle w:val="Heading1"/>
      </w:pPr>
      <w:r>
        <w:t xml:space="preserve">Appendix</w:t>
      </w:r>
    </w:p>
    <w:bookmarkEnd w:id="197"/>
    <w:bookmarkStart w:id="198" w:name="title-for-appendix"/>
    <w:p>
      <w:pPr>
        <w:pStyle w:val="Heading1"/>
      </w:pPr>
      <w:r>
        <w:t xml:space="preserve">Title for Appendix</w:t>
      </w:r>
    </w:p>
    <w:bookmarkEnd w:id="19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80" Target="media/rId180.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hyperlink" Id="rId120" Target="http://newsroom.co.nz/2020/08/18/what-is-islams-appeal-to-maori/" TargetMode="External" /><Relationship Type="http://schemas.openxmlformats.org/officeDocument/2006/relationships/hyperlink" Id="rId123" Target="http://newsroom.co.nz/2024/09/01/they-are-us-loses-its-lustre/" TargetMode="External" /><Relationship Type="http://schemas.openxmlformats.org/officeDocument/2006/relationships/hyperlink" Id="rId161" Target="http://theconversation.com/far-right-extremists-still-threaten-new-zealand-a-year-on-from-the-christchurch-attacks-133050" TargetMode="External" /><Relationship Type="http://schemas.openxmlformats.org/officeDocument/2006/relationships/hyperlink" Id="rId167" Target="http://theconversation.com/hate-crimes-against-muslims-spiked-after-the-mosque-attacks-and-ardern-promises-to-make-such-abuse-illegal-147347" TargetMode="External" /><Relationship Type="http://schemas.openxmlformats.org/officeDocument/2006/relationships/hyperlink" Id="rId152" Target="https://christchurchattack.royalcommission.nz" TargetMode="External" /><Relationship Type="http://schemas.openxmlformats.org/officeDocument/2006/relationships/hyperlink" Id="rId143" Target="https://doi.org/10.1002/mpr.310" TargetMode="External" /><Relationship Type="http://schemas.openxmlformats.org/officeDocument/2006/relationships/hyperlink" Id="rId129" Target="https://doi.org/10.1038/s41598-022-05678-x" TargetMode="External" /><Relationship Type="http://schemas.openxmlformats.org/officeDocument/2006/relationships/hyperlink" Id="rId134" Target="https://doi.org/10.1080/1177083x.2020.1733032" TargetMode="External" /><Relationship Type="http://schemas.openxmlformats.org/officeDocument/2006/relationships/hyperlink" Id="rId150" Target="https://doi.org/10.1080/1177083x.2020.1747503" TargetMode="External" /><Relationship Type="http://schemas.openxmlformats.org/officeDocument/2006/relationships/hyperlink" Id="rId118" Target="https://doi.org/10.1080/19434472.2020.1800785" TargetMode="External" /><Relationship Type="http://schemas.openxmlformats.org/officeDocument/2006/relationships/hyperlink" Id="rId127" Target="https://doi.org/10.1093/pnasnexus/pgad242" TargetMode="External" /><Relationship Type="http://schemas.openxmlformats.org/officeDocument/2006/relationships/hyperlink" Id="rId163" Target="https://doi.org/10.1192/bjo.2023.641" TargetMode="External" /><Relationship Type="http://schemas.openxmlformats.org/officeDocument/2006/relationships/hyperlink" Id="rId155" Target="https://doi.org/10.1371/journal.pone.0174606" TargetMode="External" /><Relationship Type="http://schemas.openxmlformats.org/officeDocument/2006/relationships/hyperlink" Id="rId141" Target="https://doi.org/10.1386/jammr_00077_1" TargetMode="External" /><Relationship Type="http://schemas.openxmlformats.org/officeDocument/2006/relationships/hyperlink" Id="rId174" Target="https://github.com/wjschne/apaquarto" TargetMode="External" /><Relationship Type="http://schemas.openxmlformats.org/officeDocument/2006/relationships/hyperlink" Id="rId115" Target="https://osf.io/75snb/" TargetMode="External" /><Relationship Type="http://schemas.openxmlformats.org/officeDocument/2006/relationships/hyperlink" Id="rId157" Target="https://osf.io/75snb/wiki/home/" TargetMode="External" /><Relationship Type="http://schemas.openxmlformats.org/officeDocument/2006/relationships/hyperlink" Id="rId132" Target="https://www.1news.co.nz/2023/03/12/online-hate-towards-muslims-increasing-since-mosque-attacks/" TargetMode="External" /><Relationship Type="http://schemas.openxmlformats.org/officeDocument/2006/relationships/hyperlink" Id="rId169" Target="https://www.aljazeera.com/news/2019/3/15/the-world-reacts-to-new-zealand-mosque-attacks" TargetMode="External" /><Relationship Type="http://schemas.openxmlformats.org/officeDocument/2006/relationships/hyperlink" Id="rId146" Target="https://www.rnz.co.nz/news/national/458598/new-zealand-media-coverage-on-muslims-mostly-use-negative-language-study" TargetMode="External" /><Relationship Type="http://schemas.openxmlformats.org/officeDocument/2006/relationships/hyperlink" Id="rId137" Target="https://www.rnz.co.nz/news/national/463304/islamophobia-after-christchurch-terror-attacks-quadrupled-australian-report" TargetMode="External" /><Relationship Type="http://schemas.openxmlformats.org/officeDocument/2006/relationships/hyperlink" Id="rId148" Target="https://www.rnz.co.nz/news/on-the-inside/384911/islamic-women-s-council-repeatedly-lobbied-to-stem-discrimination" TargetMode="External" /><Relationship Type="http://schemas.openxmlformats.org/officeDocument/2006/relationships/hyperlink" Id="rId139"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20" Target="http://newsroom.co.nz/2020/08/18/what-is-islams-appeal-to-maori/" TargetMode="External" /><Relationship Type="http://schemas.openxmlformats.org/officeDocument/2006/relationships/hyperlink" Id="rId123" Target="http://newsroom.co.nz/2024/09/01/they-are-us-loses-its-lustre/" TargetMode="External" /><Relationship Type="http://schemas.openxmlformats.org/officeDocument/2006/relationships/hyperlink" Id="rId161" Target="http://theconversation.com/far-right-extremists-still-threaten-new-zealand-a-year-on-from-the-christchurch-attacks-133050" TargetMode="External" /><Relationship Type="http://schemas.openxmlformats.org/officeDocument/2006/relationships/hyperlink" Id="rId167" Target="http://theconversation.com/hate-crimes-against-muslims-spiked-after-the-mosque-attacks-and-ardern-promises-to-make-such-abuse-illegal-147347" TargetMode="External" /><Relationship Type="http://schemas.openxmlformats.org/officeDocument/2006/relationships/hyperlink" Id="rId152" Target="https://christchurchattack.royalcommission.nz" TargetMode="External" /><Relationship Type="http://schemas.openxmlformats.org/officeDocument/2006/relationships/hyperlink" Id="rId143" Target="https://doi.org/10.1002/mpr.310" TargetMode="External" /><Relationship Type="http://schemas.openxmlformats.org/officeDocument/2006/relationships/hyperlink" Id="rId129" Target="https://doi.org/10.1038/s41598-022-05678-x" TargetMode="External" /><Relationship Type="http://schemas.openxmlformats.org/officeDocument/2006/relationships/hyperlink" Id="rId134" Target="https://doi.org/10.1080/1177083x.2020.1733032" TargetMode="External" /><Relationship Type="http://schemas.openxmlformats.org/officeDocument/2006/relationships/hyperlink" Id="rId150" Target="https://doi.org/10.1080/1177083x.2020.1747503" TargetMode="External" /><Relationship Type="http://schemas.openxmlformats.org/officeDocument/2006/relationships/hyperlink" Id="rId118" Target="https://doi.org/10.1080/19434472.2020.1800785" TargetMode="External" /><Relationship Type="http://schemas.openxmlformats.org/officeDocument/2006/relationships/hyperlink" Id="rId127" Target="https://doi.org/10.1093/pnasnexus/pgad242" TargetMode="External" /><Relationship Type="http://schemas.openxmlformats.org/officeDocument/2006/relationships/hyperlink" Id="rId163" Target="https://doi.org/10.1192/bjo.2023.641" TargetMode="External" /><Relationship Type="http://schemas.openxmlformats.org/officeDocument/2006/relationships/hyperlink" Id="rId155" Target="https://doi.org/10.1371/journal.pone.0174606" TargetMode="External" /><Relationship Type="http://schemas.openxmlformats.org/officeDocument/2006/relationships/hyperlink" Id="rId141" Target="https://doi.org/10.1386/jammr_00077_1" TargetMode="External" /><Relationship Type="http://schemas.openxmlformats.org/officeDocument/2006/relationships/hyperlink" Id="rId174" Target="https://github.com/wjschne/apaquarto" TargetMode="External" /><Relationship Type="http://schemas.openxmlformats.org/officeDocument/2006/relationships/hyperlink" Id="rId115" Target="https://osf.io/75snb/" TargetMode="External" /><Relationship Type="http://schemas.openxmlformats.org/officeDocument/2006/relationships/hyperlink" Id="rId157" Target="https://osf.io/75snb/wiki/home/" TargetMode="External" /><Relationship Type="http://schemas.openxmlformats.org/officeDocument/2006/relationships/hyperlink" Id="rId132" Target="https://www.1news.co.nz/2023/03/12/online-hate-towards-muslims-increasing-since-mosque-attacks/" TargetMode="External" /><Relationship Type="http://schemas.openxmlformats.org/officeDocument/2006/relationships/hyperlink" Id="rId169" Target="https://www.aljazeera.com/news/2019/3/15/the-world-reacts-to-new-zealand-mosque-attacks" TargetMode="External" /><Relationship Type="http://schemas.openxmlformats.org/officeDocument/2006/relationships/hyperlink" Id="rId146" Target="https://www.rnz.co.nz/news/national/458598/new-zealand-media-coverage-on-muslims-mostly-use-negative-language-study" TargetMode="External" /><Relationship Type="http://schemas.openxmlformats.org/officeDocument/2006/relationships/hyperlink" Id="rId137" Target="https://www.rnz.co.nz/news/national/463304/islamophobia-after-christchurch-terror-attacks-quadrupled-australian-report" TargetMode="External" /><Relationship Type="http://schemas.openxmlformats.org/officeDocument/2006/relationships/hyperlink" Id="rId148" Target="https://www.rnz.co.nz/news/on-the-inside/384911/islamic-women-s-council-repeatedly-lobbied-to-stem-discrimination" TargetMode="External" /><Relationship Type="http://schemas.openxmlformats.org/officeDocument/2006/relationships/hyperlink" Id="rId139"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cp:keywords>
  <dcterms:created xsi:type="dcterms:W3CDTF">2024-09-27T02:45:55Z</dcterms:created>
  <dcterms:modified xsi:type="dcterms:W3CDTF">2024-09-27T02:45:55Z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thousands of subjects.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from the Muslim perspective and look deeper into the remarkable resilience of Muslims despite many challenges.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questionnaiere,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