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2 -->
  <w:body>
    <w:p w:rsidR="00332BA2" w:rsidP="00217028">
      <w:pPr>
        <w:pStyle w:val="Title"/>
        <w:outlineLvl w:val="0"/>
      </w:pPr>
      <w:bookmarkStart w:id="0" w:name="_Toc359077851"/>
      <w:bookmarkStart w:id="1" w:name="OLE_LINK1"/>
      <w:bookmarkStart w:id="2" w:name="OLE_LINK2"/>
      <w:r>
        <w:t xml:space="preserve">Demonstration of DOCX support in </w:t>
      </w:r>
      <w:r>
        <w:t>calibre</w:t>
      </w:r>
      <w:bookmarkEnd w:id="0"/>
    </w:p>
    <w:bookmarkEnd w:id="1"/>
    <w:bookmarkEnd w:id="2"/>
    <w:p w:rsidR="00B63EA6" w:rsidP="00230C50">
      <w:r w:rsidRPr="005945C3">
        <w:t xml:space="preserve">This </w:t>
      </w:r>
      <w:bookmarkStart w:id="3" w:name="_GoBack"/>
      <w:bookmarkEnd w:id="3"/>
      <w:r w:rsidRPr="005945C3">
        <w:t>document</w:t>
      </w:r>
      <w:r>
        <w:t xml:space="preserve"> demonstrates the ability of the </w:t>
      </w:r>
      <w:r>
        <w:t>calibre</w:t>
      </w:r>
      <w:r>
        <w:t xml:space="preserve"> DOCX Input plugin to convert the various typographic features in a Microsoft Word (2007 and newer) document. Convert this document to a modern </w:t>
      </w:r>
      <w:r>
        <w:t>ebook</w:t>
      </w:r>
      <w:r>
        <w:t xml:space="preserve"> format, such as AZW3 for Kindles or EPUB for other </w:t>
      </w:r>
      <w:r>
        <w:t>ebook</w:t>
      </w:r>
      <w:r>
        <w:t xml:space="preserve"> readers, to see it in action.</w:t>
      </w:r>
    </w:p>
    <w:p w:rsidR="00A406DC" w:rsidP="00230C50">
      <w:r>
        <w:t xml:space="preserve">There is support for images, tables, lists, footnotes, endnotes, links, </w:t>
      </w:r>
      <w:r>
        <w:t>dropcaps</w:t>
      </w:r>
      <w:r>
        <w:t xml:space="preserve"> and various types of text and paragraph level formatting.</w:t>
      </w:r>
    </w:p>
    <w:p w:rsidR="00565820" w:rsidRPr="00565820" w:rsidP="00230C50">
      <w:r>
        <w:t xml:space="preserve">To see the DOCX conversion in action, simply add this file to </w:t>
      </w:r>
      <w:r>
        <w:t>calibre</w:t>
      </w:r>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P="00EC322F">
      <w:r>
        <w:t xml:space="preserve">This document demonstrates the ability of the </w:t>
      </w:r>
      <w:r>
        <w:t>calibre</w:t>
      </w:r>
      <w:r>
        <w:t xml:space="preserve"> DOCX Input plugin to convert the various typographic features in a Microsoft Word (2007 and newer) document. Convert this document to a modern </w:t>
      </w:r>
      <w:r>
        <w:t>ebook</w:t>
      </w:r>
      <w:r>
        <w:t xml:space="preserve"> format, such as AZW3 for Kindles or EPUB for other </w:t>
      </w:r>
      <w:r>
        <w:t>ebook</w:t>
      </w:r>
      <w:r>
        <w:t xml:space="preserve"> readers, to see it in action.</w:t>
      </w:r>
    </w:p>
    <w:p w:rsidR="00EC322F" w:rsidP="00EC322F">
      <w:r>
        <w:t xml:space="preserve">There is support for images, tables, lists, footnotes, endnotes, links, </w:t>
      </w:r>
      <w:r>
        <w:t>dropcaps</w:t>
      </w:r>
      <w:r>
        <w:t xml:space="preserve"> and various types of text and paragraph level formatting.</w:t>
      </w:r>
    </w:p>
    <w:p w:rsidR="00EC322F" w:rsidRPr="00565820" w:rsidP="00EC322F">
      <w:r>
        <w:t xml:space="preserve">To see the DOCX conversion in action, simply add this file to </w:t>
      </w:r>
      <w:r>
        <w:t>calibre</w:t>
      </w:r>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P="00EC322F"/>
    <w:p w:rsidR="00EC322F" w:rsidP="00EC322F">
      <w:r>
        <w:t xml:space="preserve">This document demonstrates the ability of the </w:t>
      </w:r>
      <w:r>
        <w:t>calibre</w:t>
      </w:r>
      <w:r>
        <w:t xml:space="preserve"> DOCX Input plugin to convert the various typographic features in a Microsoft Word (2007 and newer) document. Convert this document to a modern </w:t>
      </w:r>
      <w:r>
        <w:t>ebook</w:t>
      </w:r>
      <w:r>
        <w:t xml:space="preserve"> format, such as AZW3 for Kindles or EPUB for other </w:t>
      </w:r>
      <w:r>
        <w:t>ebook</w:t>
      </w:r>
      <w:r>
        <w:t xml:space="preserve"> readers, to see it in action.</w:t>
      </w:r>
    </w:p>
    <w:p w:rsidR="00EC322F" w:rsidP="00EC322F">
      <w:r>
        <w:t xml:space="preserve">There is support for images, tables, lists, footnotes, endnotes, links, </w:t>
      </w:r>
      <w:r>
        <w:t>dropcaps</w:t>
      </w:r>
      <w:r>
        <w:t xml:space="preserve"> and various types of text and paragraph level formatting.</w:t>
      </w:r>
    </w:p>
    <w:p w:rsidR="00EC322F" w:rsidRPr="00565820" w:rsidP="00EC322F">
      <w:r>
        <w:t xml:space="preserve">To see the DOCX conversion in action, simply add this file to </w:t>
      </w:r>
      <w:r>
        <w:t>calibre</w:t>
      </w:r>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P="00EC322F"/>
    <w:p w:rsidR="00386659" w:rsidP="00EC322F">
      <w:r>
        <w:t xml:space="preserve">This document demonstrates the ability of the </w:t>
      </w:r>
      <w:r>
        <w:t>calibre</w:t>
      </w:r>
      <w:r>
        <w:t xml:space="preserve"> DOCX Input plugin to convert the various typographic features in a Microsoft Word (2007 and newer) document. </w:t>
      </w:r>
    </w:p>
    <w:p w:rsidR="00386659" w:rsidP="00386659">
      <w:pPr>
        <w:pStyle w:val="Heading1"/>
      </w:pPr>
      <w:bookmarkStart w:id="4" w:name="_Toc359077852"/>
      <w:r>
        <w:t xml:space="preserve">No </w:t>
      </w:r>
      <w:r w:rsidR="002D0E91">
        <w:t>Text Formatting</w:t>
      </w:r>
      <w:bookmarkEnd w:id="4"/>
    </w:p>
    <w:p w:rsidR="00386659" w:rsidP="00753CF0">
      <w:pPr>
        <w:pStyle w:val="Heading2"/>
      </w:pPr>
      <w:bookmarkStart w:id="5" w:name="_Toc359077853"/>
      <w:r>
        <w:t>Inline formatting</w:t>
      </w:r>
      <w:bookmarkEnd w:id="5"/>
    </w:p>
    <w:p w:rsidR="00386659" w:rsidP="00386659">
      <w:r>
        <w:t>Here, we demonstrate various types of inline text formatting and the use of embedded fonts.</w:t>
      </w:r>
    </w:p>
    <w:p w:rsidR="00A65B8B"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r>
        <w:rPr>
          <w:strike/>
        </w:rPr>
        <w:t xml:space="preserve">out </w:t>
      </w:r>
      <w:r>
        <w:t xml:space="preserve"> text</w:t>
      </w:r>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xml:space="preserve">. Some text in a </w:t>
      </w:r>
      <w:r w:rsidRPr="00386659">
        <w:rPr>
          <w:bdr w:val="single" w:sz="4" w:space="0" w:color="auto"/>
        </w:rPr>
        <w:t>box</w:t>
      </w:r>
      <w:r>
        <w:t xml:space="preserve">. Some text in </w:t>
      </w:r>
      <w:r w:rsidRPr="00386659">
        <w:rPr>
          <w:color w:val="FFFFFF" w:themeColor="background1"/>
          <w:shd w:val="clear" w:color="auto" w:fill="000000" w:themeFill="text1"/>
        </w:rPr>
        <w:t>inverse video</w:t>
      </w:r>
      <w:r>
        <w:t>.</w:t>
      </w:r>
    </w:p>
    <w:p w:rsidR="00A65B8B" w:rsidP="00A65B8B">
      <w:r>
        <w:t xml:space="preserve">A paragraph with styled text: </w:t>
      </w:r>
      <w:r w:rsidRPr="00A65B8B">
        <w:rPr>
          <w:rStyle w:val="SubtleEmphasis"/>
        </w:rPr>
        <w:t xml:space="preserve">subtle </w:t>
      </w:r>
      <w:r w:rsidRPr="00A65B8B">
        <w:rPr>
          <w:rStyle w:val="SubtleEmphasis"/>
        </w:rPr>
        <w:t>emphasis</w:t>
      </w:r>
      <w:r>
        <w:rPr>
          <w:rStyle w:val="SubtleEmphasis"/>
        </w:rPr>
        <w:t xml:space="preserve">  </w:t>
      </w:r>
      <w:r w:rsidRPr="00A65B8B">
        <w:t>f</w:t>
      </w:r>
      <w:r>
        <w:t>ollowed</w:t>
      </w:r>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 — </w:t>
      </w:r>
      <w:r>
        <w:t>calibre</w:t>
      </w:r>
      <w:r>
        <w:t xml:space="preserve"> can handle both with equal ease.</w:t>
      </w:r>
    </w:p>
    <w:p w:rsidR="00025E62" w:rsidP="00025E62">
      <w:pPr>
        <w:pStyle w:val="Heading2"/>
      </w:pPr>
      <w:bookmarkStart w:id="6" w:name="_Toc359077854"/>
      <w:r>
        <w:t>Fun with fonts</w:t>
      </w:r>
      <w:bookmarkEnd w:id="6"/>
    </w:p>
    <w:p w:rsidR="00F53871" w:rsidP="00A65B8B">
      <w:r>
        <w:t xml:space="preserve">This document has embedded the Ubuntu font family. The body text is in the Ubuntu typeface, here is </w:t>
      </w:r>
      <w:r w:rsidRPr="00F53871">
        <w:rPr>
          <w:rFonts w:ascii="Ubuntu Mono" w:hAnsi="Ubuntu Mono"/>
        </w:rPr>
        <w:t>some text in the Ubuntu Mono typeface</w:t>
      </w:r>
      <w:r>
        <w:rPr>
          <w:rFonts w:ascii="Ubuntu Mono" w:hAnsi="Ubuntu Mono"/>
        </w:rPr>
        <w:t xml:space="preserve">, notice how every letter has the same width, even </w:t>
      </w:r>
      <w:r>
        <w:rPr>
          <w:rFonts w:ascii="Ubuntu Mono" w:hAnsi="Ubuntu Mono"/>
        </w:rPr>
        <w:t>i</w:t>
      </w:r>
      <w:r>
        <w:rPr>
          <w:rFonts w:ascii="Ubuntu Mono" w:hAnsi="Ubuntu Mono"/>
        </w:rPr>
        <w:t xml:space="preserve"> and m</w:t>
      </w:r>
      <w:r>
        <w:t xml:space="preserve">. Every embedded font will automatically be embedded in the output </w:t>
      </w:r>
      <w:r>
        <w:t>ebook</w:t>
      </w:r>
      <w:r>
        <w:t xml:space="preserve"> during conversion. </w:t>
      </w:r>
    </w:p>
    <w:p w:rsidR="001D582F" w:rsidP="001D582F">
      <w:pPr>
        <w:pStyle w:val="Heading2"/>
        <w:rPr>
          <w:rStyle w:val="IntenseEmphasis"/>
          <w:b/>
          <w:bCs/>
          <w:i w:val="0"/>
          <w:iCs w:val="0"/>
        </w:rPr>
      </w:pPr>
      <w:bookmarkStart w:id="7" w:name="_Paragraph_level_formatting"/>
      <w:bookmarkStart w:id="8" w:name="_Toc359077855"/>
      <w:bookmarkEnd w:id="7"/>
      <w:r>
        <w:rPr>
          <w:rStyle w:val="IntenseEmphasis"/>
          <w:b/>
          <w:bCs/>
          <w:i w:val="0"/>
          <w:iCs w:val="0"/>
        </w:rPr>
        <w:t>Paragraph level formatting</w:t>
      </w:r>
      <w:bookmarkEnd w:id="8"/>
    </w:p>
    <w:p w:rsidR="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r>
        <w:t>is  too</w:t>
      </w:r>
      <w:r>
        <w:t xml:space="preserve"> narrow to display it as a single line. Not only does this paragraph have a hanging indent, it is also has an extra top margin, setting it apart from the preceding paragraph.</w:t>
      </w:r>
    </w:p>
    <w:p w:rsidR="00297ABF" w:rsidP="00297ABF">
      <w:pPr>
        <w:pStyle w:val="Heading1"/>
      </w:pPr>
      <w:bookmarkStart w:id="9" w:name="_Toc359077856"/>
      <w:r>
        <w:t>Tables</w:t>
      </w:r>
      <w:bookmarkEnd w:id="9"/>
    </w:p>
    <w:tbl>
      <w:tblPr>
        <w:tblStyle w:val="LightListAccent3"/>
        <w:tblpPr w:rightFromText="187" w:bottomFromText="72" w:vertAnchor="text" w:tblpY="1"/>
        <w:tblOverlap w:val="never"/>
        <w:tblW w:w="0" w:type="auto"/>
        <w:tblLook w:val="0620"/>
      </w:tblPr>
      <w:tblGrid>
        <w:gridCol w:w="1818"/>
        <w:gridCol w:w="1620"/>
      </w:tblGrid>
      <w:tr w:rsidTr="00C71DF3">
        <w:tblPrEx>
          <w:tblW w:w="0" w:type="auto"/>
          <w:tblLook w:val="0620"/>
        </w:tblPrEx>
        <w:tc>
          <w:tcPr>
            <w:tcW w:w="1818" w:type="dxa"/>
          </w:tcPr>
          <w:p w:rsidR="00297ABF" w:rsidP="00B86920">
            <w:r>
              <w:t>ITEM</w:t>
            </w:r>
          </w:p>
        </w:tc>
        <w:tc>
          <w:tcPr>
            <w:tcW w:w="1620" w:type="dxa"/>
          </w:tcPr>
          <w:p w:rsidR="00297ABF" w:rsidP="00B86920">
            <w:r>
              <w:t>NEEDED</w:t>
            </w:r>
          </w:p>
        </w:tc>
      </w:tr>
      <w:tr w:rsidTr="00C71DF3">
        <w:tblPrEx>
          <w:tblW w:w="0" w:type="auto"/>
          <w:tblLook w:val="0620"/>
        </w:tblPrEx>
        <w:tc>
          <w:tcPr>
            <w:tcW w:w="1818" w:type="dxa"/>
          </w:tcPr>
          <w:p w:rsidR="00297ABF" w:rsidP="00B86920">
            <w:r>
              <w:t>Books</w:t>
            </w:r>
          </w:p>
        </w:tc>
        <w:tc>
          <w:tcPr>
            <w:tcW w:w="1620" w:type="dxa"/>
          </w:tcPr>
          <w:p w:rsidR="00297ABF" w:rsidP="00B86920">
            <w:r>
              <w:t>1</w:t>
            </w:r>
          </w:p>
        </w:tc>
      </w:tr>
      <w:tr w:rsidTr="00C71DF3">
        <w:tblPrEx>
          <w:tblW w:w="0" w:type="auto"/>
          <w:tblLook w:val="0620"/>
        </w:tblPrEx>
        <w:tc>
          <w:tcPr>
            <w:tcW w:w="1818" w:type="dxa"/>
          </w:tcPr>
          <w:p w:rsidR="00297ABF" w:rsidP="00B86920">
            <w:r>
              <w:t>Pens</w:t>
            </w:r>
          </w:p>
        </w:tc>
        <w:tc>
          <w:tcPr>
            <w:tcW w:w="1620" w:type="dxa"/>
          </w:tcPr>
          <w:p w:rsidR="00297ABF" w:rsidP="00B86920">
            <w:r>
              <w:t>3</w:t>
            </w:r>
          </w:p>
        </w:tc>
      </w:tr>
      <w:tr w:rsidTr="00C71DF3">
        <w:tblPrEx>
          <w:tblW w:w="0" w:type="auto"/>
          <w:tblLook w:val="0620"/>
        </w:tblPrEx>
        <w:tc>
          <w:tcPr>
            <w:tcW w:w="1818" w:type="dxa"/>
          </w:tcPr>
          <w:p w:rsidR="00297ABF" w:rsidP="00B86920">
            <w:r>
              <w:t>Pencils</w:t>
            </w:r>
          </w:p>
        </w:tc>
        <w:tc>
          <w:tcPr>
            <w:tcW w:w="1620" w:type="dxa"/>
          </w:tcPr>
          <w:p w:rsidR="00297ABF" w:rsidP="00B86920">
            <w:r>
              <w:t>2</w:t>
            </w:r>
          </w:p>
        </w:tc>
      </w:tr>
      <w:tr w:rsidTr="00C71DF3">
        <w:tblPrEx>
          <w:tblW w:w="0" w:type="auto"/>
          <w:tblLook w:val="0620"/>
        </w:tblPrEx>
        <w:tc>
          <w:tcPr>
            <w:tcW w:w="1818" w:type="dxa"/>
          </w:tcPr>
          <w:p w:rsidR="00297ABF" w:rsidP="00B86920">
            <w:r>
              <w:t>Highlighter</w:t>
            </w:r>
          </w:p>
        </w:tc>
        <w:tc>
          <w:tcPr>
            <w:tcW w:w="1620" w:type="dxa"/>
          </w:tcPr>
          <w:p w:rsidR="00297ABF" w:rsidP="00B86920">
            <w:r>
              <w:t>2 colors</w:t>
            </w:r>
          </w:p>
        </w:tc>
      </w:tr>
      <w:tr w:rsidTr="00C71DF3">
        <w:tblPrEx>
          <w:tblW w:w="0" w:type="auto"/>
          <w:tblLook w:val="0620"/>
        </w:tblPrEx>
        <w:tc>
          <w:tcPr>
            <w:tcW w:w="1818" w:type="dxa"/>
          </w:tcPr>
          <w:p w:rsidR="00297ABF" w:rsidP="00B86920">
            <w:r>
              <w:t>Scissors</w:t>
            </w:r>
          </w:p>
        </w:tc>
        <w:tc>
          <w:tcPr>
            <w:tcW w:w="1620" w:type="dxa"/>
          </w:tcPr>
          <w:p w:rsidR="00297ABF" w:rsidP="00B86920">
            <w:r>
              <w:t>1 pair</w:t>
            </w:r>
          </w:p>
        </w:tc>
      </w:tr>
    </w:tbl>
    <w:p w:rsidR="00297ABF" w:rsidP="00297ABF">
      <w:r>
        <w:t xml:space="preserve">Tables in Word can vary from the extremely simple to the extremely complex. </w:t>
      </w:r>
      <w:r>
        <w:t>calibre</w:t>
      </w:r>
      <w:r>
        <w:t xml:space="preserv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p>
    <w:p w:rsidR="00297ABF" w:rsidRPr="00297ABF" w:rsidP="00297ABF">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City or Town</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A</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B</w:t>
            </w:r>
          </w:p>
        </w:tc>
        <w:tc>
          <w:tcPr>
            <w:tcW w:w="850"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C</w:t>
            </w:r>
          </w:p>
        </w:tc>
        <w:tc>
          <w:tcPr>
            <w:tcW w:w="851"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D</w:t>
            </w:r>
          </w:p>
        </w:tc>
        <w:tc>
          <w:tcPr>
            <w:tcW w:w="783"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E</w:t>
            </w:r>
          </w:p>
        </w:tc>
      </w:tr>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pPr>
              <w:jc w:val="center"/>
              <w:rPr>
                <w:rFonts w:asciiTheme="minorHAnsi" w:eastAsiaTheme="minorEastAsia" w:hAnsiTheme="minorHAnsi" w:cstheme="minorBidi"/>
                <w:color w:val="auto"/>
              </w:rPr>
            </w:pPr>
          </w:p>
        </w:tc>
        <w:tc>
          <w:tcPr>
            <w:tcW w:w="850" w:type="pct"/>
          </w:tcPr>
          <w:p w:rsidR="00297ABF">
            <w:pPr>
              <w:jc w:val="center"/>
              <w:rPr>
                <w:rFonts w:asciiTheme="minorHAnsi" w:eastAsiaTheme="minorEastAsia" w:hAnsiTheme="minorHAnsi" w:cstheme="minorBidi"/>
                <w:color w:val="auto"/>
              </w:rPr>
            </w:pPr>
          </w:p>
        </w:tc>
        <w:tc>
          <w:tcPr>
            <w:tcW w:w="851" w:type="pct"/>
          </w:tcPr>
          <w:p w:rsidR="00297ABF">
            <w:pPr>
              <w:jc w:val="center"/>
              <w:rPr>
                <w:rFonts w:asciiTheme="minorHAnsi" w:eastAsiaTheme="minorEastAsia" w:hAnsiTheme="minorHAnsi" w:cstheme="minorBidi"/>
                <w:color w:val="auto"/>
              </w:rPr>
            </w:pPr>
          </w:p>
        </w:tc>
        <w:tc>
          <w:tcPr>
            <w:tcW w:w="783" w:type="pct"/>
          </w:tcPr>
          <w:p w:rsidR="00297ABF">
            <w:pPr>
              <w:jc w:val="center"/>
              <w:rPr>
                <w:rFonts w:asciiTheme="minorHAnsi" w:eastAsiaTheme="minorEastAsia" w:hAnsiTheme="minorHAnsi" w:cstheme="minorBidi"/>
                <w:color w:val="auto"/>
              </w:rPr>
            </w:pPr>
          </w:p>
        </w:tc>
      </w:tr>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pPr>
              <w:jc w:val="center"/>
              <w:rPr>
                <w:rFonts w:asciiTheme="minorHAnsi" w:eastAsiaTheme="minorEastAsia" w:hAnsiTheme="minorHAnsi" w:cstheme="minorBidi"/>
                <w:color w:val="auto"/>
              </w:rPr>
            </w:pPr>
          </w:p>
        </w:tc>
        <w:tc>
          <w:tcPr>
            <w:tcW w:w="851" w:type="pct"/>
          </w:tcPr>
          <w:p w:rsidR="00297ABF">
            <w:pPr>
              <w:jc w:val="center"/>
              <w:rPr>
                <w:rFonts w:asciiTheme="minorHAnsi" w:eastAsiaTheme="minorEastAsia" w:hAnsiTheme="minorHAnsi" w:cstheme="minorBidi"/>
                <w:color w:val="auto"/>
              </w:rPr>
            </w:pPr>
          </w:p>
        </w:tc>
        <w:tc>
          <w:tcPr>
            <w:tcW w:w="783" w:type="pct"/>
          </w:tcPr>
          <w:p w:rsidR="00297ABF">
            <w:pPr>
              <w:jc w:val="center"/>
              <w:rPr>
                <w:rFonts w:asciiTheme="minorHAnsi" w:eastAsiaTheme="minorEastAsia" w:hAnsiTheme="minorHAnsi" w:cstheme="minorBidi"/>
                <w:color w:val="auto"/>
              </w:rPr>
            </w:pPr>
          </w:p>
        </w:tc>
      </w:tr>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pPr>
              <w:jc w:val="center"/>
              <w:rPr>
                <w:rFonts w:asciiTheme="minorHAnsi" w:eastAsiaTheme="minorEastAsia" w:hAnsiTheme="minorHAnsi" w:cstheme="minorBidi"/>
                <w:color w:val="auto"/>
              </w:rPr>
            </w:pPr>
          </w:p>
        </w:tc>
        <w:tc>
          <w:tcPr>
            <w:tcW w:w="783" w:type="pct"/>
          </w:tcPr>
          <w:p w:rsidR="00297ABF">
            <w:pPr>
              <w:jc w:val="center"/>
              <w:rPr>
                <w:rFonts w:asciiTheme="minorHAnsi" w:eastAsiaTheme="minorEastAsia" w:hAnsiTheme="minorHAnsi" w:cstheme="minorBidi"/>
                <w:color w:val="auto"/>
              </w:rPr>
            </w:pPr>
          </w:p>
        </w:tc>
      </w:tr>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pPr>
              <w:jc w:val="center"/>
              <w:rPr>
                <w:rFonts w:asciiTheme="minorHAnsi" w:eastAsiaTheme="minorEastAsia" w:hAnsiTheme="minorHAnsi" w:cstheme="minorBidi"/>
                <w:color w:val="auto"/>
              </w:rPr>
            </w:pPr>
          </w:p>
        </w:tc>
      </w:tr>
      <w:tr w:rsidTr="00C71DF3">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P="00297ABF"/>
    <w:p w:rsidR="00297ABF" w:rsidRPr="00297ABF" w:rsidP="00370537">
      <w:pPr>
        <w:spacing w:before="240" w:after="240"/>
      </w:pPr>
      <w:r>
        <w:t>Next, we see a table with special formatting in various locations. Notice how the formatting for the header row and sub header rows is preserved.</w:t>
      </w:r>
    </w:p>
    <w:tbl>
      <w:tblPr>
        <w:tblStyle w:val="MediumShading2Accent5"/>
        <w:tblW w:w="5000" w:type="pct"/>
        <w:tblLook w:val="0660"/>
      </w:tblPr>
      <w:tblGrid>
        <w:gridCol w:w="2394"/>
        <w:gridCol w:w="2394"/>
        <w:gridCol w:w="2394"/>
        <w:gridCol w:w="2394"/>
      </w:tblGrid>
      <w:tr w:rsidTr="00C71DF3">
        <w:tblPrEx>
          <w:tblW w:w="5000" w:type="pct"/>
          <w:tblLook w:val="0660"/>
        </w:tblPrEx>
        <w:tc>
          <w:tcPr>
            <w:tcW w:w="1250" w:type="pct"/>
            <w:noWrap/>
          </w:tcPr>
          <w:p w:rsidR="00297ABF">
            <w:r>
              <w:t>College</w:t>
            </w:r>
          </w:p>
        </w:tc>
        <w:tc>
          <w:tcPr>
            <w:tcW w:w="1250" w:type="pct"/>
          </w:tcPr>
          <w:p w:rsidR="00297ABF">
            <w:r>
              <w:t>New students</w:t>
            </w:r>
          </w:p>
        </w:tc>
        <w:tc>
          <w:tcPr>
            <w:tcW w:w="1250" w:type="pct"/>
          </w:tcPr>
          <w:p w:rsidR="00297ABF">
            <w:r>
              <w:t>Graduating students</w:t>
            </w:r>
          </w:p>
        </w:tc>
        <w:tc>
          <w:tcPr>
            <w:tcW w:w="1250" w:type="pct"/>
          </w:tcPr>
          <w:p w:rsidR="00297ABF">
            <w:r>
              <w:t>Change</w:t>
            </w:r>
          </w:p>
        </w:tc>
      </w:tr>
      <w:tr w:rsidTr="00C71DF3">
        <w:tblPrEx>
          <w:tblW w:w="5000" w:type="pct"/>
          <w:tblLook w:val="0660"/>
        </w:tblPrEx>
        <w:tc>
          <w:tcPr>
            <w:tcW w:w="1250" w:type="pct"/>
            <w:noWrap/>
          </w:tcPr>
          <w:p w:rsidR="00297ABF"/>
        </w:tc>
        <w:tc>
          <w:tcPr>
            <w:tcW w:w="1250" w:type="pct"/>
          </w:tcPr>
          <w:p w:rsidR="00297ABF">
            <w:pPr>
              <w:rPr>
                <w:rStyle w:val="SubtleEmphasis"/>
              </w:rPr>
            </w:pPr>
            <w:r>
              <w:rPr>
                <w:rStyle w:val="SubtleEmphasis"/>
              </w:rPr>
              <w:t>Undergraduate</w:t>
            </w:r>
          </w:p>
        </w:tc>
        <w:tc>
          <w:tcPr>
            <w:tcW w:w="1250" w:type="pct"/>
          </w:tcPr>
          <w:p w:rsidR="00297ABF"/>
        </w:tc>
        <w:tc>
          <w:tcPr>
            <w:tcW w:w="1250" w:type="pct"/>
          </w:tcPr>
          <w:p w:rsidR="00297ABF"/>
        </w:tc>
      </w:tr>
      <w:tr w:rsidTr="00C71DF3">
        <w:tblPrEx>
          <w:tblW w:w="5000" w:type="pct"/>
          <w:tblLook w:val="0660"/>
        </w:tblPrEx>
        <w:tc>
          <w:tcPr>
            <w:tcW w:w="1250" w:type="pct"/>
            <w:noWrap/>
          </w:tcPr>
          <w:p w:rsidR="00297ABF">
            <w:r>
              <w:t>Cedar University</w:t>
            </w:r>
          </w:p>
        </w:tc>
        <w:tc>
          <w:tcPr>
            <w:tcW w:w="1250" w:type="pct"/>
          </w:tcPr>
          <w:p w:rsidR="00297ABF">
            <w:pPr>
              <w:pStyle w:val="DecimalAligned"/>
            </w:pPr>
            <w:r>
              <w:t>110</w:t>
            </w:r>
          </w:p>
        </w:tc>
        <w:tc>
          <w:tcPr>
            <w:tcW w:w="1250" w:type="pct"/>
          </w:tcPr>
          <w:p w:rsidR="00297ABF">
            <w:pPr>
              <w:pStyle w:val="DecimalAligned"/>
            </w:pPr>
            <w:r>
              <w:t>103</w:t>
            </w:r>
          </w:p>
        </w:tc>
        <w:tc>
          <w:tcPr>
            <w:tcW w:w="1250" w:type="pct"/>
          </w:tcPr>
          <w:p w:rsidR="00297ABF">
            <w:pPr>
              <w:pStyle w:val="DecimalAligned"/>
            </w:pPr>
            <w:r>
              <w:t>+7</w:t>
            </w:r>
          </w:p>
        </w:tc>
      </w:tr>
      <w:tr w:rsidTr="00C71DF3">
        <w:tblPrEx>
          <w:tblW w:w="5000" w:type="pct"/>
          <w:tblLook w:val="0660"/>
        </w:tblPrEx>
        <w:tc>
          <w:tcPr>
            <w:tcW w:w="1250" w:type="pct"/>
            <w:noWrap/>
          </w:tcPr>
          <w:p w:rsidR="00297ABF">
            <w:r>
              <w:t>Oak Institute</w:t>
            </w:r>
          </w:p>
        </w:tc>
        <w:tc>
          <w:tcPr>
            <w:tcW w:w="1250" w:type="pct"/>
          </w:tcPr>
          <w:p w:rsidR="00297ABF">
            <w:pPr>
              <w:pStyle w:val="DecimalAligned"/>
            </w:pPr>
            <w:r>
              <w:t>202</w:t>
            </w:r>
          </w:p>
        </w:tc>
        <w:tc>
          <w:tcPr>
            <w:tcW w:w="1250" w:type="pct"/>
          </w:tcPr>
          <w:p w:rsidR="00297ABF">
            <w:pPr>
              <w:pStyle w:val="DecimalAligned"/>
            </w:pPr>
            <w:r>
              <w:t>210</w:t>
            </w:r>
          </w:p>
        </w:tc>
        <w:tc>
          <w:tcPr>
            <w:tcW w:w="1250" w:type="pct"/>
          </w:tcPr>
          <w:p w:rsidR="00297ABF">
            <w:pPr>
              <w:pStyle w:val="DecimalAligned"/>
            </w:pPr>
            <w:r>
              <w:t>-8</w:t>
            </w:r>
          </w:p>
        </w:tc>
      </w:tr>
      <w:tr w:rsidTr="00C71DF3">
        <w:tblPrEx>
          <w:tblW w:w="5000" w:type="pct"/>
          <w:tblLook w:val="0660"/>
        </w:tblPrEx>
        <w:tc>
          <w:tcPr>
            <w:tcW w:w="1250" w:type="pct"/>
            <w:noWrap/>
          </w:tcPr>
          <w:p w:rsidR="00297ABF"/>
        </w:tc>
        <w:tc>
          <w:tcPr>
            <w:tcW w:w="1250" w:type="pct"/>
          </w:tcPr>
          <w:p w:rsidR="00297ABF">
            <w:pPr>
              <w:rPr>
                <w:rStyle w:val="SubtleEmphasis"/>
              </w:rPr>
            </w:pPr>
            <w:r>
              <w:rPr>
                <w:rStyle w:val="SubtleEmphasis"/>
              </w:rPr>
              <w:t>Graduate</w:t>
            </w:r>
          </w:p>
        </w:tc>
        <w:tc>
          <w:tcPr>
            <w:tcW w:w="1250" w:type="pct"/>
          </w:tcPr>
          <w:p w:rsidR="00297ABF"/>
        </w:tc>
        <w:tc>
          <w:tcPr>
            <w:tcW w:w="1250" w:type="pct"/>
          </w:tcPr>
          <w:p w:rsidR="00297ABF"/>
        </w:tc>
      </w:tr>
      <w:tr w:rsidTr="00C71DF3">
        <w:tblPrEx>
          <w:tblW w:w="5000" w:type="pct"/>
          <w:tblLook w:val="0660"/>
        </w:tblPrEx>
        <w:tc>
          <w:tcPr>
            <w:tcW w:w="1250" w:type="pct"/>
            <w:noWrap/>
          </w:tcPr>
          <w:p w:rsidR="00297ABF">
            <w:r>
              <w:t>Cedar University</w:t>
            </w:r>
          </w:p>
        </w:tc>
        <w:tc>
          <w:tcPr>
            <w:tcW w:w="1250" w:type="pct"/>
          </w:tcPr>
          <w:p w:rsidR="00297ABF">
            <w:pPr>
              <w:pStyle w:val="DecimalAligned"/>
            </w:pPr>
            <w:r>
              <w:t>24</w:t>
            </w:r>
          </w:p>
        </w:tc>
        <w:tc>
          <w:tcPr>
            <w:tcW w:w="1250" w:type="pct"/>
          </w:tcPr>
          <w:p w:rsidR="00297ABF">
            <w:pPr>
              <w:pStyle w:val="DecimalAligned"/>
            </w:pPr>
            <w:r>
              <w:t>20</w:t>
            </w:r>
          </w:p>
        </w:tc>
        <w:tc>
          <w:tcPr>
            <w:tcW w:w="1250" w:type="pct"/>
          </w:tcPr>
          <w:p w:rsidR="00297ABF">
            <w:pPr>
              <w:pStyle w:val="DecimalAligned"/>
            </w:pPr>
            <w:r>
              <w:t>+4</w:t>
            </w:r>
          </w:p>
        </w:tc>
      </w:tr>
      <w:tr w:rsidTr="00C71DF3">
        <w:tblPrEx>
          <w:tblW w:w="5000" w:type="pct"/>
          <w:tblLook w:val="0660"/>
        </w:tblPrEx>
        <w:tc>
          <w:tcPr>
            <w:tcW w:w="1250" w:type="pct"/>
            <w:noWrap/>
          </w:tcPr>
          <w:p w:rsidR="00297ABF">
            <w:r>
              <w:t>Elm College</w:t>
            </w:r>
          </w:p>
        </w:tc>
        <w:tc>
          <w:tcPr>
            <w:tcW w:w="1250" w:type="pct"/>
          </w:tcPr>
          <w:p w:rsidR="00297ABF">
            <w:pPr>
              <w:pStyle w:val="DecimalAligned"/>
            </w:pPr>
            <w:r>
              <w:t>43</w:t>
            </w:r>
          </w:p>
        </w:tc>
        <w:tc>
          <w:tcPr>
            <w:tcW w:w="1250" w:type="pct"/>
          </w:tcPr>
          <w:p w:rsidR="00297ABF">
            <w:pPr>
              <w:pStyle w:val="DecimalAligned"/>
            </w:pPr>
            <w:r>
              <w:t>53</w:t>
            </w:r>
          </w:p>
        </w:tc>
        <w:tc>
          <w:tcPr>
            <w:tcW w:w="1250" w:type="pct"/>
          </w:tcPr>
          <w:p w:rsidR="00297ABF">
            <w:pPr>
              <w:pStyle w:val="DecimalAligned"/>
            </w:pPr>
            <w:r>
              <w:t>-10</w:t>
            </w:r>
          </w:p>
        </w:tc>
      </w:tr>
      <w:tr w:rsidTr="00C71DF3">
        <w:tblPrEx>
          <w:tblW w:w="5000" w:type="pct"/>
          <w:tblLook w:val="0660"/>
        </w:tblPrEx>
        <w:tc>
          <w:tcPr>
            <w:tcW w:w="1250" w:type="pct"/>
            <w:noWrap/>
          </w:tcPr>
          <w:p w:rsidR="00297ABF">
            <w:r>
              <w:t>Total</w:t>
            </w:r>
          </w:p>
        </w:tc>
        <w:tc>
          <w:tcPr>
            <w:tcW w:w="1250" w:type="pct"/>
          </w:tcPr>
          <w:p w:rsidR="00297ABF">
            <w:pPr>
              <w:pStyle w:val="DecimalAligned"/>
            </w:pPr>
            <w:r>
              <w:t>998</w:t>
            </w:r>
          </w:p>
        </w:tc>
        <w:tc>
          <w:tcPr>
            <w:tcW w:w="1250" w:type="pct"/>
          </w:tcPr>
          <w:p w:rsidR="00297ABF">
            <w:pPr>
              <w:pStyle w:val="DecimalAligned"/>
            </w:pPr>
            <w:r>
              <w:t>908</w:t>
            </w:r>
          </w:p>
        </w:tc>
        <w:tc>
          <w:tcPr>
            <w:tcW w:w="1250" w:type="pct"/>
          </w:tcPr>
          <w:p w:rsidR="00297ABF">
            <w:pPr>
              <w:pStyle w:val="DecimalAligned"/>
            </w:pPr>
            <w:r>
              <w:t>90</w:t>
            </w:r>
          </w:p>
        </w:tc>
      </w:tr>
    </w:tbl>
    <w:p w:rsidR="00297ABF">
      <w:pPr>
        <w:pStyle w:val="FootnoteText"/>
      </w:pPr>
      <w:r>
        <w:rPr>
          <w:rStyle w:val="SubtleEmphasis"/>
        </w:rPr>
        <w:t>Source:</w:t>
      </w:r>
      <w:r>
        <w:t xml:space="preserve"> Fictitious data, for illustration purposes only</w:t>
      </w:r>
    </w:p>
    <w:p w:rsidR="008920B2" w:rsidRPr="004916D2" w:rsidP="004916D2">
      <w:pPr>
        <w:spacing w:before="240"/>
        <w:rPr>
          <w:rStyle w:val="SubtleEmphasis"/>
          <w:i w:val="0"/>
          <w:iCs w:val="0"/>
          <w:color w:val="auto"/>
        </w:rPr>
      </w:pPr>
      <w:r>
        <w:t xml:space="preserve">Next, we have something a little more complex, a nested table, i.e. a table inside another table. Additionally, the inner table has some of its cells merged. The table is displayed horizontally centered. </w:t>
      </w:r>
    </w:p>
    <w:sectPr w:rsidSect="00332BA2">
      <w:headerReference w:type="default" r:id="rI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FC170D0D-E225-46AB-9595-602A4AF53207}"/>
    <w:embedBold r:id="rId2" w:fontKey="{0A3C8774-40AE-425C-9357-D903A02D4C81}"/>
    <w:embedItalic r:id="rId3" w:fontKey="{6C146541-0121-445A-B01D-CD547715A0F3}"/>
    <w:embedBoldItalic r:id="rId4" w:fontKey="{3E00F64B-A69A-4BE7-AD54-0272B42372EE}"/>
  </w:font>
  <w:font w:name="Tahoma">
    <w:panose1 w:val="020B0604030504040204"/>
    <w:charset w:val="00"/>
    <w:family w:val="swiss"/>
    <w:pitch w:val="variable"/>
    <w:sig w:usb0="E1002EFF" w:usb1="C000605B" w:usb2="00000029" w:usb3="00000000" w:csb0="000101FF" w:csb1="00000000"/>
    <w:embedRegular r:id="rId5" w:fontKey="{37DDA62B-6DA9-4D3F-A72B-AD74A48C86E3}"/>
  </w:font>
  <w:font w:name="Ubuntu Mono">
    <w:charset w:val="00"/>
    <w:family w:val="modern"/>
    <w:pitch w:val="fixed"/>
    <w:sig w:usb0="E00002FF" w:usb1="5000205B" w:usb2="00000000" w:usb3="00000000" w:csb0="0000009F" w:csb1="00000000"/>
    <w:embedRegular r:id="rId6" w:fontKey="{693012FB-02CA-412C-A385-5D21BB36A0BA}"/>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style="width:256.99pt;height:61.6pt;margin-top:365.2pt;margin-left:177.5pt;mso-position-horizontal-relative:page;mso-position-vertical-relative:page;position:absolute;rotation:315;z-index:251658240" fillcolor="red" stroked="f">
          <v:fill opacity="0.5"/>
          <v:path strokeok="f"/>
          <v:textpath style="font-family:Calibre;font-weight:bold;font-style:italic;v-text-align:right" string="Protected"/>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9pt" o:bullet="t">
        <v:imagedata r:id="rId1" o:title="BD10267_"/>
      </v:shape>
    </w:pict>
  </w:numPicBullet>
  <w:abstractNum w:abstractNumId="0">
    <w:nsid w:val="072B1C85"/>
    <w:multiLevelType w:val="hybridMultilevel"/>
    <w:tmpl w:val="C3D4170A"/>
    <w:lvl w:ilvl="0">
      <w:start w:val="1"/>
      <w:numFmt w:val="bullet"/>
      <w:lvlText w:val=""/>
      <w:lvlJc w:val="left"/>
      <w:pPr>
        <w:ind w:left="1152" w:hanging="360"/>
      </w:pPr>
      <w:rPr>
        <w:rFonts w:ascii="Symbol" w:hAnsi="Symbol" w:hint="default"/>
      </w:rPr>
    </w:lvl>
    <w:lvl w:ilvl="1" w:tentative="1">
      <w:start w:val="1"/>
      <w:numFmt w:val="bullet"/>
      <w:lvlText w:val="o"/>
      <w:lvlJc w:val="left"/>
      <w:pPr>
        <w:ind w:left="1872" w:hanging="360"/>
      </w:pPr>
      <w:rPr>
        <w:rFonts w:ascii="Courier New" w:hAnsi="Courier New" w:cs="Courier New" w:hint="default"/>
      </w:rPr>
    </w:lvl>
    <w:lvl w:ilvl="2" w:tentative="1">
      <w:start w:val="1"/>
      <w:numFmt w:val="bullet"/>
      <w:lvlText w:val=""/>
      <w:lvlJc w:val="left"/>
      <w:pPr>
        <w:ind w:left="2592" w:hanging="360"/>
      </w:pPr>
      <w:rPr>
        <w:rFonts w:ascii="Wingdings" w:hAnsi="Wingdings" w:hint="default"/>
      </w:rPr>
    </w:lvl>
    <w:lvl w:ilvl="3" w:tentative="1">
      <w:start w:val="1"/>
      <w:numFmt w:val="bullet"/>
      <w:lvlText w:val=""/>
      <w:lvlJc w:val="left"/>
      <w:pPr>
        <w:ind w:left="3312" w:hanging="360"/>
      </w:pPr>
      <w:rPr>
        <w:rFonts w:ascii="Symbol" w:hAnsi="Symbol" w:hint="default"/>
      </w:rPr>
    </w:lvl>
    <w:lvl w:ilvl="4" w:tentative="1">
      <w:start w:val="1"/>
      <w:numFmt w:val="bullet"/>
      <w:lvlText w:val="o"/>
      <w:lvlJc w:val="left"/>
      <w:pPr>
        <w:ind w:left="4032" w:hanging="360"/>
      </w:pPr>
      <w:rPr>
        <w:rFonts w:ascii="Courier New" w:hAnsi="Courier New" w:cs="Courier New" w:hint="default"/>
      </w:rPr>
    </w:lvl>
    <w:lvl w:ilvl="5" w:tentative="1">
      <w:start w:val="1"/>
      <w:numFmt w:val="bullet"/>
      <w:lvlText w:val=""/>
      <w:lvlJc w:val="left"/>
      <w:pPr>
        <w:ind w:left="4752" w:hanging="360"/>
      </w:pPr>
      <w:rPr>
        <w:rFonts w:ascii="Wingdings" w:hAnsi="Wingdings" w:hint="default"/>
      </w:rPr>
    </w:lvl>
    <w:lvl w:ilvl="6" w:tentative="1">
      <w:start w:val="1"/>
      <w:numFmt w:val="bullet"/>
      <w:lvlText w:val=""/>
      <w:lvlJc w:val="left"/>
      <w:pPr>
        <w:ind w:left="5472" w:hanging="360"/>
      </w:pPr>
      <w:rPr>
        <w:rFonts w:ascii="Symbol" w:hAnsi="Symbol" w:hint="default"/>
      </w:rPr>
    </w:lvl>
    <w:lvl w:ilvl="7" w:tentative="1">
      <w:start w:val="1"/>
      <w:numFmt w:val="bullet"/>
      <w:lvlText w:val="o"/>
      <w:lvlJc w:val="left"/>
      <w:pPr>
        <w:ind w:left="6192" w:hanging="360"/>
      </w:pPr>
      <w:rPr>
        <w:rFonts w:ascii="Courier New" w:hAnsi="Courier New" w:cs="Courier New" w:hint="default"/>
      </w:rPr>
    </w:lvl>
    <w:lvl w:ilvl="8"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start w:val="1"/>
      <w:numFmt w:val="decimal"/>
      <w:lvlText w:val="%1."/>
      <w:lvlJc w:val="lef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2">
    <w:nsid w:val="22D92072"/>
    <w:multiLevelType w:val="hybridMultilevel"/>
    <w:tmpl w:val="C9F447C4"/>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3">
    <w:nsid w:val="276B7FD7"/>
    <w:multiLevelType w:val="hybridMultilevel"/>
    <w:tmpl w:val="E1040630"/>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4">
    <w:nsid w:val="2AE41CC1"/>
    <w:multiLevelType w:val="hybridMultilevel"/>
    <w:tmpl w:val="87AE8F46"/>
    <w:lvl w:ilvl="0">
      <w:start w:val="1"/>
      <w:numFmt w:val="lowerRoman"/>
      <w:lvlText w:val="%1."/>
      <w:lvlJc w:val="right"/>
      <w:pPr>
        <w:ind w:left="1488" w:hanging="360"/>
      </w:pPr>
    </w:lvl>
    <w:lvl w:ilvl="1" w:tentative="1">
      <w:start w:val="1"/>
      <w:numFmt w:val="lowerLetter"/>
      <w:lvlText w:val="%2."/>
      <w:lvlJc w:val="left"/>
      <w:pPr>
        <w:ind w:left="2208" w:hanging="360"/>
      </w:pPr>
    </w:lvl>
    <w:lvl w:ilvl="2" w:tentative="1">
      <w:start w:val="1"/>
      <w:numFmt w:val="lowerRoman"/>
      <w:lvlText w:val="%3."/>
      <w:lvlJc w:val="right"/>
      <w:pPr>
        <w:ind w:left="2928" w:hanging="180"/>
      </w:pPr>
    </w:lvl>
    <w:lvl w:ilvl="3" w:tentative="1">
      <w:start w:val="1"/>
      <w:numFmt w:val="decimal"/>
      <w:lvlText w:val="%4."/>
      <w:lvlJc w:val="left"/>
      <w:pPr>
        <w:ind w:left="3648" w:hanging="360"/>
      </w:pPr>
    </w:lvl>
    <w:lvl w:ilvl="4" w:tentative="1">
      <w:start w:val="1"/>
      <w:numFmt w:val="lowerLetter"/>
      <w:lvlText w:val="%5."/>
      <w:lvlJc w:val="left"/>
      <w:pPr>
        <w:ind w:left="4368" w:hanging="360"/>
      </w:pPr>
    </w:lvl>
    <w:lvl w:ilvl="5" w:tentative="1">
      <w:start w:val="1"/>
      <w:numFmt w:val="lowerRoman"/>
      <w:lvlText w:val="%6."/>
      <w:lvlJc w:val="right"/>
      <w:pPr>
        <w:ind w:left="5088" w:hanging="180"/>
      </w:pPr>
    </w:lvl>
    <w:lvl w:ilvl="6" w:tentative="1">
      <w:start w:val="1"/>
      <w:numFmt w:val="decimal"/>
      <w:lvlText w:val="%7."/>
      <w:lvlJc w:val="left"/>
      <w:pPr>
        <w:ind w:left="5808" w:hanging="360"/>
      </w:pPr>
    </w:lvl>
    <w:lvl w:ilvl="7" w:tentative="1">
      <w:start w:val="1"/>
      <w:numFmt w:val="lowerLetter"/>
      <w:lvlText w:val="%8."/>
      <w:lvlJc w:val="left"/>
      <w:pPr>
        <w:ind w:left="6528" w:hanging="360"/>
      </w:pPr>
    </w:lvl>
    <w:lvl w:ilvl="8" w:tentative="1">
      <w:start w:val="1"/>
      <w:numFmt w:val="lowerRoman"/>
      <w:lvlText w:val="%9."/>
      <w:lvlJc w:val="right"/>
      <w:pPr>
        <w:ind w:left="7248" w:hanging="180"/>
      </w:pPr>
    </w:lvl>
  </w:abstractNum>
  <w:abstractNum w:abstractNumId="5">
    <w:nsid w:val="3C4E47FE"/>
    <w:multiLevelType w:val="hybridMultilevel"/>
    <w:tmpl w:val="6100D7A6"/>
    <w:lvl w:ilvl="0">
      <w:start w:val="1"/>
      <w:numFmt w:val="lowerRoman"/>
      <w:lvlText w:val="%1."/>
      <w:lvlJc w:val="right"/>
      <w:pPr>
        <w:ind w:left="1872" w:hanging="360"/>
      </w:pPr>
    </w:lvl>
    <w:lvl w:ilvl="1" w:tentative="1">
      <w:start w:val="1"/>
      <w:numFmt w:val="lowerLetter"/>
      <w:lvlText w:val="%2."/>
      <w:lvlJc w:val="left"/>
      <w:pPr>
        <w:ind w:left="2592" w:hanging="360"/>
      </w:pPr>
    </w:lvl>
    <w:lvl w:ilvl="2" w:tentative="1">
      <w:start w:val="1"/>
      <w:numFmt w:val="lowerRoman"/>
      <w:lvlText w:val="%3."/>
      <w:lvlJc w:val="right"/>
      <w:pPr>
        <w:ind w:left="3312" w:hanging="180"/>
      </w:pPr>
    </w:lvl>
    <w:lvl w:ilvl="3" w:tentative="1">
      <w:start w:val="1"/>
      <w:numFmt w:val="decimal"/>
      <w:lvlText w:val="%4."/>
      <w:lvlJc w:val="left"/>
      <w:pPr>
        <w:ind w:left="4032" w:hanging="360"/>
      </w:pPr>
    </w:lvl>
    <w:lvl w:ilvl="4" w:tentative="1">
      <w:start w:val="1"/>
      <w:numFmt w:val="lowerLetter"/>
      <w:lvlText w:val="%5."/>
      <w:lvlJc w:val="left"/>
      <w:pPr>
        <w:ind w:left="4752" w:hanging="360"/>
      </w:pPr>
    </w:lvl>
    <w:lvl w:ilvl="5" w:tentative="1">
      <w:start w:val="1"/>
      <w:numFmt w:val="lowerRoman"/>
      <w:lvlText w:val="%6."/>
      <w:lvlJc w:val="right"/>
      <w:pPr>
        <w:ind w:left="5472" w:hanging="180"/>
      </w:pPr>
    </w:lvl>
    <w:lvl w:ilvl="6" w:tentative="1">
      <w:start w:val="1"/>
      <w:numFmt w:val="decimal"/>
      <w:lvlText w:val="%7."/>
      <w:lvlJc w:val="left"/>
      <w:pPr>
        <w:ind w:left="6192" w:hanging="360"/>
      </w:pPr>
    </w:lvl>
    <w:lvl w:ilvl="7" w:tentative="1">
      <w:start w:val="1"/>
      <w:numFmt w:val="lowerLetter"/>
      <w:lvlText w:val="%8."/>
      <w:lvlJc w:val="left"/>
      <w:pPr>
        <w:ind w:left="6912" w:hanging="360"/>
      </w:pPr>
    </w:lvl>
    <w:lvl w:ilvl="8"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TrueTypeFonts/>
  <w:proofState w:spelling="clean" w:grammar="clean"/>
  <w:defaultTabStop w:val="720"/>
  <w:characterSpacingControl w:val="doNotCompress"/>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overrideTableStyleFontSizeAndJustification" w:uri="http://schemas.microsoft.com/office/word" w:val="0"/>
  </w:compat>
  <w:rsids>
    <w:rsidRoot w:val="00C71DF3"/>
    <w:rsid w:val="00025E62"/>
    <w:rsid w:val="00065A1E"/>
    <w:rsid w:val="001D582F"/>
    <w:rsid w:val="00217028"/>
    <w:rsid w:val="00230C50"/>
    <w:rsid w:val="00297ABF"/>
    <w:rsid w:val="002D0E91"/>
    <w:rsid w:val="00332BA2"/>
    <w:rsid w:val="00370537"/>
    <w:rsid w:val="00386659"/>
    <w:rsid w:val="00442322"/>
    <w:rsid w:val="004916D2"/>
    <w:rsid w:val="00565820"/>
    <w:rsid w:val="005945C3"/>
    <w:rsid w:val="00753CF0"/>
    <w:rsid w:val="008920B2"/>
    <w:rsid w:val="009B0D0F"/>
    <w:rsid w:val="00A406DC"/>
    <w:rsid w:val="00A46055"/>
    <w:rsid w:val="00A65B8B"/>
    <w:rsid w:val="00B36625"/>
    <w:rsid w:val="00B63EA6"/>
    <w:rsid w:val="00B86920"/>
    <w:rsid w:val="00BD706D"/>
    <w:rsid w:val="00C71DF3"/>
    <w:rsid w:val="00EC322F"/>
    <w:rsid w:val="00F53871"/>
    <w:rsid w:val="00F6142F"/>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5:docId w15:val="{AB553C93-66B5-4A39-9CCB-DC8CFE8E5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hAnsi="Ubuntu" w:eastAsiaTheme="majorEastAsia"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hAnsi="Ubuntu" w:eastAsiaTheme="majorEastAsia"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hAnsi="Ubuntu" w:eastAsiaTheme="majorEastAsia"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header" Target="header1.xml" /><Relationship Id="rId7" Type="http://schemas.openxmlformats.org/officeDocument/2006/relationships/theme" Target="theme/theme1.xml" /><Relationship Id="rId8" Type="http://schemas.openxmlformats.org/officeDocument/2006/relationships/numbering" Target="numbering.xml" /><Relationship Id="rId9" Type="http://schemas.openxmlformats.org/officeDocument/2006/relationships/styles" Target="styles.xml"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s>
</file>

<file path=word/_rels/numbering.xml.rels>&#65279;<?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0CA5D2-5CD1-4C0F-B5AE-EE924DAD8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8544</TotalTime>
  <Pages>1</Pages>
  <Words>785</Words>
  <Characters>4477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usman</vt:lpstr>
    </vt:vector>
  </TitlesOfParts>
  <Manager>usman</Manager>
  <Company>usman</Company>
  <LinksUpToDate>false</LinksUpToDate>
  <CharactersWithSpaces>5252</CharactersWithSpaces>
  <SharedDoc>false</SharedDoc>
  <HyperlinkBase>www.groupdocs.com</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usman</dc:title>
  <dc:subject>This is test subject</dc:subject>
  <dc:creator>usman</dc:creator>
  <cp:keywords>usman</cp:keywords>
  <dc:description>usman</dc:description>
  <cp:lastModifiedBy>Usman Aziz</cp:lastModifiedBy>
  <cp:revision>92</cp:revision>
  <cp:lastPrinted>2018-04-19T05:40:00Z</cp:lastPrinted>
  <dcterms:created xsi:type="dcterms:W3CDTF">2013-06-05T07:56:00Z</dcterms:created>
  <dcterms:modified xsi:type="dcterms:W3CDTF">2019-08-13T15:28:00Z</dcterms:modified>
  <cp:category>usman</cp:category>
  <cp:contentStatus>usman</cp:contentStatus>
</cp:coreProperties>
</file>