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BE46E" w14:textId="74D0FB8E" w:rsidR="000C56C3" w:rsidRPr="001F39DD" w:rsidRDefault="000C56C3" w:rsidP="000C56C3">
      <w:pPr>
        <w:pStyle w:val="Heading1"/>
        <w:spacing w:before="0" w:line="240" w:lineRule="auto"/>
        <w:rPr>
          <w:rFonts w:asciiTheme="majorBidi" w:hAnsiTheme="majorBidi"/>
          <w:b/>
          <w:bCs/>
          <w:color w:val="00B0F0"/>
          <w:sz w:val="22"/>
          <w:szCs w:val="22"/>
        </w:rPr>
      </w:pPr>
      <w:r w:rsidRPr="001F39DD">
        <w:rPr>
          <w:rFonts w:asciiTheme="majorBidi" w:hAnsiTheme="majorBidi"/>
          <w:b/>
          <w:bCs/>
          <w:color w:val="00B0F0"/>
          <w:sz w:val="22"/>
          <w:szCs w:val="22"/>
        </w:rPr>
        <w:t>COM74</w:t>
      </w:r>
      <w:r w:rsidR="00546339" w:rsidRPr="001F39DD">
        <w:rPr>
          <w:rFonts w:asciiTheme="majorBidi" w:hAnsiTheme="majorBidi"/>
          <w:b/>
          <w:bCs/>
          <w:color w:val="00B0F0"/>
          <w:sz w:val="22"/>
          <w:szCs w:val="22"/>
        </w:rPr>
        <w:t>8</w:t>
      </w:r>
      <w:r w:rsidRPr="001F39DD">
        <w:rPr>
          <w:rFonts w:asciiTheme="majorBidi" w:hAnsiTheme="majorBidi"/>
          <w:b/>
          <w:bCs/>
          <w:color w:val="00B0F0"/>
          <w:sz w:val="22"/>
          <w:szCs w:val="22"/>
        </w:rPr>
        <w:t xml:space="preserve"> </w:t>
      </w:r>
      <w:proofErr w:type="gramStart"/>
      <w:r w:rsidR="00546339" w:rsidRPr="001F39DD">
        <w:rPr>
          <w:rFonts w:asciiTheme="majorBidi" w:hAnsiTheme="majorBidi"/>
          <w:b/>
          <w:bCs/>
          <w:color w:val="00B0F0"/>
          <w:sz w:val="22"/>
          <w:szCs w:val="22"/>
        </w:rPr>
        <w:t>Masters</w:t>
      </w:r>
      <w:proofErr w:type="gramEnd"/>
      <w:r w:rsidR="00546339" w:rsidRPr="001F39DD">
        <w:rPr>
          <w:rFonts w:asciiTheme="majorBidi" w:hAnsiTheme="majorBidi"/>
          <w:b/>
          <w:bCs/>
          <w:color w:val="00B0F0"/>
          <w:sz w:val="22"/>
          <w:szCs w:val="22"/>
        </w:rPr>
        <w:t xml:space="preserve"> Research</w:t>
      </w:r>
      <w:r w:rsidRPr="001F39DD">
        <w:rPr>
          <w:rFonts w:asciiTheme="majorBidi" w:hAnsiTheme="majorBidi"/>
          <w:b/>
          <w:bCs/>
          <w:color w:val="00B0F0"/>
          <w:sz w:val="22"/>
          <w:szCs w:val="22"/>
        </w:rPr>
        <w:t xml:space="preserve"> Project</w:t>
      </w:r>
    </w:p>
    <w:p w14:paraId="0FB719EB" w14:textId="2302DC2D" w:rsidR="000C56C3" w:rsidRPr="001F39DD" w:rsidRDefault="00546339" w:rsidP="000C56C3">
      <w:pPr>
        <w:pStyle w:val="Heading2"/>
        <w:spacing w:before="0" w:line="240" w:lineRule="auto"/>
        <w:rPr>
          <w:rFonts w:asciiTheme="majorBidi" w:hAnsiTheme="majorBidi"/>
          <w:color w:val="000000" w:themeColor="text1"/>
          <w:sz w:val="22"/>
          <w:szCs w:val="22"/>
        </w:rPr>
      </w:pPr>
      <w:r w:rsidRPr="001F39DD">
        <w:rPr>
          <w:rFonts w:asciiTheme="majorBidi" w:hAnsiTheme="majorBidi"/>
          <w:color w:val="000000" w:themeColor="text1"/>
          <w:sz w:val="22"/>
          <w:szCs w:val="22"/>
        </w:rPr>
        <w:t>Project Proposal Form</w:t>
      </w:r>
    </w:p>
    <w:p w14:paraId="7E6A0A8F"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3005"/>
        <w:gridCol w:w="3005"/>
        <w:gridCol w:w="3006"/>
      </w:tblGrid>
      <w:tr w:rsidR="000C56C3" w:rsidRPr="001F39DD" w14:paraId="5C8D3583" w14:textId="77777777" w:rsidTr="00BE275B">
        <w:tc>
          <w:tcPr>
            <w:tcW w:w="3005" w:type="dxa"/>
            <w:shd w:val="clear" w:color="auto" w:fill="222A35" w:themeFill="text2" w:themeFillShade="80"/>
          </w:tcPr>
          <w:p w14:paraId="45240703" w14:textId="77777777" w:rsidR="000C56C3" w:rsidRPr="001F39DD" w:rsidRDefault="000C56C3" w:rsidP="000C56C3">
            <w:pPr>
              <w:spacing w:after="0" w:line="240" w:lineRule="auto"/>
              <w:rPr>
                <w:rFonts w:asciiTheme="majorBidi" w:hAnsiTheme="majorBidi" w:cstheme="majorBidi"/>
              </w:rPr>
            </w:pPr>
            <w:r w:rsidRPr="001F39DD">
              <w:rPr>
                <w:rFonts w:asciiTheme="majorBidi" w:hAnsiTheme="majorBidi" w:cstheme="majorBidi"/>
              </w:rPr>
              <w:t>Student Name</w:t>
            </w:r>
          </w:p>
        </w:tc>
        <w:tc>
          <w:tcPr>
            <w:tcW w:w="3005" w:type="dxa"/>
            <w:shd w:val="clear" w:color="auto" w:fill="222A35" w:themeFill="text2" w:themeFillShade="80"/>
          </w:tcPr>
          <w:p w14:paraId="122DC9B2" w14:textId="77777777" w:rsidR="000C56C3" w:rsidRPr="001F39DD" w:rsidRDefault="000C56C3" w:rsidP="000C56C3">
            <w:pPr>
              <w:spacing w:after="0" w:line="240" w:lineRule="auto"/>
              <w:rPr>
                <w:rFonts w:asciiTheme="majorBidi" w:hAnsiTheme="majorBidi" w:cstheme="majorBidi"/>
              </w:rPr>
            </w:pPr>
            <w:r w:rsidRPr="001F39DD">
              <w:rPr>
                <w:rFonts w:asciiTheme="majorBidi" w:hAnsiTheme="majorBidi" w:cstheme="majorBidi"/>
              </w:rPr>
              <w:t>Student Number</w:t>
            </w:r>
          </w:p>
        </w:tc>
        <w:tc>
          <w:tcPr>
            <w:tcW w:w="3006" w:type="dxa"/>
            <w:shd w:val="clear" w:color="auto" w:fill="222A35" w:themeFill="text2" w:themeFillShade="80"/>
          </w:tcPr>
          <w:p w14:paraId="019F6FB5" w14:textId="77777777" w:rsidR="000C56C3" w:rsidRPr="001F39DD" w:rsidRDefault="000C56C3" w:rsidP="000C56C3">
            <w:pPr>
              <w:spacing w:after="0" w:line="240" w:lineRule="auto"/>
              <w:rPr>
                <w:rFonts w:asciiTheme="majorBidi" w:hAnsiTheme="majorBidi" w:cstheme="majorBidi"/>
              </w:rPr>
            </w:pPr>
            <w:r w:rsidRPr="001F39DD">
              <w:rPr>
                <w:rFonts w:asciiTheme="majorBidi" w:hAnsiTheme="majorBidi" w:cstheme="majorBidi"/>
              </w:rPr>
              <w:t>Supervisor Name</w:t>
            </w:r>
          </w:p>
        </w:tc>
      </w:tr>
      <w:tr w:rsidR="000C56C3" w:rsidRPr="001F39DD" w14:paraId="17132A6A" w14:textId="77777777" w:rsidTr="00BE275B">
        <w:tc>
          <w:tcPr>
            <w:tcW w:w="3005" w:type="dxa"/>
          </w:tcPr>
          <w:p w14:paraId="304ADCBA" w14:textId="77777777" w:rsidR="00084754" w:rsidRPr="001F39DD" w:rsidRDefault="00084754" w:rsidP="0079766D">
            <w:pPr>
              <w:spacing w:after="0" w:line="360" w:lineRule="auto"/>
              <w:rPr>
                <w:rFonts w:asciiTheme="majorBidi" w:hAnsiTheme="majorBidi" w:cstheme="majorBidi"/>
              </w:rPr>
            </w:pPr>
          </w:p>
        </w:tc>
        <w:tc>
          <w:tcPr>
            <w:tcW w:w="3005" w:type="dxa"/>
          </w:tcPr>
          <w:p w14:paraId="43028D5C" w14:textId="77777777" w:rsidR="000C56C3" w:rsidRPr="001F39DD" w:rsidRDefault="000C56C3" w:rsidP="000C56C3">
            <w:pPr>
              <w:spacing w:after="0" w:line="240" w:lineRule="auto"/>
              <w:rPr>
                <w:rFonts w:asciiTheme="majorBidi" w:hAnsiTheme="majorBidi" w:cstheme="majorBidi"/>
              </w:rPr>
            </w:pPr>
          </w:p>
        </w:tc>
        <w:tc>
          <w:tcPr>
            <w:tcW w:w="3006" w:type="dxa"/>
          </w:tcPr>
          <w:p w14:paraId="53F5C854" w14:textId="77777777" w:rsidR="000C56C3" w:rsidRPr="001F39DD" w:rsidRDefault="000C56C3" w:rsidP="000C56C3">
            <w:pPr>
              <w:spacing w:after="0" w:line="240" w:lineRule="auto"/>
              <w:rPr>
                <w:rFonts w:asciiTheme="majorBidi" w:hAnsiTheme="majorBidi" w:cstheme="majorBidi"/>
              </w:rPr>
            </w:pPr>
          </w:p>
        </w:tc>
      </w:tr>
    </w:tbl>
    <w:p w14:paraId="5DE47F11" w14:textId="77777777" w:rsidR="00011F4D" w:rsidRPr="001F39DD" w:rsidRDefault="00011F4D" w:rsidP="00011F4D">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11F4D" w:rsidRPr="001F39DD" w14:paraId="65ABFC56" w14:textId="77777777" w:rsidTr="00BE275B">
        <w:tc>
          <w:tcPr>
            <w:tcW w:w="9016" w:type="dxa"/>
            <w:shd w:val="clear" w:color="auto" w:fill="222A35" w:themeFill="text2" w:themeFillShade="80"/>
          </w:tcPr>
          <w:p w14:paraId="21EB947B" w14:textId="7020D755" w:rsidR="00011F4D" w:rsidRPr="001F39DD" w:rsidRDefault="00011F4D" w:rsidP="00BE275B">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 xml:space="preserve">Project Title </w:t>
            </w:r>
          </w:p>
        </w:tc>
      </w:tr>
      <w:tr w:rsidR="00011F4D" w:rsidRPr="001F39DD" w14:paraId="49A18145" w14:textId="77777777" w:rsidTr="00BE275B">
        <w:tc>
          <w:tcPr>
            <w:tcW w:w="9016" w:type="dxa"/>
          </w:tcPr>
          <w:p w14:paraId="6B4E0349" w14:textId="77777777" w:rsidR="0079766D" w:rsidRPr="001F39DD" w:rsidRDefault="0079766D" w:rsidP="00816AAE">
            <w:pPr>
              <w:spacing w:after="0" w:line="240" w:lineRule="auto"/>
              <w:rPr>
                <w:rFonts w:asciiTheme="majorBidi" w:hAnsiTheme="majorBidi" w:cstheme="majorBidi"/>
                <w:color w:val="D0CECE" w:themeColor="background2" w:themeShade="E6"/>
              </w:rPr>
            </w:pPr>
          </w:p>
          <w:p w14:paraId="26DEBA65" w14:textId="12187B1B" w:rsidR="00816AAE" w:rsidRPr="001F39DD" w:rsidRDefault="00611808" w:rsidP="00611808">
            <w:pPr>
              <w:spacing w:before="80" w:after="160"/>
              <w:jc w:val="both"/>
              <w:rPr>
                <w:rFonts w:asciiTheme="majorBidi" w:hAnsiTheme="majorBidi" w:cstheme="majorBidi"/>
              </w:rPr>
            </w:pPr>
            <w:r w:rsidRPr="001F39DD">
              <w:rPr>
                <w:rFonts w:asciiTheme="majorBidi" w:eastAsia="Arial" w:hAnsiTheme="majorBidi" w:cstheme="majorBidi"/>
                <w:b/>
                <w:bCs/>
              </w:rPr>
              <w:t>Smart Energy Consumption Forecasting using Deep Learning and Time Series Analytics</w:t>
            </w:r>
          </w:p>
        </w:tc>
      </w:tr>
    </w:tbl>
    <w:p w14:paraId="2C63AC8F" w14:textId="77777777" w:rsidR="00011F4D" w:rsidRPr="001F39DD" w:rsidRDefault="00011F4D"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266C4E3F" w14:textId="77777777" w:rsidTr="00BE275B">
        <w:tc>
          <w:tcPr>
            <w:tcW w:w="9016" w:type="dxa"/>
            <w:shd w:val="clear" w:color="auto" w:fill="222A35" w:themeFill="text2" w:themeFillShade="80"/>
          </w:tcPr>
          <w:p w14:paraId="4FFC8AF9" w14:textId="6447B7B6"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Problem Statement (</w:t>
            </w:r>
            <w:r w:rsidR="00546339" w:rsidRPr="001F39DD">
              <w:rPr>
                <w:rFonts w:asciiTheme="majorBidi" w:hAnsiTheme="majorBidi" w:cstheme="majorBidi"/>
                <w:color w:val="FFFFFF" w:themeColor="background1"/>
              </w:rPr>
              <w:t>1</w:t>
            </w:r>
            <w:r w:rsidRPr="001F39DD">
              <w:rPr>
                <w:rFonts w:asciiTheme="majorBidi" w:hAnsiTheme="majorBidi" w:cstheme="majorBidi"/>
                <w:color w:val="FFFFFF" w:themeColor="background1"/>
              </w:rPr>
              <w:t xml:space="preserve">00 words) </w:t>
            </w:r>
          </w:p>
        </w:tc>
      </w:tr>
      <w:tr w:rsidR="000C56C3" w:rsidRPr="001F39DD" w14:paraId="79B13301" w14:textId="77777777" w:rsidTr="00BE275B">
        <w:tc>
          <w:tcPr>
            <w:tcW w:w="9016" w:type="dxa"/>
          </w:tcPr>
          <w:p w14:paraId="44DB4FC9"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Accurate energy consumption forecasting is essential for the effective operation of smart grids, energy management systems, and sustainable urban infrastructure. Energy providers require reliable forecasting tools to reduce operational costs, balance electricity supply and demand, and maintain grid stability across varying load conditions. As global energy demand continues to rise and smart city infrastructure expands, the need for intelligent and scalable forecasting solutions has become increasingly urgent.</w:t>
            </w:r>
          </w:p>
          <w:p w14:paraId="2C909A8D" w14:textId="77777777" w:rsidR="00611808" w:rsidRPr="001F39DD" w:rsidRDefault="00611808" w:rsidP="00611808">
            <w:pPr>
              <w:spacing w:before="60" w:after="60"/>
              <w:rPr>
                <w:rFonts w:asciiTheme="majorBidi" w:hAnsiTheme="majorBidi" w:cstheme="majorBidi"/>
              </w:rPr>
            </w:pPr>
          </w:p>
          <w:p w14:paraId="4285E678"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Traditional statistical forecasting techniques, such as ARIMA and exponential smoothing, often fail to capture the complex non-linear temporal patterns, seasonal variations, and irregular consumption behaviours present in modern energy datasets. These limitations reduce forecast reliability, particularly over longer prediction horizons and in high-variability environments.</w:t>
            </w:r>
          </w:p>
          <w:p w14:paraId="25E75BDE" w14:textId="77777777" w:rsidR="00611808" w:rsidRPr="001F39DD" w:rsidRDefault="00611808" w:rsidP="00611808">
            <w:pPr>
              <w:spacing w:before="60" w:after="60"/>
              <w:rPr>
                <w:rFonts w:asciiTheme="majorBidi" w:hAnsiTheme="majorBidi" w:cstheme="majorBidi"/>
              </w:rPr>
            </w:pPr>
          </w:p>
          <w:p w14:paraId="0D470C58" w14:textId="37BC180F" w:rsidR="000C56C3" w:rsidRPr="001F39DD" w:rsidRDefault="00611808" w:rsidP="00611808">
            <w:pPr>
              <w:widowControl w:val="0"/>
              <w:autoSpaceDE w:val="0"/>
              <w:autoSpaceDN w:val="0"/>
              <w:adjustRightInd w:val="0"/>
              <w:ind w:left="100" w:right="57"/>
              <w:jc w:val="both"/>
              <w:rPr>
                <w:rFonts w:asciiTheme="majorBidi" w:hAnsiTheme="majorBidi" w:cstheme="majorBidi"/>
                <w:color w:val="000000"/>
                <w:spacing w:val="-2"/>
              </w:rPr>
            </w:pPr>
            <w:r w:rsidRPr="001F39DD">
              <w:rPr>
                <w:rFonts w:asciiTheme="majorBidi" w:eastAsia="Arial" w:hAnsiTheme="majorBidi" w:cstheme="majorBidi"/>
              </w:rPr>
              <w:t xml:space="preserve">This project proposes a deep </w:t>
            </w:r>
            <w:proofErr w:type="gramStart"/>
            <w:r w:rsidRPr="001F39DD">
              <w:rPr>
                <w:rFonts w:asciiTheme="majorBidi" w:eastAsia="Arial" w:hAnsiTheme="majorBidi" w:cstheme="majorBidi"/>
              </w:rPr>
              <w:t>learning based</w:t>
            </w:r>
            <w:proofErr w:type="gramEnd"/>
            <w:r w:rsidRPr="001F39DD">
              <w:rPr>
                <w:rFonts w:asciiTheme="majorBidi" w:eastAsia="Arial" w:hAnsiTheme="majorBidi" w:cstheme="majorBidi"/>
              </w:rPr>
              <w:t xml:space="preserve"> framework for smart energy consumption forecasting using time series analytics. By implementing and comparatively evaluating advanced models including Long Short-Term Memory (LSTM) and Gated Recurrent Unit (GRU) networks, the system aims to deliver high-accuracy energy demand predictions. The project also aims to provide actionable insights through time series decomposition, trend analysis, and an interactive visualisation dashboard — supporting energy providers, researchers, and smart city planners in making data-driven decisions.</w:t>
            </w:r>
          </w:p>
        </w:tc>
      </w:tr>
    </w:tbl>
    <w:p w14:paraId="1DFE9F8E"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2FAE872B" w14:textId="77777777" w:rsidTr="00BE275B">
        <w:tc>
          <w:tcPr>
            <w:tcW w:w="9016" w:type="dxa"/>
            <w:shd w:val="clear" w:color="auto" w:fill="222A35" w:themeFill="text2" w:themeFillShade="80"/>
          </w:tcPr>
          <w:p w14:paraId="4C3BDD88" w14:textId="41EBB6DF"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Background Research (</w:t>
            </w:r>
            <w:r w:rsidR="00546339" w:rsidRPr="001F39DD">
              <w:rPr>
                <w:rFonts w:asciiTheme="majorBidi" w:hAnsiTheme="majorBidi" w:cstheme="majorBidi"/>
                <w:color w:val="FFFFFF" w:themeColor="background1"/>
              </w:rPr>
              <w:t>5</w:t>
            </w:r>
            <w:r w:rsidRPr="001F39DD">
              <w:rPr>
                <w:rFonts w:asciiTheme="majorBidi" w:hAnsiTheme="majorBidi" w:cstheme="majorBidi"/>
                <w:color w:val="FFFFFF" w:themeColor="background1"/>
              </w:rPr>
              <w:t xml:space="preserve">00 words) </w:t>
            </w:r>
          </w:p>
        </w:tc>
      </w:tr>
      <w:tr w:rsidR="000C56C3" w:rsidRPr="001F39DD" w14:paraId="5C26147D" w14:textId="77777777" w:rsidTr="00BE275B">
        <w:tc>
          <w:tcPr>
            <w:tcW w:w="9016" w:type="dxa"/>
          </w:tcPr>
          <w:p w14:paraId="55845184" w14:textId="77777777" w:rsidR="000C56C3" w:rsidRPr="001F39DD" w:rsidRDefault="000C56C3" w:rsidP="000C56C3">
            <w:pPr>
              <w:spacing w:after="0" w:line="240" w:lineRule="auto"/>
              <w:rPr>
                <w:rFonts w:asciiTheme="majorBidi" w:hAnsiTheme="majorBidi" w:cstheme="majorBidi"/>
              </w:rPr>
            </w:pPr>
          </w:p>
          <w:p w14:paraId="181E7285"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Recent studies consistently demonstrate that deep learning models provide superior forecasting accuracy compared to traditional machine learning and statistical approaches for energy prediction tasks. A growing body of literature supports the use of recurrent neural network architectures for capturing temporal dependencies in electricity consumption data.</w:t>
            </w:r>
          </w:p>
          <w:p w14:paraId="631C1F76" w14:textId="77777777" w:rsidR="00611808" w:rsidRPr="001F39DD" w:rsidRDefault="00611808" w:rsidP="00611808">
            <w:pPr>
              <w:spacing w:before="60" w:after="60"/>
              <w:rPr>
                <w:rFonts w:asciiTheme="majorBidi" w:hAnsiTheme="majorBidi" w:cstheme="majorBidi"/>
              </w:rPr>
            </w:pPr>
          </w:p>
          <w:p w14:paraId="48EFCA78"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Kong et al. [1] developed an LSTM-based short-term residential load forecasting model and reported that recurrent neural networks effectively capture temporal dependencies in electricity consumption sequences. Their study on IEEE Access demonstrated that LSTM networks outperformed ARIMA and shallow machine learning models in short-term load prediction, establishing a benchmark for subsequent research in this area.</w:t>
            </w:r>
          </w:p>
          <w:p w14:paraId="32374299" w14:textId="77777777" w:rsidR="00611808" w:rsidRPr="001F39DD" w:rsidRDefault="00611808" w:rsidP="00611808">
            <w:pPr>
              <w:spacing w:before="60" w:after="60"/>
              <w:rPr>
                <w:rFonts w:asciiTheme="majorBidi" w:hAnsiTheme="majorBidi" w:cstheme="majorBidi"/>
              </w:rPr>
            </w:pPr>
          </w:p>
          <w:p w14:paraId="0D02BBBB"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lastRenderedPageBreak/>
              <w:t>Marino et al. [2] proposed deep neural network models for building energy load forecasting and highlighted the critical importance of feature engineering in improving prediction performance. Their work presented at the IEEE International Conference on Industrial Informatics demonstrated that architectural choices and input feature selection significantly influence forecasting accuracy across different building types and usage patterns.</w:t>
            </w:r>
          </w:p>
          <w:p w14:paraId="3CE8A7BC" w14:textId="77777777" w:rsidR="00611808" w:rsidRPr="001F39DD" w:rsidRDefault="00611808" w:rsidP="00611808">
            <w:pPr>
              <w:spacing w:before="60" w:after="60"/>
              <w:rPr>
                <w:rFonts w:asciiTheme="majorBidi" w:hAnsiTheme="majorBidi" w:cstheme="majorBidi"/>
              </w:rPr>
            </w:pPr>
          </w:p>
          <w:p w14:paraId="4477B6FB"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Wang et al. [3] conducted a comprehensive review of smart meter data analytics techniques in the IEEE Transactions on Smart Grid and identified deep learning as the most promising approach for large-scale energy prediction systems. Their review highlighted that the volume, velocity, and variety of smart meter data demand models capable of handling high-dimensional temporal sequences — a requirement well suited to LSTM and GRU architectures.</w:t>
            </w:r>
          </w:p>
          <w:p w14:paraId="3FB3934D" w14:textId="77777777" w:rsidR="00611808" w:rsidRPr="001F39DD" w:rsidRDefault="00611808" w:rsidP="00611808">
            <w:pPr>
              <w:spacing w:before="60" w:after="60"/>
              <w:rPr>
                <w:rFonts w:asciiTheme="majorBidi" w:hAnsiTheme="majorBidi" w:cstheme="majorBidi"/>
              </w:rPr>
            </w:pPr>
          </w:p>
          <w:p w14:paraId="6726BBD3"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Li et al. [4] introduced a hybrid deep learning architecture combining Convolutional Neural Networks (CNN) and recurrent neural networks for short-term load forecasting. Their results, published in the IEEE Transactions on Smart Grid, demonstrated that the CNN-LSTM hybrid achieved higher prediction accuracy than single-architecture models by leveraging CNNs for local pattern extraction and LSTMs for sequential dependency modelling.</w:t>
            </w:r>
          </w:p>
          <w:p w14:paraId="54007919" w14:textId="77777777" w:rsidR="00611808" w:rsidRPr="001F39DD" w:rsidRDefault="00611808" w:rsidP="00611808">
            <w:pPr>
              <w:spacing w:before="60" w:after="60"/>
              <w:rPr>
                <w:rFonts w:asciiTheme="majorBidi" w:hAnsiTheme="majorBidi" w:cstheme="majorBidi"/>
              </w:rPr>
            </w:pPr>
          </w:p>
          <w:p w14:paraId="3132A00E"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Zhou et al. [5] investigated transformer-based forecasting models and demonstrated improved long-term forecasting capability using self-attention mechanisms. Their work in IEEE Access is significant because it addresses the known limitation of standard LSTMs in modelling very long temporal dependencies, suggesting that attention-based architectures represent the next frontier in energy forecasting research.</w:t>
            </w:r>
          </w:p>
          <w:p w14:paraId="7E33091B" w14:textId="77777777" w:rsidR="00611808" w:rsidRPr="001F39DD" w:rsidRDefault="00611808" w:rsidP="00611808">
            <w:pPr>
              <w:spacing w:before="60" w:after="60"/>
              <w:rPr>
                <w:rFonts w:asciiTheme="majorBidi" w:hAnsiTheme="majorBidi" w:cstheme="majorBidi"/>
              </w:rPr>
            </w:pPr>
          </w:p>
          <w:p w14:paraId="00692110" w14:textId="292AEA43" w:rsidR="000C56C3" w:rsidRPr="001F39DD" w:rsidRDefault="00611808" w:rsidP="00611808">
            <w:pPr>
              <w:widowControl w:val="0"/>
              <w:autoSpaceDE w:val="0"/>
              <w:autoSpaceDN w:val="0"/>
              <w:adjustRightInd w:val="0"/>
              <w:ind w:left="100" w:right="57"/>
              <w:jc w:val="both"/>
              <w:rPr>
                <w:rFonts w:asciiTheme="majorBidi" w:hAnsiTheme="majorBidi" w:cstheme="majorBidi"/>
                <w:color w:val="000000"/>
                <w:spacing w:val="-2"/>
              </w:rPr>
            </w:pPr>
            <w:r w:rsidRPr="001F39DD">
              <w:rPr>
                <w:rFonts w:asciiTheme="majorBidi" w:eastAsia="Arial" w:hAnsiTheme="majorBidi" w:cstheme="majorBidi"/>
              </w:rPr>
              <w:t xml:space="preserve">Although existing studies achieve strong forecasting performance, several research gaps remain. Many previous studies focus primarily on prediction accuracy without providing detailed time series analytics such as trend decomposition, seasonality analysis, and consumption behaviour interpretation. Furthermore, limited comparative evaluations exist between multiple deep learning architectures under identical dataset and evaluation conditions. There is also a notable absence of interactive visualisation systems that present forecasting results in an accessible, decision-ready format. This project directly addresses these gaps by integrating deep learning forecasting, structured time series analytics, multi-model comparative evaluation, and an interactive </w:t>
            </w:r>
            <w:proofErr w:type="spellStart"/>
            <w:r w:rsidRPr="001F39DD">
              <w:rPr>
                <w:rFonts w:asciiTheme="majorBidi" w:eastAsia="Arial" w:hAnsiTheme="majorBidi" w:cstheme="majorBidi"/>
              </w:rPr>
              <w:t>Streamlit</w:t>
            </w:r>
            <w:proofErr w:type="spellEnd"/>
            <w:r w:rsidRPr="001F39DD">
              <w:rPr>
                <w:rFonts w:asciiTheme="majorBidi" w:eastAsia="Arial" w:hAnsiTheme="majorBidi" w:cstheme="majorBidi"/>
              </w:rPr>
              <w:t>-based dashboard into a unified smart energy analytics framework.</w:t>
            </w:r>
            <w:r w:rsidR="00FF48B9" w:rsidRPr="001F39DD">
              <w:rPr>
                <w:rFonts w:asciiTheme="majorBidi" w:eastAsia="Arial" w:hAnsiTheme="majorBidi" w:cstheme="majorBidi"/>
              </w:rPr>
              <w:t xml:space="preserve"> </w:t>
            </w:r>
            <w:r w:rsidR="00FF48B9" w:rsidRPr="001F39DD">
              <w:rPr>
                <w:rFonts w:asciiTheme="majorBidi" w:hAnsiTheme="majorBidi" w:cstheme="majorBidi"/>
              </w:rPr>
              <w:t>This project's novelty lies in combining comparative deep learning forecasting, structured time series analytics, and an interactive decision support dashboard within a single reproducible framework evaluated across both regional and household energy consumption datasets.</w:t>
            </w:r>
          </w:p>
        </w:tc>
      </w:tr>
    </w:tbl>
    <w:p w14:paraId="3BECE9A9"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6E53DD59" w14:textId="77777777" w:rsidTr="00BE275B">
        <w:tc>
          <w:tcPr>
            <w:tcW w:w="9016" w:type="dxa"/>
            <w:shd w:val="clear" w:color="auto" w:fill="222A35" w:themeFill="text2" w:themeFillShade="80"/>
          </w:tcPr>
          <w:p w14:paraId="0ACCCFFD" w14:textId="593FC556"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Project Aim and Objectives (</w:t>
            </w:r>
            <w:r w:rsidR="00011F4D" w:rsidRPr="001F39DD">
              <w:rPr>
                <w:rFonts w:asciiTheme="majorBidi" w:hAnsiTheme="majorBidi" w:cstheme="majorBidi"/>
                <w:color w:val="FFFFFF" w:themeColor="background1"/>
              </w:rPr>
              <w:t>300</w:t>
            </w:r>
            <w:r w:rsidRPr="001F39DD">
              <w:rPr>
                <w:rFonts w:asciiTheme="majorBidi" w:hAnsiTheme="majorBidi" w:cstheme="majorBidi"/>
                <w:color w:val="FFFFFF" w:themeColor="background1"/>
              </w:rPr>
              <w:t xml:space="preserve"> words</w:t>
            </w:r>
            <w:r w:rsidR="00E0507C" w:rsidRPr="001F39DD">
              <w:rPr>
                <w:rFonts w:asciiTheme="majorBidi" w:hAnsiTheme="majorBidi" w:cstheme="majorBidi"/>
                <w:color w:val="FFFFFF" w:themeColor="background1"/>
              </w:rPr>
              <w:t>)</w:t>
            </w:r>
          </w:p>
        </w:tc>
      </w:tr>
      <w:tr w:rsidR="000C56C3" w:rsidRPr="001F39DD" w14:paraId="529CF121" w14:textId="77777777" w:rsidTr="00BE275B">
        <w:tc>
          <w:tcPr>
            <w:tcW w:w="9016" w:type="dxa"/>
          </w:tcPr>
          <w:p w14:paraId="225F8144" w14:textId="77777777" w:rsidR="000C56C3" w:rsidRPr="001F39DD" w:rsidRDefault="000C56C3" w:rsidP="000C56C3">
            <w:pPr>
              <w:spacing w:after="0" w:line="240" w:lineRule="auto"/>
              <w:rPr>
                <w:rFonts w:asciiTheme="majorBidi" w:hAnsiTheme="majorBidi" w:cstheme="majorBidi"/>
              </w:rPr>
            </w:pPr>
          </w:p>
          <w:p w14:paraId="53918136" w14:textId="77777777" w:rsidR="00611808" w:rsidRPr="001F39DD" w:rsidRDefault="00611808" w:rsidP="00611808">
            <w:pPr>
              <w:pStyle w:val="Heading2"/>
              <w:rPr>
                <w:rFonts w:asciiTheme="majorBidi" w:hAnsiTheme="majorBidi"/>
                <w:sz w:val="22"/>
                <w:szCs w:val="22"/>
              </w:rPr>
            </w:pPr>
            <w:r w:rsidRPr="001F39DD">
              <w:rPr>
                <w:rFonts w:asciiTheme="majorBidi" w:eastAsia="Arial" w:hAnsiTheme="majorBidi"/>
                <w:bCs/>
                <w:sz w:val="22"/>
                <w:szCs w:val="22"/>
              </w:rPr>
              <w:t>Aim</w:t>
            </w:r>
          </w:p>
          <w:p w14:paraId="1016CB16" w14:textId="45A9F57C" w:rsidR="00611808" w:rsidRPr="001F39DD" w:rsidRDefault="005B27A8" w:rsidP="005B27A8">
            <w:pPr>
              <w:widowControl w:val="0"/>
              <w:autoSpaceDE w:val="0"/>
              <w:autoSpaceDN w:val="0"/>
              <w:adjustRightInd w:val="0"/>
              <w:ind w:left="100" w:right="57"/>
              <w:jc w:val="both"/>
              <w:rPr>
                <w:rFonts w:asciiTheme="majorBidi" w:eastAsia="Arial" w:hAnsiTheme="majorBidi" w:cstheme="majorBidi"/>
              </w:rPr>
            </w:pPr>
            <w:r w:rsidRPr="001F39DD">
              <w:rPr>
                <w:rFonts w:asciiTheme="majorBidi" w:eastAsia="Arial" w:hAnsiTheme="majorBidi" w:cstheme="majorBidi"/>
              </w:rPr>
              <w:t xml:space="preserve">The aim of this project is to develop an intelligent and scalable smart energy consumption forecasting framework by implementing, comparing, and evaluating multiple deep learning and machine learning models using the PJM Hourly Energy Consumption Dataset and the UCI Individual Household Electric Power Consumption Dataset, and to deliver the results through an </w:t>
            </w:r>
            <w:r w:rsidRPr="001F39DD">
              <w:rPr>
                <w:rFonts w:asciiTheme="majorBidi" w:eastAsia="Arial" w:hAnsiTheme="majorBidi" w:cstheme="majorBidi"/>
              </w:rPr>
              <w:lastRenderedPageBreak/>
              <w:t>interactive visualisation dashboard that supports real-world energy management decision-making</w:t>
            </w:r>
            <w:r w:rsidR="00611808" w:rsidRPr="001F39DD">
              <w:rPr>
                <w:rFonts w:asciiTheme="majorBidi" w:eastAsia="Arial" w:hAnsiTheme="majorBidi" w:cstheme="majorBidi"/>
              </w:rPr>
              <w:t>.</w:t>
            </w:r>
          </w:p>
          <w:p w14:paraId="5579D5FF" w14:textId="77777777" w:rsidR="00611808" w:rsidRPr="001F39DD" w:rsidRDefault="00611808" w:rsidP="00611808">
            <w:pPr>
              <w:spacing w:before="60" w:after="60"/>
              <w:rPr>
                <w:rFonts w:asciiTheme="majorBidi" w:hAnsiTheme="majorBidi" w:cstheme="majorBidi"/>
              </w:rPr>
            </w:pPr>
          </w:p>
          <w:p w14:paraId="3E136AA8" w14:textId="77777777" w:rsidR="00611808" w:rsidRPr="001F39DD" w:rsidRDefault="00611808" w:rsidP="00611808">
            <w:pPr>
              <w:pStyle w:val="Heading2"/>
              <w:rPr>
                <w:rFonts w:asciiTheme="majorBidi" w:hAnsiTheme="majorBidi"/>
                <w:sz w:val="22"/>
                <w:szCs w:val="22"/>
              </w:rPr>
            </w:pPr>
            <w:r w:rsidRPr="001F39DD">
              <w:rPr>
                <w:rFonts w:asciiTheme="majorBidi" w:eastAsia="Arial" w:hAnsiTheme="majorBidi"/>
                <w:bCs/>
                <w:sz w:val="22"/>
                <w:szCs w:val="22"/>
              </w:rPr>
              <w:t>Objectives</w:t>
            </w:r>
          </w:p>
          <w:p w14:paraId="09EF92C4" w14:textId="77777777" w:rsidR="00611808" w:rsidRPr="001F39DD" w:rsidRDefault="00611808" w:rsidP="00611808">
            <w:pPr>
              <w:spacing w:before="80" w:after="80"/>
              <w:jc w:val="both"/>
              <w:rPr>
                <w:rFonts w:asciiTheme="majorBidi" w:hAnsiTheme="majorBidi" w:cstheme="majorBidi"/>
              </w:rPr>
            </w:pPr>
            <w:proofErr w:type="gramStart"/>
            <w:r w:rsidRPr="001F39DD">
              <w:rPr>
                <w:rFonts w:asciiTheme="majorBidi" w:eastAsia="Arial" w:hAnsiTheme="majorBidi" w:cstheme="majorBidi"/>
              </w:rPr>
              <w:t>In order to</w:t>
            </w:r>
            <w:proofErr w:type="gramEnd"/>
            <w:r w:rsidRPr="001F39DD">
              <w:rPr>
                <w:rFonts w:asciiTheme="majorBidi" w:eastAsia="Arial" w:hAnsiTheme="majorBidi" w:cstheme="majorBidi"/>
              </w:rPr>
              <w:t xml:space="preserve"> achieve this aim, the following objectives will be pursued:</w:t>
            </w:r>
          </w:p>
          <w:p w14:paraId="46DE139D" w14:textId="77777777" w:rsidR="00611808" w:rsidRPr="001F39DD" w:rsidRDefault="00611808" w:rsidP="00611808">
            <w:pPr>
              <w:spacing w:before="60" w:after="60"/>
              <w:rPr>
                <w:rFonts w:asciiTheme="majorBidi" w:hAnsiTheme="majorBidi" w:cstheme="majorBidi"/>
              </w:rPr>
            </w:pPr>
          </w:p>
          <w:p w14:paraId="50A34088" w14:textId="5CD914DC" w:rsidR="00611808" w:rsidRPr="001F39DD" w:rsidRDefault="005B27A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hAnsiTheme="majorBidi" w:cstheme="majorBidi"/>
                <w:sz w:val="22"/>
                <w:szCs w:val="22"/>
              </w:rPr>
              <w:t>Collect and prepare two publicly available energy consumption datasets, namely the PJM Hourly Energy Consumption Dataset and the UCI Individual Household Electric Power Consumption Dataset, for forecasting model development and evaluation</w:t>
            </w:r>
            <w:r w:rsidR="00611808" w:rsidRPr="001F39DD">
              <w:rPr>
                <w:rFonts w:asciiTheme="majorBidi" w:eastAsia="Arial" w:hAnsiTheme="majorBidi" w:cstheme="majorBidi"/>
                <w:sz w:val="22"/>
                <w:szCs w:val="22"/>
              </w:rPr>
              <w:t>.</w:t>
            </w:r>
          </w:p>
          <w:p w14:paraId="21EF7AB9"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proofErr w:type="spellStart"/>
            <w:r w:rsidRPr="001F39DD">
              <w:rPr>
                <w:rFonts w:asciiTheme="majorBidi" w:eastAsia="Arial" w:hAnsiTheme="majorBidi" w:cstheme="majorBidi"/>
                <w:sz w:val="22"/>
                <w:szCs w:val="22"/>
              </w:rPr>
              <w:t>Preprocess</w:t>
            </w:r>
            <w:proofErr w:type="spellEnd"/>
            <w:r w:rsidRPr="001F39DD">
              <w:rPr>
                <w:rFonts w:asciiTheme="majorBidi" w:eastAsia="Arial" w:hAnsiTheme="majorBidi" w:cstheme="majorBidi"/>
                <w:sz w:val="22"/>
                <w:szCs w:val="22"/>
              </w:rPr>
              <w:t xml:space="preserve"> and transform the collected datasets by handling missing values, </w:t>
            </w:r>
            <w:proofErr w:type="gramStart"/>
            <w:r w:rsidRPr="001F39DD">
              <w:rPr>
                <w:rFonts w:asciiTheme="majorBidi" w:eastAsia="Arial" w:hAnsiTheme="majorBidi" w:cstheme="majorBidi"/>
                <w:sz w:val="22"/>
                <w:szCs w:val="22"/>
              </w:rPr>
              <w:t>detecting</w:t>
            </w:r>
            <w:proofErr w:type="gramEnd"/>
            <w:r w:rsidRPr="001F39DD">
              <w:rPr>
                <w:rFonts w:asciiTheme="majorBidi" w:eastAsia="Arial" w:hAnsiTheme="majorBidi" w:cstheme="majorBidi"/>
                <w:sz w:val="22"/>
                <w:szCs w:val="22"/>
              </w:rPr>
              <w:t xml:space="preserve"> and treating outliers, extracting time-based features (hour, day, week, month, seasonal indicators), and applying normalisation techniques suitable for deep learning model training.</w:t>
            </w:r>
          </w:p>
          <w:p w14:paraId="7B43D276"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eastAsia="Arial" w:hAnsiTheme="majorBidi" w:cstheme="majorBidi"/>
                <w:sz w:val="22"/>
                <w:szCs w:val="22"/>
              </w:rPr>
              <w:t>Conduct exploratory data analysis (EDA) and time series decomposition to identify consumption trends, seasonal patterns, cyclical behaviour, and peak usage periods using visualisation and statistical methods.</w:t>
            </w:r>
          </w:p>
          <w:p w14:paraId="73EDEF1A"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eastAsia="Arial" w:hAnsiTheme="majorBidi" w:cstheme="majorBidi"/>
                <w:sz w:val="22"/>
                <w:szCs w:val="22"/>
              </w:rPr>
              <w:t xml:space="preserve">Implement and train multiple forecasting models — including LSTM, GRU, CNN-LSTM hybrid, Random Forest Regression, and </w:t>
            </w:r>
            <w:proofErr w:type="spellStart"/>
            <w:r w:rsidRPr="001F39DD">
              <w:rPr>
                <w:rFonts w:asciiTheme="majorBidi" w:eastAsia="Arial" w:hAnsiTheme="majorBidi" w:cstheme="majorBidi"/>
                <w:sz w:val="22"/>
                <w:szCs w:val="22"/>
              </w:rPr>
              <w:t>XGBoost</w:t>
            </w:r>
            <w:proofErr w:type="spellEnd"/>
            <w:r w:rsidRPr="001F39DD">
              <w:rPr>
                <w:rFonts w:asciiTheme="majorBidi" w:eastAsia="Arial" w:hAnsiTheme="majorBidi" w:cstheme="majorBidi"/>
                <w:sz w:val="22"/>
                <w:szCs w:val="22"/>
              </w:rPr>
              <w:t xml:space="preserve"> Regression — using TensorFlow and </w:t>
            </w:r>
            <w:proofErr w:type="spellStart"/>
            <w:r w:rsidRPr="001F39DD">
              <w:rPr>
                <w:rFonts w:asciiTheme="majorBidi" w:eastAsia="Arial" w:hAnsiTheme="majorBidi" w:cstheme="majorBidi"/>
                <w:sz w:val="22"/>
                <w:szCs w:val="22"/>
              </w:rPr>
              <w:t>Keras</w:t>
            </w:r>
            <w:proofErr w:type="spellEnd"/>
            <w:r w:rsidRPr="001F39DD">
              <w:rPr>
                <w:rFonts w:asciiTheme="majorBidi" w:eastAsia="Arial" w:hAnsiTheme="majorBidi" w:cstheme="majorBidi"/>
                <w:sz w:val="22"/>
                <w:szCs w:val="22"/>
              </w:rPr>
              <w:t xml:space="preserve"> frameworks with consistent training and evaluation protocols.</w:t>
            </w:r>
          </w:p>
          <w:p w14:paraId="09FAAA6A"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eastAsia="Arial" w:hAnsiTheme="majorBidi" w:cstheme="majorBidi"/>
                <w:sz w:val="22"/>
                <w:szCs w:val="22"/>
              </w:rPr>
              <w:t>Optimise each model through hyperparameter tuning and perform comparative evaluation using RMSE, MAE, MAPE, and R-squared metrics to identify the most accurate and efficient forecasting architecture.</w:t>
            </w:r>
          </w:p>
          <w:p w14:paraId="7068629F"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eastAsia="Arial" w:hAnsiTheme="majorBidi" w:cstheme="majorBidi"/>
                <w:sz w:val="22"/>
                <w:szCs w:val="22"/>
              </w:rPr>
              <w:t xml:space="preserve">Develop an interactive </w:t>
            </w:r>
            <w:proofErr w:type="spellStart"/>
            <w:r w:rsidRPr="001F39DD">
              <w:rPr>
                <w:rFonts w:asciiTheme="majorBidi" w:eastAsia="Arial" w:hAnsiTheme="majorBidi" w:cstheme="majorBidi"/>
                <w:sz w:val="22"/>
                <w:szCs w:val="22"/>
              </w:rPr>
              <w:t>Streamlit</w:t>
            </w:r>
            <w:proofErr w:type="spellEnd"/>
            <w:r w:rsidRPr="001F39DD">
              <w:rPr>
                <w:rFonts w:asciiTheme="majorBidi" w:eastAsia="Arial" w:hAnsiTheme="majorBidi" w:cstheme="majorBidi"/>
                <w:sz w:val="22"/>
                <w:szCs w:val="22"/>
              </w:rPr>
              <w:t>-based visualisation dashboard that presents historical energy consumption patterns, model forecasting outputs, and performance comparisons through accessible, real-time interactive graphs.</w:t>
            </w:r>
          </w:p>
          <w:p w14:paraId="6F9C5DDA" w14:textId="77777777" w:rsidR="00611808" w:rsidRPr="001F39DD" w:rsidRDefault="00611808" w:rsidP="00611808">
            <w:pPr>
              <w:pStyle w:val="ListParagraph"/>
              <w:numPr>
                <w:ilvl w:val="0"/>
                <w:numId w:val="3"/>
              </w:numPr>
              <w:spacing w:before="60" w:after="60"/>
              <w:contextualSpacing w:val="0"/>
              <w:rPr>
                <w:rFonts w:asciiTheme="majorBidi" w:hAnsiTheme="majorBidi" w:cstheme="majorBidi"/>
                <w:sz w:val="22"/>
                <w:szCs w:val="22"/>
              </w:rPr>
            </w:pPr>
            <w:r w:rsidRPr="001F39DD">
              <w:rPr>
                <w:rFonts w:asciiTheme="majorBidi" w:eastAsia="Arial" w:hAnsiTheme="majorBidi" w:cstheme="majorBidi"/>
                <w:sz w:val="22"/>
                <w:szCs w:val="22"/>
              </w:rPr>
              <w:t>Document the complete research process and produce a final dissertation critically evaluating the framework, methodology limitations, and directions for future work.</w:t>
            </w:r>
          </w:p>
          <w:p w14:paraId="66688400" w14:textId="4D6C6CAA" w:rsidR="000C56C3" w:rsidRPr="001F39DD" w:rsidRDefault="000C56C3" w:rsidP="00E0507C">
            <w:pPr>
              <w:widowControl w:val="0"/>
              <w:autoSpaceDE w:val="0"/>
              <w:autoSpaceDN w:val="0"/>
              <w:adjustRightInd w:val="0"/>
              <w:ind w:left="100" w:right="57"/>
              <w:jc w:val="both"/>
              <w:rPr>
                <w:rFonts w:asciiTheme="majorBidi" w:hAnsiTheme="majorBidi" w:cstheme="majorBidi"/>
                <w:color w:val="D0CECE" w:themeColor="background2" w:themeShade="E6"/>
                <w:spacing w:val="-2"/>
              </w:rPr>
            </w:pPr>
          </w:p>
        </w:tc>
      </w:tr>
    </w:tbl>
    <w:p w14:paraId="69DB65DD"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41A9C84D" w14:textId="77777777" w:rsidTr="00BE275B">
        <w:tc>
          <w:tcPr>
            <w:tcW w:w="9016" w:type="dxa"/>
            <w:shd w:val="clear" w:color="auto" w:fill="222A35" w:themeFill="text2" w:themeFillShade="80"/>
          </w:tcPr>
          <w:p w14:paraId="20DFB830" w14:textId="60B5BB90"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Methodology/approach (</w:t>
            </w:r>
            <w:r w:rsidR="00546339" w:rsidRPr="001F39DD">
              <w:rPr>
                <w:rFonts w:asciiTheme="majorBidi" w:hAnsiTheme="majorBidi" w:cstheme="majorBidi"/>
                <w:color w:val="FFFFFF" w:themeColor="background1"/>
              </w:rPr>
              <w:t>4</w:t>
            </w:r>
            <w:r w:rsidRPr="001F39DD">
              <w:rPr>
                <w:rFonts w:asciiTheme="majorBidi" w:hAnsiTheme="majorBidi" w:cstheme="majorBidi"/>
                <w:color w:val="FFFFFF" w:themeColor="background1"/>
              </w:rPr>
              <w:t>00 words)</w:t>
            </w:r>
          </w:p>
        </w:tc>
      </w:tr>
      <w:tr w:rsidR="000C56C3" w:rsidRPr="001F39DD" w14:paraId="17199D0A" w14:textId="77777777" w:rsidTr="00BE275B">
        <w:tc>
          <w:tcPr>
            <w:tcW w:w="9016" w:type="dxa"/>
          </w:tcPr>
          <w:p w14:paraId="29761B06" w14:textId="77777777" w:rsidR="000C56C3" w:rsidRPr="001F39DD" w:rsidRDefault="000C56C3" w:rsidP="00E72C29">
            <w:pPr>
              <w:spacing w:before="80" w:after="80"/>
              <w:jc w:val="both"/>
              <w:rPr>
                <w:rFonts w:asciiTheme="majorBidi" w:eastAsia="Arial" w:hAnsiTheme="majorBidi" w:cstheme="majorBidi"/>
              </w:rPr>
            </w:pPr>
          </w:p>
          <w:p w14:paraId="216656A2"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The proposed methodology adopts a quantitative, experimental research design based on secondary data analysis, deep learning model development, and interactive system prototyping. The approach is structured into six sequential phases:</w:t>
            </w:r>
          </w:p>
          <w:p w14:paraId="6E16381A" w14:textId="77777777" w:rsidR="00611808" w:rsidRPr="001F39DD" w:rsidRDefault="00611808" w:rsidP="00E72C29">
            <w:pPr>
              <w:spacing w:before="80" w:after="80"/>
              <w:jc w:val="both"/>
              <w:rPr>
                <w:rFonts w:asciiTheme="majorBidi" w:eastAsia="Arial" w:hAnsiTheme="majorBidi" w:cstheme="majorBidi"/>
              </w:rPr>
            </w:pPr>
          </w:p>
          <w:p w14:paraId="65732093"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Phase 1 – Data Acquisition</w:t>
            </w:r>
          </w:p>
          <w:p w14:paraId="0CB58D3C" w14:textId="2520BE34" w:rsidR="00611808" w:rsidRPr="001F39DD" w:rsidRDefault="00E72C29" w:rsidP="00E72C29">
            <w:pPr>
              <w:spacing w:before="80" w:after="80"/>
              <w:jc w:val="both"/>
              <w:rPr>
                <w:rFonts w:asciiTheme="majorBidi" w:eastAsia="Arial" w:hAnsiTheme="majorBidi" w:cstheme="majorBidi"/>
              </w:rPr>
            </w:pPr>
            <w:r w:rsidRPr="001F39DD">
              <w:rPr>
                <w:rFonts w:asciiTheme="majorBidi" w:eastAsia="Arial" w:hAnsiTheme="majorBidi" w:cstheme="majorBidi"/>
              </w:rPr>
              <w:t>Publicly available datasets will be collected from the PJM Hourly Energy Consumption Dataset and the UCI Individual Household Electric Power Consumption Dataset. These datasets provide electricity consumption records at different scales, enabling evaluation of forecasting models across both regional grid level and household level energy demand scenarios.</w:t>
            </w:r>
          </w:p>
          <w:p w14:paraId="2BF7E481" w14:textId="77777777" w:rsidR="00611808" w:rsidRPr="001F39DD" w:rsidRDefault="00611808" w:rsidP="00E72C29">
            <w:pPr>
              <w:spacing w:before="80" w:after="80"/>
              <w:jc w:val="both"/>
              <w:rPr>
                <w:rFonts w:asciiTheme="majorBidi" w:eastAsia="Arial" w:hAnsiTheme="majorBidi" w:cstheme="majorBidi"/>
              </w:rPr>
            </w:pPr>
          </w:p>
          <w:p w14:paraId="6005FB0F"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 xml:space="preserve">Phase 2 – Data </w:t>
            </w:r>
            <w:proofErr w:type="spellStart"/>
            <w:r w:rsidRPr="001F39DD">
              <w:rPr>
                <w:rFonts w:asciiTheme="majorBidi" w:eastAsia="Arial" w:hAnsiTheme="majorBidi"/>
                <w:b w:val="0"/>
                <w:color w:val="auto"/>
                <w:sz w:val="22"/>
                <w:szCs w:val="22"/>
              </w:rPr>
              <w:t>Preprocessing</w:t>
            </w:r>
            <w:proofErr w:type="spellEnd"/>
          </w:p>
          <w:p w14:paraId="607D5241"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 xml:space="preserve">Raw datasets will be processed using Python's Pandas and NumPy libraries. The </w:t>
            </w:r>
            <w:proofErr w:type="spellStart"/>
            <w:r w:rsidRPr="001F39DD">
              <w:rPr>
                <w:rFonts w:asciiTheme="majorBidi" w:eastAsia="Arial" w:hAnsiTheme="majorBidi" w:cstheme="majorBidi"/>
              </w:rPr>
              <w:t>preprocessing</w:t>
            </w:r>
            <w:proofErr w:type="spellEnd"/>
            <w:r w:rsidRPr="001F39DD">
              <w:rPr>
                <w:rFonts w:asciiTheme="majorBidi" w:eastAsia="Arial" w:hAnsiTheme="majorBidi" w:cstheme="majorBidi"/>
              </w:rPr>
              <w:t xml:space="preserve"> pipeline will </w:t>
            </w:r>
            <w:proofErr w:type="gramStart"/>
            <w:r w:rsidRPr="001F39DD">
              <w:rPr>
                <w:rFonts w:asciiTheme="majorBidi" w:eastAsia="Arial" w:hAnsiTheme="majorBidi" w:cstheme="majorBidi"/>
              </w:rPr>
              <w:t>include:</w:t>
            </w:r>
            <w:proofErr w:type="gramEnd"/>
            <w:r w:rsidRPr="001F39DD">
              <w:rPr>
                <w:rFonts w:asciiTheme="majorBidi" w:eastAsia="Arial" w:hAnsiTheme="majorBidi" w:cstheme="majorBidi"/>
              </w:rPr>
              <w:t xml:space="preserve"> identifying and imputing or removing missing values; detecting and treating outliers using interquartile range (IQR) methods; extracting temporal features including hour of day, </w:t>
            </w:r>
            <w:r w:rsidRPr="001F39DD">
              <w:rPr>
                <w:rFonts w:asciiTheme="majorBidi" w:eastAsia="Arial" w:hAnsiTheme="majorBidi" w:cstheme="majorBidi"/>
              </w:rPr>
              <w:lastRenderedPageBreak/>
              <w:t>day of week, month, and seasonal indicators; and applying Min-Max normalisation to scale input features into a [0,1] range suitable for deep learning training. Sequence windowing will be applied to structure the time series data into fixed-length input-output pairs for recurrent model training.</w:t>
            </w:r>
          </w:p>
          <w:p w14:paraId="42C95F5B" w14:textId="77777777" w:rsidR="00611808" w:rsidRPr="001F39DD" w:rsidRDefault="00611808" w:rsidP="00E72C29">
            <w:pPr>
              <w:spacing w:before="80" w:after="80"/>
              <w:jc w:val="both"/>
              <w:rPr>
                <w:rFonts w:asciiTheme="majorBidi" w:eastAsia="Arial" w:hAnsiTheme="majorBidi" w:cstheme="majorBidi"/>
              </w:rPr>
            </w:pPr>
          </w:p>
          <w:p w14:paraId="425BF46F"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Phase 3 – Exploratory Data Analysis</w:t>
            </w:r>
          </w:p>
          <w:p w14:paraId="5CBD2003"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 xml:space="preserve">Exploratory data analysis will be performed prior to modelling to develop a thorough understanding of the dataset characteristics. This will include visualising historical consumption trends, identifying seasonal and cyclical patterns, analysing peak and off-peak usage periods, and performing time series decomposition (trend, seasonality, and residual components) using the </w:t>
            </w:r>
            <w:proofErr w:type="spellStart"/>
            <w:r w:rsidRPr="001F39DD">
              <w:rPr>
                <w:rFonts w:asciiTheme="majorBidi" w:eastAsia="Arial" w:hAnsiTheme="majorBidi" w:cstheme="majorBidi"/>
              </w:rPr>
              <w:t>statsmodels</w:t>
            </w:r>
            <w:proofErr w:type="spellEnd"/>
            <w:r w:rsidRPr="001F39DD">
              <w:rPr>
                <w:rFonts w:asciiTheme="majorBidi" w:eastAsia="Arial" w:hAnsiTheme="majorBidi" w:cstheme="majorBidi"/>
              </w:rPr>
              <w:t xml:space="preserve"> library. Correlation analysis will be used to assess feature relationships. This phase directly addresses the gap identified in the literature review, where many existing studies skip structured data exploration and proceed directly to modelling [3].</w:t>
            </w:r>
          </w:p>
          <w:p w14:paraId="5E81FD30" w14:textId="77777777" w:rsidR="00611808" w:rsidRPr="001F39DD" w:rsidRDefault="00611808" w:rsidP="00E72C29">
            <w:pPr>
              <w:spacing w:before="80" w:after="80"/>
              <w:jc w:val="both"/>
              <w:rPr>
                <w:rFonts w:asciiTheme="majorBidi" w:eastAsia="Arial" w:hAnsiTheme="majorBidi" w:cstheme="majorBidi"/>
              </w:rPr>
            </w:pPr>
          </w:p>
          <w:p w14:paraId="3BDAFC12"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Phase 4 – Model Development</w:t>
            </w:r>
          </w:p>
          <w:p w14:paraId="5B050C03"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Five forecasting models will be implemented and compared:</w:t>
            </w:r>
          </w:p>
          <w:p w14:paraId="6BAAC83F" w14:textId="77777777" w:rsidR="00611808" w:rsidRPr="001F39DD" w:rsidRDefault="00611808" w:rsidP="00E72C29">
            <w:pPr>
              <w:pStyle w:val="ListParagraph"/>
              <w:numPr>
                <w:ilvl w:val="0"/>
                <w:numId w:val="4"/>
              </w:numPr>
              <w:spacing w:before="80" w:after="80" w:line="276" w:lineRule="auto"/>
              <w:contextualSpacing w:val="0"/>
              <w:jc w:val="both"/>
              <w:rPr>
                <w:rFonts w:asciiTheme="majorBidi" w:eastAsia="Arial" w:hAnsiTheme="majorBidi" w:cstheme="majorBidi"/>
                <w:sz w:val="22"/>
                <w:szCs w:val="22"/>
              </w:rPr>
            </w:pPr>
            <w:r w:rsidRPr="001F39DD">
              <w:rPr>
                <w:rFonts w:asciiTheme="majorBidi" w:eastAsia="Arial" w:hAnsiTheme="majorBidi" w:cstheme="majorBidi"/>
                <w:sz w:val="22"/>
                <w:szCs w:val="22"/>
              </w:rPr>
              <w:t xml:space="preserve">LSTM (Long Short-Term Memory) – captures long-range temporal dependencies in sequential </w:t>
            </w:r>
            <w:proofErr w:type="gramStart"/>
            <w:r w:rsidRPr="001F39DD">
              <w:rPr>
                <w:rFonts w:asciiTheme="majorBidi" w:eastAsia="Arial" w:hAnsiTheme="majorBidi" w:cstheme="majorBidi"/>
                <w:sz w:val="22"/>
                <w:szCs w:val="22"/>
              </w:rPr>
              <w:t>data</w:t>
            </w:r>
            <w:proofErr w:type="gramEnd"/>
          </w:p>
          <w:p w14:paraId="11D10E14" w14:textId="77777777" w:rsidR="00611808" w:rsidRPr="001F39DD" w:rsidRDefault="00611808" w:rsidP="00E72C29">
            <w:pPr>
              <w:pStyle w:val="ListParagraph"/>
              <w:numPr>
                <w:ilvl w:val="0"/>
                <w:numId w:val="4"/>
              </w:numPr>
              <w:spacing w:before="80" w:after="80" w:line="276" w:lineRule="auto"/>
              <w:contextualSpacing w:val="0"/>
              <w:jc w:val="both"/>
              <w:rPr>
                <w:rFonts w:asciiTheme="majorBidi" w:eastAsia="Arial" w:hAnsiTheme="majorBidi" w:cstheme="majorBidi"/>
                <w:sz w:val="22"/>
                <w:szCs w:val="22"/>
              </w:rPr>
            </w:pPr>
            <w:r w:rsidRPr="001F39DD">
              <w:rPr>
                <w:rFonts w:asciiTheme="majorBidi" w:eastAsia="Arial" w:hAnsiTheme="majorBidi" w:cstheme="majorBidi"/>
                <w:sz w:val="22"/>
                <w:szCs w:val="22"/>
              </w:rPr>
              <w:t>GRU (Gated Recurrent Unit) – computationally lighter alternative to LSTM with comparable sequence modelling ability</w:t>
            </w:r>
          </w:p>
          <w:p w14:paraId="1C15CC0A" w14:textId="77777777" w:rsidR="00611808" w:rsidRPr="001F39DD" w:rsidRDefault="00611808" w:rsidP="00E72C29">
            <w:pPr>
              <w:pStyle w:val="ListParagraph"/>
              <w:numPr>
                <w:ilvl w:val="0"/>
                <w:numId w:val="4"/>
              </w:numPr>
              <w:spacing w:before="80" w:after="80" w:line="276" w:lineRule="auto"/>
              <w:contextualSpacing w:val="0"/>
              <w:jc w:val="both"/>
              <w:rPr>
                <w:rFonts w:asciiTheme="majorBidi" w:eastAsia="Arial" w:hAnsiTheme="majorBidi" w:cstheme="majorBidi"/>
                <w:sz w:val="22"/>
                <w:szCs w:val="22"/>
              </w:rPr>
            </w:pPr>
            <w:r w:rsidRPr="001F39DD">
              <w:rPr>
                <w:rFonts w:asciiTheme="majorBidi" w:eastAsia="Arial" w:hAnsiTheme="majorBidi" w:cstheme="majorBidi"/>
                <w:sz w:val="22"/>
                <w:szCs w:val="22"/>
              </w:rPr>
              <w:t>CNN-LSTM Hybrid – combines convolutional layers for local pattern extraction with LSTM layers for temporal modelling [4]</w:t>
            </w:r>
          </w:p>
          <w:p w14:paraId="0B416D02" w14:textId="77777777" w:rsidR="00611808" w:rsidRPr="001F39DD" w:rsidRDefault="00611808" w:rsidP="00E72C29">
            <w:pPr>
              <w:pStyle w:val="ListParagraph"/>
              <w:numPr>
                <w:ilvl w:val="0"/>
                <w:numId w:val="4"/>
              </w:numPr>
              <w:spacing w:before="80" w:after="80" w:line="276" w:lineRule="auto"/>
              <w:contextualSpacing w:val="0"/>
              <w:jc w:val="both"/>
              <w:rPr>
                <w:rFonts w:asciiTheme="majorBidi" w:eastAsia="Arial" w:hAnsiTheme="majorBidi" w:cstheme="majorBidi"/>
                <w:sz w:val="22"/>
                <w:szCs w:val="22"/>
              </w:rPr>
            </w:pPr>
            <w:r w:rsidRPr="001F39DD">
              <w:rPr>
                <w:rFonts w:asciiTheme="majorBidi" w:eastAsia="Arial" w:hAnsiTheme="majorBidi" w:cstheme="majorBidi"/>
                <w:sz w:val="22"/>
                <w:szCs w:val="22"/>
              </w:rPr>
              <w:t xml:space="preserve">Random Forest Regression – tree-based ensemble method serving as a non-neural </w:t>
            </w:r>
            <w:proofErr w:type="gramStart"/>
            <w:r w:rsidRPr="001F39DD">
              <w:rPr>
                <w:rFonts w:asciiTheme="majorBidi" w:eastAsia="Arial" w:hAnsiTheme="majorBidi" w:cstheme="majorBidi"/>
                <w:sz w:val="22"/>
                <w:szCs w:val="22"/>
              </w:rPr>
              <w:t>baseline</w:t>
            </w:r>
            <w:proofErr w:type="gramEnd"/>
          </w:p>
          <w:p w14:paraId="67FFA33E" w14:textId="77777777" w:rsidR="00611808" w:rsidRPr="001F39DD" w:rsidRDefault="00611808" w:rsidP="00E72C29">
            <w:pPr>
              <w:pStyle w:val="ListParagraph"/>
              <w:numPr>
                <w:ilvl w:val="0"/>
                <w:numId w:val="4"/>
              </w:numPr>
              <w:spacing w:before="80" w:after="80" w:line="276" w:lineRule="auto"/>
              <w:contextualSpacing w:val="0"/>
              <w:jc w:val="both"/>
              <w:rPr>
                <w:rFonts w:asciiTheme="majorBidi" w:eastAsia="Arial" w:hAnsiTheme="majorBidi" w:cstheme="majorBidi"/>
                <w:sz w:val="22"/>
                <w:szCs w:val="22"/>
              </w:rPr>
            </w:pPr>
            <w:proofErr w:type="spellStart"/>
            <w:r w:rsidRPr="001F39DD">
              <w:rPr>
                <w:rFonts w:asciiTheme="majorBidi" w:eastAsia="Arial" w:hAnsiTheme="majorBidi" w:cstheme="majorBidi"/>
                <w:sz w:val="22"/>
                <w:szCs w:val="22"/>
              </w:rPr>
              <w:t>XGBoost</w:t>
            </w:r>
            <w:proofErr w:type="spellEnd"/>
            <w:r w:rsidRPr="001F39DD">
              <w:rPr>
                <w:rFonts w:asciiTheme="majorBidi" w:eastAsia="Arial" w:hAnsiTheme="majorBidi" w:cstheme="majorBidi"/>
                <w:sz w:val="22"/>
                <w:szCs w:val="22"/>
              </w:rPr>
              <w:t xml:space="preserve"> Regression – gradient boosted tree model providing a strong traditional ML </w:t>
            </w:r>
            <w:proofErr w:type="gramStart"/>
            <w:r w:rsidRPr="001F39DD">
              <w:rPr>
                <w:rFonts w:asciiTheme="majorBidi" w:eastAsia="Arial" w:hAnsiTheme="majorBidi" w:cstheme="majorBidi"/>
                <w:sz w:val="22"/>
                <w:szCs w:val="22"/>
              </w:rPr>
              <w:t>benchmark</w:t>
            </w:r>
            <w:proofErr w:type="gramEnd"/>
          </w:p>
          <w:p w14:paraId="5526603B" w14:textId="77777777" w:rsidR="00611808" w:rsidRPr="001F39DD" w:rsidRDefault="00611808" w:rsidP="00E72C29">
            <w:pPr>
              <w:spacing w:before="80" w:after="80"/>
              <w:jc w:val="both"/>
              <w:rPr>
                <w:rFonts w:asciiTheme="majorBidi" w:eastAsia="Arial" w:hAnsiTheme="majorBidi" w:cstheme="majorBidi"/>
              </w:rPr>
            </w:pPr>
          </w:p>
          <w:p w14:paraId="3C46A80D" w14:textId="3AFBDDA2" w:rsidR="00611808" w:rsidRPr="001F39DD" w:rsidRDefault="00437C53" w:rsidP="00E72C29">
            <w:pPr>
              <w:spacing w:before="80" w:after="80"/>
              <w:jc w:val="both"/>
              <w:rPr>
                <w:rFonts w:asciiTheme="majorBidi" w:eastAsia="Arial" w:hAnsiTheme="majorBidi" w:cstheme="majorBidi"/>
              </w:rPr>
            </w:pPr>
            <w:r w:rsidRPr="001F39DD">
              <w:rPr>
                <w:rFonts w:asciiTheme="majorBidi" w:hAnsiTheme="majorBidi" w:cstheme="majorBidi"/>
              </w:rPr>
              <w:t xml:space="preserve">All models will be evaluated using a time series aware train-test split, ensuring that future observations are never included in the training data and that forecasting performance reflects realistic deployment </w:t>
            </w:r>
            <w:proofErr w:type="gramStart"/>
            <w:r w:rsidRPr="001F39DD">
              <w:rPr>
                <w:rFonts w:asciiTheme="majorBidi" w:hAnsiTheme="majorBidi" w:cstheme="majorBidi"/>
              </w:rPr>
              <w:t>conditions.</w:t>
            </w:r>
            <w:r w:rsidR="00611808" w:rsidRPr="001F39DD">
              <w:rPr>
                <w:rFonts w:asciiTheme="majorBidi" w:eastAsia="Arial" w:hAnsiTheme="majorBidi" w:cstheme="majorBidi"/>
              </w:rPr>
              <w:t>.</w:t>
            </w:r>
            <w:proofErr w:type="gramEnd"/>
          </w:p>
          <w:p w14:paraId="7DA9D4C8" w14:textId="77777777" w:rsidR="00611808" w:rsidRPr="001F39DD" w:rsidRDefault="00611808" w:rsidP="00E72C29">
            <w:pPr>
              <w:spacing w:before="80" w:after="80"/>
              <w:jc w:val="both"/>
              <w:rPr>
                <w:rFonts w:asciiTheme="majorBidi" w:eastAsia="Arial" w:hAnsiTheme="majorBidi" w:cstheme="majorBidi"/>
              </w:rPr>
            </w:pPr>
          </w:p>
          <w:p w14:paraId="77550998"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Phase 5 – Model Evaluation</w:t>
            </w:r>
          </w:p>
          <w:p w14:paraId="145DFFB0"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Model performance will be evaluated using four standard regression metrics: Root Mean Square Error (RMSE), Mean Absolute Error (MAE), Mean Absolute Percentage Error (MAPE), and R-squared (R²) score. These metrics collectively capture error magnitude, percentage accuracy, and explained variance, providing a comprehensive performance profile for each model. Cross-validation will be applied where applicable to assess generalisation beyond a single train-test split.</w:t>
            </w:r>
          </w:p>
          <w:p w14:paraId="7526B2F7" w14:textId="77777777" w:rsidR="00611808" w:rsidRPr="001F39DD" w:rsidRDefault="00611808" w:rsidP="00E72C29">
            <w:pPr>
              <w:spacing w:before="80" w:after="80"/>
              <w:jc w:val="both"/>
              <w:rPr>
                <w:rFonts w:asciiTheme="majorBidi" w:eastAsia="Arial" w:hAnsiTheme="majorBidi" w:cstheme="majorBidi"/>
              </w:rPr>
            </w:pPr>
          </w:p>
          <w:p w14:paraId="68AC9820" w14:textId="77777777" w:rsidR="00611808" w:rsidRPr="001F39DD" w:rsidRDefault="00611808" w:rsidP="00E72C29">
            <w:pPr>
              <w:pStyle w:val="Heading2"/>
              <w:spacing w:before="80" w:after="80"/>
              <w:jc w:val="both"/>
              <w:rPr>
                <w:rFonts w:asciiTheme="majorBidi" w:eastAsia="Arial" w:hAnsiTheme="majorBidi"/>
                <w:b w:val="0"/>
                <w:color w:val="auto"/>
                <w:sz w:val="22"/>
                <w:szCs w:val="22"/>
              </w:rPr>
            </w:pPr>
            <w:r w:rsidRPr="001F39DD">
              <w:rPr>
                <w:rFonts w:asciiTheme="majorBidi" w:eastAsia="Arial" w:hAnsiTheme="majorBidi"/>
                <w:b w:val="0"/>
                <w:color w:val="auto"/>
                <w:sz w:val="22"/>
                <w:szCs w:val="22"/>
              </w:rPr>
              <w:t>Phase 6 – Visualisation Dashboard</w:t>
            </w:r>
          </w:p>
          <w:p w14:paraId="40550121" w14:textId="77777777" w:rsidR="00611808" w:rsidRPr="001F39DD" w:rsidRDefault="00611808" w:rsidP="00E72C29">
            <w:pPr>
              <w:spacing w:before="80" w:after="80"/>
              <w:jc w:val="both"/>
              <w:rPr>
                <w:rFonts w:asciiTheme="majorBidi" w:eastAsia="Arial" w:hAnsiTheme="majorBidi" w:cstheme="majorBidi"/>
              </w:rPr>
            </w:pPr>
            <w:r w:rsidRPr="001F39DD">
              <w:rPr>
                <w:rFonts w:asciiTheme="majorBidi" w:eastAsia="Arial" w:hAnsiTheme="majorBidi" w:cstheme="majorBidi"/>
              </w:rPr>
              <w:t xml:space="preserve">A </w:t>
            </w:r>
            <w:proofErr w:type="spellStart"/>
            <w:r w:rsidRPr="001F39DD">
              <w:rPr>
                <w:rFonts w:asciiTheme="majorBidi" w:eastAsia="Arial" w:hAnsiTheme="majorBidi" w:cstheme="majorBidi"/>
              </w:rPr>
              <w:t>Streamlit</w:t>
            </w:r>
            <w:proofErr w:type="spellEnd"/>
            <w:r w:rsidRPr="001F39DD">
              <w:rPr>
                <w:rFonts w:asciiTheme="majorBidi" w:eastAsia="Arial" w:hAnsiTheme="majorBidi" w:cstheme="majorBidi"/>
              </w:rPr>
              <w:t xml:space="preserve">-based interactive dashboard will be developed in Python, using Matplotlib and </w:t>
            </w:r>
            <w:proofErr w:type="spellStart"/>
            <w:r w:rsidRPr="001F39DD">
              <w:rPr>
                <w:rFonts w:asciiTheme="majorBidi" w:eastAsia="Arial" w:hAnsiTheme="majorBidi" w:cstheme="majorBidi"/>
              </w:rPr>
              <w:t>Plotly</w:t>
            </w:r>
            <w:proofErr w:type="spellEnd"/>
            <w:r w:rsidRPr="001F39DD">
              <w:rPr>
                <w:rFonts w:asciiTheme="majorBidi" w:eastAsia="Arial" w:hAnsiTheme="majorBidi" w:cstheme="majorBidi"/>
              </w:rPr>
              <w:t xml:space="preserve"> for visualisation. The dashboard will allow users to explore historical energy consumption patterns, view forecasting outputs across all models, and compare model performance metrics through interactive charts. This addresses the identified gap in user-accessible, decision-ready forecasting tools and provides a practical demonstration of the framework's real-world applicability.</w:t>
            </w:r>
          </w:p>
          <w:p w14:paraId="63A6F533" w14:textId="0F469247" w:rsidR="000C56C3" w:rsidRPr="001F39DD" w:rsidRDefault="000C56C3" w:rsidP="00E72C29">
            <w:pPr>
              <w:widowControl w:val="0"/>
              <w:autoSpaceDE w:val="0"/>
              <w:autoSpaceDN w:val="0"/>
              <w:adjustRightInd w:val="0"/>
              <w:spacing w:before="80" w:after="80"/>
              <w:ind w:left="100" w:right="57"/>
              <w:jc w:val="both"/>
              <w:rPr>
                <w:rFonts w:asciiTheme="majorBidi" w:eastAsia="Arial" w:hAnsiTheme="majorBidi" w:cstheme="majorBidi"/>
              </w:rPr>
            </w:pPr>
          </w:p>
        </w:tc>
      </w:tr>
    </w:tbl>
    <w:p w14:paraId="4CAA579B"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31B438BC" w14:textId="77777777" w:rsidTr="00BE275B">
        <w:tc>
          <w:tcPr>
            <w:tcW w:w="9016" w:type="dxa"/>
            <w:shd w:val="clear" w:color="auto" w:fill="222A35" w:themeFill="text2" w:themeFillShade="80"/>
          </w:tcPr>
          <w:p w14:paraId="3DEFC062" w14:textId="39CA4B74"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Legal/ Social/ Ethical Issues (200 words)</w:t>
            </w:r>
          </w:p>
        </w:tc>
      </w:tr>
      <w:tr w:rsidR="000C56C3" w:rsidRPr="001F39DD" w14:paraId="7F3F50B1" w14:textId="77777777" w:rsidTr="00BE275B">
        <w:tc>
          <w:tcPr>
            <w:tcW w:w="9016" w:type="dxa"/>
          </w:tcPr>
          <w:p w14:paraId="69F1428F" w14:textId="77777777" w:rsidR="000C56C3" w:rsidRPr="001F39DD" w:rsidRDefault="000C56C3" w:rsidP="000C56C3">
            <w:pPr>
              <w:spacing w:after="0" w:line="240" w:lineRule="auto"/>
              <w:rPr>
                <w:rFonts w:asciiTheme="majorBidi" w:hAnsiTheme="majorBidi" w:cstheme="majorBidi"/>
              </w:rPr>
            </w:pPr>
          </w:p>
          <w:p w14:paraId="30125B6B"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This project is conducted within the professional, legal, social, and ethical frameworks set out by the ACM Code of Ethics and the BCS Code of Conduct.</w:t>
            </w:r>
          </w:p>
          <w:p w14:paraId="4B49D3BD" w14:textId="77777777" w:rsidR="00611808" w:rsidRPr="001F39DD" w:rsidRDefault="00611808" w:rsidP="00611808">
            <w:pPr>
              <w:spacing w:before="60" w:after="60"/>
              <w:rPr>
                <w:rFonts w:asciiTheme="majorBidi" w:hAnsiTheme="majorBidi" w:cstheme="majorBidi"/>
              </w:rPr>
            </w:pPr>
          </w:p>
          <w:p w14:paraId="6A4CD884"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The project relies exclusively on publicly available, anonymised energy consumption datasets from established open-access repositories. No personal or sensitive data will be collected or processed. The datasets contain aggregated or household-level electricity readings with no identifiable information, meaning individual privacy risks are negligible. Nonetheless, responsible data handling practices will be maintained throughout, including secure local storage and appropriate attribution of data sources.</w:t>
            </w:r>
          </w:p>
          <w:p w14:paraId="211B3E82" w14:textId="77777777" w:rsidR="00611808" w:rsidRPr="001F39DD" w:rsidRDefault="00611808" w:rsidP="00611808">
            <w:pPr>
              <w:spacing w:before="60" w:after="60"/>
              <w:rPr>
                <w:rFonts w:asciiTheme="majorBidi" w:hAnsiTheme="majorBidi" w:cstheme="majorBidi"/>
              </w:rPr>
            </w:pPr>
          </w:p>
          <w:p w14:paraId="2D39D30D"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 xml:space="preserve">Since no primary human subjects are involved in the data collection phase, formal ethical approval may not be required. However, if the </w:t>
            </w:r>
            <w:proofErr w:type="spellStart"/>
            <w:r w:rsidRPr="001F39DD">
              <w:rPr>
                <w:rFonts w:asciiTheme="majorBidi" w:eastAsia="Arial" w:hAnsiTheme="majorBidi" w:cstheme="majorBidi"/>
              </w:rPr>
              <w:t>Streamlit</w:t>
            </w:r>
            <w:proofErr w:type="spellEnd"/>
            <w:r w:rsidRPr="001F39DD">
              <w:rPr>
                <w:rFonts w:asciiTheme="majorBidi" w:eastAsia="Arial" w:hAnsiTheme="majorBidi" w:cstheme="majorBidi"/>
              </w:rPr>
              <w:t xml:space="preserve"> dashboard is evaluated by user participants — for example, fellow students or energy domain stakeholders — this will be discussed with the project supervisor in advance, and ethical approval will be sought through the University's online system where applicable. A streamlined approval process would be appropriate given the use of non-vulnerable adult participants and questionnaire or usability-based evaluation methods only.</w:t>
            </w:r>
          </w:p>
          <w:p w14:paraId="1E625AB0" w14:textId="77777777" w:rsidR="00611808" w:rsidRPr="001F39DD" w:rsidRDefault="00611808" w:rsidP="00611808">
            <w:pPr>
              <w:spacing w:before="60" w:after="60"/>
              <w:rPr>
                <w:rFonts w:asciiTheme="majorBidi" w:hAnsiTheme="majorBidi" w:cstheme="majorBidi"/>
              </w:rPr>
            </w:pPr>
          </w:p>
          <w:p w14:paraId="3E3DD7EC"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 xml:space="preserve">From a social perspective, the project promotes positive outcomes by contributing to more efficient energy systems, which have direct environmental and sustainability benefits. The forecasting framework is intended strictly as an analytical and decision support tool and will not be presented as a replacement for expert engineering judgment. GDPR compliance will be maintained throughout, and all software dependencies and datasets will be used in accordance with their respective licences. The project will also ensure reproducibility by documenting all data sources, </w:t>
            </w:r>
            <w:proofErr w:type="spellStart"/>
            <w:r w:rsidRPr="001F39DD">
              <w:rPr>
                <w:rFonts w:asciiTheme="majorBidi" w:eastAsia="Arial" w:hAnsiTheme="majorBidi" w:cstheme="majorBidi"/>
              </w:rPr>
              <w:t>preprocessing</w:t>
            </w:r>
            <w:proofErr w:type="spellEnd"/>
            <w:r w:rsidRPr="001F39DD">
              <w:rPr>
                <w:rFonts w:asciiTheme="majorBidi" w:eastAsia="Arial" w:hAnsiTheme="majorBidi" w:cstheme="majorBidi"/>
              </w:rPr>
              <w:t xml:space="preserve"> steps, and model configurations clearly in the dissertation.</w:t>
            </w:r>
          </w:p>
          <w:p w14:paraId="7EBBA1E9" w14:textId="4588E6FD" w:rsidR="000C56C3" w:rsidRPr="001F39DD" w:rsidRDefault="000C56C3" w:rsidP="00AC700F">
            <w:pPr>
              <w:widowControl w:val="0"/>
              <w:autoSpaceDE w:val="0"/>
              <w:autoSpaceDN w:val="0"/>
              <w:adjustRightInd w:val="0"/>
              <w:ind w:left="100" w:right="57"/>
              <w:jc w:val="both"/>
              <w:rPr>
                <w:rFonts w:asciiTheme="majorBidi" w:hAnsiTheme="majorBidi" w:cstheme="majorBidi"/>
                <w:color w:val="000000"/>
                <w:spacing w:val="-2"/>
              </w:rPr>
            </w:pPr>
          </w:p>
        </w:tc>
      </w:tr>
    </w:tbl>
    <w:p w14:paraId="3B07899E"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00D9AFD7" w14:textId="77777777" w:rsidTr="00BE275B">
        <w:tc>
          <w:tcPr>
            <w:tcW w:w="9016" w:type="dxa"/>
            <w:shd w:val="clear" w:color="auto" w:fill="222A35" w:themeFill="text2" w:themeFillShade="80"/>
          </w:tcPr>
          <w:p w14:paraId="2B373ADB" w14:textId="1B50EE74"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Project &amp; Risk Management (300 words)</w:t>
            </w:r>
          </w:p>
        </w:tc>
      </w:tr>
      <w:tr w:rsidR="000C56C3" w:rsidRPr="001F39DD" w14:paraId="4BE77A46" w14:textId="77777777" w:rsidTr="00BE275B">
        <w:tc>
          <w:tcPr>
            <w:tcW w:w="9016" w:type="dxa"/>
          </w:tcPr>
          <w:p w14:paraId="3A3B7B23" w14:textId="77777777" w:rsidR="000C56C3" w:rsidRPr="001F39DD" w:rsidRDefault="000C56C3" w:rsidP="00060168">
            <w:pPr>
              <w:spacing w:after="0"/>
              <w:rPr>
                <w:rFonts w:asciiTheme="majorBidi" w:hAnsiTheme="majorBidi" w:cstheme="majorBidi"/>
                <w:color w:val="D0CECE" w:themeColor="background2" w:themeShade="E6"/>
              </w:rPr>
            </w:pPr>
          </w:p>
          <w:p w14:paraId="5E8689E4"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All identified project risks are categorised below across the three University-required risk types.</w:t>
            </w:r>
          </w:p>
          <w:p w14:paraId="6A64D940" w14:textId="77777777" w:rsidR="00611808" w:rsidRPr="001F39DD" w:rsidRDefault="00611808" w:rsidP="00611808">
            <w:pPr>
              <w:spacing w:before="60" w:after="60"/>
              <w:rPr>
                <w:rFonts w:asciiTheme="majorBidi" w:hAnsiTheme="majorBidi" w:cstheme="majorBidi"/>
              </w:rPr>
            </w:pPr>
          </w:p>
          <w:p w14:paraId="39EF5BE5" w14:textId="505C83A7" w:rsidR="00611808" w:rsidRPr="001F39DD" w:rsidRDefault="00611808" w:rsidP="00611808">
            <w:pPr>
              <w:pStyle w:val="Heading2"/>
              <w:rPr>
                <w:rFonts w:asciiTheme="majorBidi" w:hAnsiTheme="majorBidi"/>
                <w:sz w:val="22"/>
                <w:szCs w:val="22"/>
              </w:rPr>
            </w:pPr>
            <w:r w:rsidRPr="001F39DD">
              <w:rPr>
                <w:rFonts w:asciiTheme="majorBidi" w:eastAsia="Arial" w:hAnsiTheme="majorBidi"/>
                <w:bCs/>
                <w:sz w:val="22"/>
                <w:szCs w:val="22"/>
              </w:rPr>
              <w:t>Health and Safety Risks</w:t>
            </w:r>
          </w:p>
          <w:p w14:paraId="2EA52C65"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 xml:space="preserve">This project is a software and data-driven computing project with no physical experiments, electrical equipment, or hazardous materials involved. Health and safety risks are limited to standard computing risks including eye strain and repetitive strain injury (RSI) from prolonged screen use. A Health and Safety Form will be completed as required. Mitigation includes regular screen breaks, ergonomic workspace configuration, and compliance with </w:t>
            </w:r>
            <w:proofErr w:type="gramStart"/>
            <w:r w:rsidRPr="001F39DD">
              <w:rPr>
                <w:rFonts w:asciiTheme="majorBidi" w:eastAsia="Arial" w:hAnsiTheme="majorBidi" w:cstheme="majorBidi"/>
              </w:rPr>
              <w:t>University</w:t>
            </w:r>
            <w:proofErr w:type="gramEnd"/>
            <w:r w:rsidRPr="001F39DD">
              <w:rPr>
                <w:rFonts w:asciiTheme="majorBidi" w:eastAsia="Arial" w:hAnsiTheme="majorBidi" w:cstheme="majorBidi"/>
              </w:rPr>
              <w:t xml:space="preserve"> computing health and safety guidelines.</w:t>
            </w:r>
          </w:p>
          <w:p w14:paraId="11A4EE1E" w14:textId="77777777" w:rsidR="00611808" w:rsidRPr="001F39DD" w:rsidRDefault="00611808" w:rsidP="00611808">
            <w:pPr>
              <w:spacing w:before="60" w:after="60"/>
              <w:rPr>
                <w:rFonts w:asciiTheme="majorBidi" w:hAnsiTheme="majorBidi" w:cstheme="majorBidi"/>
              </w:rPr>
            </w:pPr>
          </w:p>
          <w:p w14:paraId="7F4FBD0D" w14:textId="16F6A1C3" w:rsidR="00611808" w:rsidRPr="001F39DD" w:rsidRDefault="00611808" w:rsidP="00611808">
            <w:pPr>
              <w:pStyle w:val="Heading2"/>
              <w:rPr>
                <w:rFonts w:asciiTheme="majorBidi" w:hAnsiTheme="majorBidi"/>
                <w:sz w:val="22"/>
                <w:szCs w:val="22"/>
              </w:rPr>
            </w:pPr>
            <w:r w:rsidRPr="001F39DD">
              <w:rPr>
                <w:rFonts w:asciiTheme="majorBidi" w:eastAsia="Arial" w:hAnsiTheme="majorBidi"/>
                <w:bCs/>
                <w:sz w:val="22"/>
                <w:szCs w:val="22"/>
              </w:rPr>
              <w:lastRenderedPageBreak/>
              <w:t xml:space="preserve"> Management Risks</w:t>
            </w:r>
          </w:p>
          <w:p w14:paraId="311498DB"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 xml:space="preserve">The primary management risk is the potential failure to complete all project phases — data acquisition, </w:t>
            </w:r>
            <w:proofErr w:type="spellStart"/>
            <w:r w:rsidRPr="001F39DD">
              <w:rPr>
                <w:rFonts w:asciiTheme="majorBidi" w:eastAsia="Arial" w:hAnsiTheme="majorBidi" w:cstheme="majorBidi"/>
              </w:rPr>
              <w:t>preprocessing</w:t>
            </w:r>
            <w:proofErr w:type="spellEnd"/>
            <w:r w:rsidRPr="001F39DD">
              <w:rPr>
                <w:rFonts w:asciiTheme="majorBidi" w:eastAsia="Arial" w:hAnsiTheme="majorBidi" w:cstheme="majorBidi"/>
              </w:rPr>
              <w:t>, EDA, model development, evaluation, dashboard development, and dissertation writing — within the available timeframe. The multi-phase nature of this project means that delays in early phases can cascade into later ones.</w:t>
            </w:r>
          </w:p>
          <w:p w14:paraId="7E38CA12" w14:textId="77777777" w:rsidR="00611808" w:rsidRPr="001F39DD" w:rsidRDefault="00611808" w:rsidP="00611808">
            <w:pPr>
              <w:spacing w:before="60" w:after="60"/>
              <w:rPr>
                <w:rFonts w:asciiTheme="majorBidi" w:hAnsiTheme="majorBidi" w:cstheme="majorBidi"/>
              </w:rPr>
            </w:pPr>
          </w:p>
          <w:p w14:paraId="63ACFD70" w14:textId="77777777" w:rsidR="00611808" w:rsidRPr="001F39DD" w:rsidRDefault="00611808" w:rsidP="00611808">
            <w:pPr>
              <w:spacing w:before="80" w:after="80"/>
              <w:jc w:val="both"/>
              <w:rPr>
                <w:rFonts w:asciiTheme="majorBidi" w:hAnsiTheme="majorBidi" w:cstheme="majorBidi"/>
              </w:rPr>
            </w:pPr>
            <w:r w:rsidRPr="001F39DD">
              <w:rPr>
                <w:rFonts w:asciiTheme="majorBidi" w:eastAsia="Arial" w:hAnsiTheme="majorBidi" w:cstheme="majorBidi"/>
              </w:rPr>
              <w:t>Mitigation strategies include:</w:t>
            </w:r>
          </w:p>
          <w:p w14:paraId="7E8396EA" w14:textId="77777777" w:rsidR="00611808" w:rsidRPr="001F39DD" w:rsidRDefault="00611808" w:rsidP="00611808">
            <w:pPr>
              <w:pStyle w:val="ListParagraph"/>
              <w:numPr>
                <w:ilvl w:val="0"/>
                <w:numId w:val="4"/>
              </w:numPr>
              <w:spacing w:before="40" w:after="40"/>
              <w:contextualSpacing w:val="0"/>
              <w:rPr>
                <w:rFonts w:asciiTheme="majorBidi" w:hAnsiTheme="majorBidi" w:cstheme="majorBidi"/>
                <w:sz w:val="22"/>
                <w:szCs w:val="22"/>
              </w:rPr>
            </w:pPr>
            <w:r w:rsidRPr="001F39DD">
              <w:rPr>
                <w:rFonts w:asciiTheme="majorBidi" w:eastAsia="Arial" w:hAnsiTheme="majorBidi" w:cstheme="majorBidi"/>
                <w:sz w:val="22"/>
                <w:szCs w:val="22"/>
              </w:rPr>
              <w:t xml:space="preserve">Maintaining a detailed Gantt-style project plan with clearly defined milestones aligned to submission </w:t>
            </w:r>
            <w:proofErr w:type="gramStart"/>
            <w:r w:rsidRPr="001F39DD">
              <w:rPr>
                <w:rFonts w:asciiTheme="majorBidi" w:eastAsia="Arial" w:hAnsiTheme="majorBidi" w:cstheme="majorBidi"/>
                <w:sz w:val="22"/>
                <w:szCs w:val="22"/>
              </w:rPr>
              <w:t>deadlines</w:t>
            </w:r>
            <w:proofErr w:type="gramEnd"/>
          </w:p>
          <w:p w14:paraId="1941780F" w14:textId="77777777" w:rsidR="00611808" w:rsidRPr="001F39DD" w:rsidRDefault="00611808" w:rsidP="00611808">
            <w:pPr>
              <w:pStyle w:val="ListParagraph"/>
              <w:numPr>
                <w:ilvl w:val="0"/>
                <w:numId w:val="4"/>
              </w:numPr>
              <w:spacing w:before="40" w:after="40"/>
              <w:contextualSpacing w:val="0"/>
              <w:rPr>
                <w:rFonts w:asciiTheme="majorBidi" w:hAnsiTheme="majorBidi" w:cstheme="majorBidi"/>
                <w:sz w:val="22"/>
                <w:szCs w:val="22"/>
              </w:rPr>
            </w:pPr>
            <w:r w:rsidRPr="001F39DD">
              <w:rPr>
                <w:rFonts w:asciiTheme="majorBidi" w:eastAsia="Arial" w:hAnsiTheme="majorBidi" w:cstheme="majorBidi"/>
                <w:sz w:val="22"/>
                <w:szCs w:val="22"/>
              </w:rPr>
              <w:t>Conducting regular progress reviews with the project supervisor</w:t>
            </w:r>
          </w:p>
          <w:p w14:paraId="7FA7A43F" w14:textId="77777777" w:rsidR="00611808" w:rsidRPr="001F39DD" w:rsidRDefault="00611808" w:rsidP="00611808">
            <w:pPr>
              <w:pStyle w:val="ListParagraph"/>
              <w:numPr>
                <w:ilvl w:val="0"/>
                <w:numId w:val="4"/>
              </w:numPr>
              <w:spacing w:before="40" w:after="40"/>
              <w:contextualSpacing w:val="0"/>
              <w:rPr>
                <w:rFonts w:asciiTheme="majorBidi" w:hAnsiTheme="majorBidi" w:cstheme="majorBidi"/>
                <w:sz w:val="22"/>
                <w:szCs w:val="22"/>
              </w:rPr>
            </w:pPr>
            <w:r w:rsidRPr="001F39DD">
              <w:rPr>
                <w:rFonts w:asciiTheme="majorBidi" w:eastAsia="Arial" w:hAnsiTheme="majorBidi" w:cstheme="majorBidi"/>
                <w:sz w:val="22"/>
                <w:szCs w:val="22"/>
              </w:rPr>
              <w:t xml:space="preserve">Treating the </w:t>
            </w:r>
            <w:proofErr w:type="spellStart"/>
            <w:r w:rsidRPr="001F39DD">
              <w:rPr>
                <w:rFonts w:asciiTheme="majorBidi" w:eastAsia="Arial" w:hAnsiTheme="majorBidi" w:cstheme="majorBidi"/>
                <w:sz w:val="22"/>
                <w:szCs w:val="22"/>
              </w:rPr>
              <w:t>Streamlit</w:t>
            </w:r>
            <w:proofErr w:type="spellEnd"/>
            <w:r w:rsidRPr="001F39DD">
              <w:rPr>
                <w:rFonts w:asciiTheme="majorBidi" w:eastAsia="Arial" w:hAnsiTheme="majorBidi" w:cstheme="majorBidi"/>
                <w:sz w:val="22"/>
                <w:szCs w:val="22"/>
              </w:rPr>
              <w:t xml:space="preserve"> dashboard as a minimum viable product (MVP) to be expanded only if time </w:t>
            </w:r>
            <w:proofErr w:type="gramStart"/>
            <w:r w:rsidRPr="001F39DD">
              <w:rPr>
                <w:rFonts w:asciiTheme="majorBidi" w:eastAsia="Arial" w:hAnsiTheme="majorBidi" w:cstheme="majorBidi"/>
                <w:sz w:val="22"/>
                <w:szCs w:val="22"/>
              </w:rPr>
              <w:t>permits</w:t>
            </w:r>
            <w:proofErr w:type="gramEnd"/>
          </w:p>
          <w:p w14:paraId="5D550C0E" w14:textId="77777777" w:rsidR="00611808" w:rsidRPr="001F39DD" w:rsidRDefault="00611808" w:rsidP="00611808">
            <w:pPr>
              <w:pStyle w:val="ListParagraph"/>
              <w:numPr>
                <w:ilvl w:val="0"/>
                <w:numId w:val="4"/>
              </w:numPr>
              <w:spacing w:before="40" w:after="40"/>
              <w:contextualSpacing w:val="0"/>
              <w:rPr>
                <w:rFonts w:asciiTheme="majorBidi" w:hAnsiTheme="majorBidi" w:cstheme="majorBidi"/>
                <w:sz w:val="22"/>
                <w:szCs w:val="22"/>
              </w:rPr>
            </w:pPr>
            <w:r w:rsidRPr="001F39DD">
              <w:rPr>
                <w:rFonts w:asciiTheme="majorBidi" w:eastAsia="Arial" w:hAnsiTheme="majorBidi" w:cstheme="majorBidi"/>
                <w:sz w:val="22"/>
                <w:szCs w:val="22"/>
              </w:rPr>
              <w:t xml:space="preserve">Using GitHub version control to track progress, protect work, and enable rollback if </w:t>
            </w:r>
            <w:proofErr w:type="gramStart"/>
            <w:r w:rsidRPr="001F39DD">
              <w:rPr>
                <w:rFonts w:asciiTheme="majorBidi" w:eastAsia="Arial" w:hAnsiTheme="majorBidi" w:cstheme="majorBidi"/>
                <w:sz w:val="22"/>
                <w:szCs w:val="22"/>
              </w:rPr>
              <w:t>needed</w:t>
            </w:r>
            <w:proofErr w:type="gramEnd"/>
          </w:p>
          <w:p w14:paraId="0C353D16" w14:textId="77777777" w:rsidR="00611808" w:rsidRPr="001F39DD" w:rsidRDefault="00611808" w:rsidP="00611808">
            <w:pPr>
              <w:pStyle w:val="ListParagraph"/>
              <w:spacing w:before="40" w:after="40"/>
              <w:contextualSpacing w:val="0"/>
              <w:rPr>
                <w:rFonts w:asciiTheme="majorBidi" w:hAnsiTheme="majorBidi" w:cstheme="majorBidi"/>
                <w:sz w:val="22"/>
                <w:szCs w:val="22"/>
              </w:rPr>
            </w:pPr>
          </w:p>
          <w:p w14:paraId="22BC6901" w14:textId="06E9B284" w:rsidR="00611808" w:rsidRPr="001F39DD" w:rsidRDefault="00611808" w:rsidP="00611808">
            <w:pPr>
              <w:pStyle w:val="Heading2"/>
              <w:rPr>
                <w:rFonts w:asciiTheme="majorBidi" w:hAnsiTheme="majorBidi"/>
                <w:sz w:val="22"/>
                <w:szCs w:val="22"/>
              </w:rPr>
            </w:pPr>
            <w:r w:rsidRPr="001F39DD">
              <w:rPr>
                <w:rFonts w:asciiTheme="majorBidi" w:eastAsia="Arial" w:hAnsiTheme="majorBidi"/>
                <w:bCs/>
                <w:sz w:val="22"/>
                <w:szCs w:val="22"/>
              </w:rPr>
              <w:t>Technical Risks</w:t>
            </w:r>
          </w:p>
          <w:tbl>
            <w:tblPr>
              <w:tblStyle w:val="TableGrid"/>
              <w:tblW w:w="17580" w:type="dxa"/>
              <w:tblLook w:val="04A0" w:firstRow="1" w:lastRow="0" w:firstColumn="1" w:lastColumn="0" w:noHBand="0" w:noVBand="1"/>
            </w:tblPr>
            <w:tblGrid>
              <w:gridCol w:w="2930"/>
              <w:gridCol w:w="2930"/>
              <w:gridCol w:w="2930"/>
              <w:gridCol w:w="2930"/>
              <w:gridCol w:w="2930"/>
              <w:gridCol w:w="2930"/>
            </w:tblGrid>
            <w:tr w:rsidR="00611808" w:rsidRPr="001F39DD" w14:paraId="3EBE40CC" w14:textId="77777777" w:rsidTr="00611808">
              <w:tc>
                <w:tcPr>
                  <w:tcW w:w="2930" w:type="dxa"/>
                </w:tcPr>
                <w:p w14:paraId="5CE4F605" w14:textId="7B3222BE" w:rsidR="00611808" w:rsidRPr="001F39DD" w:rsidRDefault="00611808" w:rsidP="00611808">
                  <w:pPr>
                    <w:pStyle w:val="Heading2"/>
                    <w:rPr>
                      <w:rFonts w:asciiTheme="majorBidi" w:eastAsia="Arial" w:hAnsiTheme="majorBidi"/>
                      <w:bCs/>
                      <w:color w:val="000000" w:themeColor="text1"/>
                      <w:sz w:val="22"/>
                      <w:szCs w:val="22"/>
                    </w:rPr>
                  </w:pPr>
                  <w:r w:rsidRPr="001F39DD">
                    <w:rPr>
                      <w:rFonts w:asciiTheme="majorBidi" w:eastAsia="Arial" w:hAnsiTheme="majorBidi"/>
                      <w:bCs/>
                      <w:color w:val="000000" w:themeColor="text1"/>
                      <w:sz w:val="22"/>
                      <w:szCs w:val="22"/>
                    </w:rPr>
                    <w:t>Risk</w:t>
                  </w:r>
                </w:p>
              </w:tc>
              <w:tc>
                <w:tcPr>
                  <w:tcW w:w="2930" w:type="dxa"/>
                </w:tcPr>
                <w:p w14:paraId="56BF1145" w14:textId="4D6BDD44" w:rsidR="00611808" w:rsidRPr="001F39DD" w:rsidRDefault="00611808" w:rsidP="00611808">
                  <w:pPr>
                    <w:pStyle w:val="Heading2"/>
                    <w:rPr>
                      <w:rFonts w:asciiTheme="majorBidi" w:eastAsia="Arial" w:hAnsiTheme="majorBidi"/>
                      <w:bCs/>
                      <w:color w:val="000000" w:themeColor="text1"/>
                      <w:sz w:val="22"/>
                      <w:szCs w:val="22"/>
                    </w:rPr>
                  </w:pPr>
                  <w:r w:rsidRPr="001F39DD">
                    <w:rPr>
                      <w:rFonts w:asciiTheme="majorBidi" w:eastAsia="Arial" w:hAnsiTheme="majorBidi"/>
                      <w:bCs/>
                      <w:color w:val="000000" w:themeColor="text1"/>
                      <w:sz w:val="22"/>
                      <w:szCs w:val="22"/>
                    </w:rPr>
                    <w:t>Likelihood</w:t>
                  </w:r>
                </w:p>
              </w:tc>
              <w:tc>
                <w:tcPr>
                  <w:tcW w:w="2930" w:type="dxa"/>
                </w:tcPr>
                <w:p w14:paraId="7B067175" w14:textId="3E14587D" w:rsidR="00611808" w:rsidRPr="001F39DD" w:rsidRDefault="00611808" w:rsidP="00611808">
                  <w:pPr>
                    <w:pStyle w:val="Heading2"/>
                    <w:rPr>
                      <w:rFonts w:asciiTheme="majorBidi" w:eastAsia="Arial" w:hAnsiTheme="majorBidi"/>
                      <w:bCs/>
                      <w:color w:val="000000" w:themeColor="text1"/>
                      <w:sz w:val="22"/>
                      <w:szCs w:val="22"/>
                    </w:rPr>
                  </w:pPr>
                  <w:r w:rsidRPr="001F39DD">
                    <w:rPr>
                      <w:rFonts w:asciiTheme="majorBidi" w:eastAsia="Arial" w:hAnsiTheme="majorBidi"/>
                      <w:bCs/>
                      <w:color w:val="000000" w:themeColor="text1"/>
                      <w:sz w:val="22"/>
                      <w:szCs w:val="22"/>
                    </w:rPr>
                    <w:t>Mitigation Strategy</w:t>
                  </w:r>
                </w:p>
              </w:tc>
              <w:tc>
                <w:tcPr>
                  <w:tcW w:w="2930" w:type="dxa"/>
                </w:tcPr>
                <w:p w14:paraId="0762A949" w14:textId="0A2C3474" w:rsidR="00611808" w:rsidRPr="001F39DD" w:rsidRDefault="00611808" w:rsidP="00611808">
                  <w:pPr>
                    <w:pStyle w:val="Heading2"/>
                    <w:rPr>
                      <w:rFonts w:asciiTheme="majorBidi" w:eastAsia="Arial" w:hAnsiTheme="majorBidi"/>
                      <w:bCs/>
                      <w:sz w:val="22"/>
                      <w:szCs w:val="22"/>
                    </w:rPr>
                  </w:pPr>
                </w:p>
              </w:tc>
              <w:tc>
                <w:tcPr>
                  <w:tcW w:w="2930" w:type="dxa"/>
                </w:tcPr>
                <w:p w14:paraId="6F04F97C" w14:textId="77777777" w:rsidR="00611808" w:rsidRPr="001F39DD" w:rsidRDefault="00611808" w:rsidP="00611808">
                  <w:pPr>
                    <w:pStyle w:val="Heading2"/>
                    <w:rPr>
                      <w:rFonts w:asciiTheme="majorBidi" w:eastAsia="Arial" w:hAnsiTheme="majorBidi"/>
                      <w:bCs/>
                      <w:sz w:val="22"/>
                      <w:szCs w:val="22"/>
                    </w:rPr>
                  </w:pPr>
                </w:p>
              </w:tc>
              <w:tc>
                <w:tcPr>
                  <w:tcW w:w="2930" w:type="dxa"/>
                </w:tcPr>
                <w:p w14:paraId="2CE3EB15" w14:textId="77777777" w:rsidR="00611808" w:rsidRPr="001F39DD" w:rsidRDefault="00611808" w:rsidP="00611808">
                  <w:pPr>
                    <w:pStyle w:val="Heading2"/>
                    <w:rPr>
                      <w:rFonts w:asciiTheme="majorBidi" w:eastAsia="Arial" w:hAnsiTheme="majorBidi"/>
                      <w:bCs/>
                      <w:sz w:val="22"/>
                      <w:szCs w:val="22"/>
                    </w:rPr>
                  </w:pPr>
                </w:p>
              </w:tc>
            </w:tr>
            <w:tr w:rsidR="00611808" w:rsidRPr="001F39DD" w14:paraId="7BF4908A" w14:textId="77777777" w:rsidTr="00611808">
              <w:tc>
                <w:tcPr>
                  <w:tcW w:w="2930" w:type="dxa"/>
                </w:tcPr>
                <w:p w14:paraId="270A8592" w14:textId="2D9384A2"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Dataset unavailability or access issues</w:t>
                  </w:r>
                </w:p>
              </w:tc>
              <w:tc>
                <w:tcPr>
                  <w:tcW w:w="2930" w:type="dxa"/>
                </w:tcPr>
                <w:p w14:paraId="59B2F5EC" w14:textId="0F5410CC"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Low – all datasets are open-access</w:t>
                  </w:r>
                </w:p>
              </w:tc>
              <w:tc>
                <w:tcPr>
                  <w:tcW w:w="2930" w:type="dxa"/>
                </w:tcPr>
                <w:p w14:paraId="41914E4E" w14:textId="271522B3"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Pre-download and store all datasets locally at project start; identify alternative datasets in advance</w:t>
                  </w:r>
                </w:p>
              </w:tc>
              <w:tc>
                <w:tcPr>
                  <w:tcW w:w="2930" w:type="dxa"/>
                </w:tcPr>
                <w:p w14:paraId="23C8A67B" w14:textId="413B9D33" w:rsidR="00611808" w:rsidRPr="001F39DD" w:rsidRDefault="00611808" w:rsidP="00611808">
                  <w:pPr>
                    <w:pStyle w:val="Heading2"/>
                    <w:rPr>
                      <w:rFonts w:asciiTheme="majorBidi" w:eastAsia="Arial" w:hAnsiTheme="majorBidi"/>
                      <w:bCs/>
                      <w:sz w:val="22"/>
                      <w:szCs w:val="22"/>
                    </w:rPr>
                  </w:pPr>
                </w:p>
              </w:tc>
              <w:tc>
                <w:tcPr>
                  <w:tcW w:w="2930" w:type="dxa"/>
                </w:tcPr>
                <w:p w14:paraId="63A78463" w14:textId="77777777" w:rsidR="00611808" w:rsidRPr="001F39DD" w:rsidRDefault="00611808" w:rsidP="00611808">
                  <w:pPr>
                    <w:pStyle w:val="Heading2"/>
                    <w:rPr>
                      <w:rFonts w:asciiTheme="majorBidi" w:eastAsia="Arial" w:hAnsiTheme="majorBidi"/>
                      <w:bCs/>
                      <w:sz w:val="22"/>
                      <w:szCs w:val="22"/>
                    </w:rPr>
                  </w:pPr>
                </w:p>
              </w:tc>
              <w:tc>
                <w:tcPr>
                  <w:tcW w:w="2930" w:type="dxa"/>
                </w:tcPr>
                <w:p w14:paraId="2C8EC3A6" w14:textId="77777777" w:rsidR="00611808" w:rsidRPr="001F39DD" w:rsidRDefault="00611808" w:rsidP="00611808">
                  <w:pPr>
                    <w:pStyle w:val="Heading2"/>
                    <w:rPr>
                      <w:rFonts w:asciiTheme="majorBidi" w:eastAsia="Arial" w:hAnsiTheme="majorBidi"/>
                      <w:bCs/>
                      <w:sz w:val="22"/>
                      <w:szCs w:val="22"/>
                    </w:rPr>
                  </w:pPr>
                </w:p>
              </w:tc>
            </w:tr>
            <w:tr w:rsidR="00611808" w:rsidRPr="001F39DD" w14:paraId="3380D5D3" w14:textId="77777777" w:rsidTr="00611808">
              <w:tc>
                <w:tcPr>
                  <w:tcW w:w="2930" w:type="dxa"/>
                </w:tcPr>
                <w:p w14:paraId="080F7396" w14:textId="70E0F688"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Deep learning model overfitting or poor generalisation</w:t>
                  </w:r>
                </w:p>
              </w:tc>
              <w:tc>
                <w:tcPr>
                  <w:tcW w:w="2930" w:type="dxa"/>
                </w:tcPr>
                <w:p w14:paraId="53D20959" w14:textId="015EA084"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Medium</w:t>
                  </w:r>
                </w:p>
              </w:tc>
              <w:tc>
                <w:tcPr>
                  <w:tcW w:w="2930" w:type="dxa"/>
                </w:tcPr>
                <w:p w14:paraId="3BBD7C97" w14:textId="2640AB04"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Apply dropout regularisation, early stopping, and k-fold cross-validation; monitor validation loss during training</w:t>
                  </w:r>
                </w:p>
              </w:tc>
              <w:tc>
                <w:tcPr>
                  <w:tcW w:w="2930" w:type="dxa"/>
                </w:tcPr>
                <w:p w14:paraId="705A0B25" w14:textId="7E75CB91" w:rsidR="00611808" w:rsidRPr="001F39DD" w:rsidRDefault="00611808" w:rsidP="00611808">
                  <w:pPr>
                    <w:pStyle w:val="Heading2"/>
                    <w:rPr>
                      <w:rFonts w:asciiTheme="majorBidi" w:eastAsia="Arial" w:hAnsiTheme="majorBidi"/>
                      <w:bCs/>
                      <w:sz w:val="22"/>
                      <w:szCs w:val="22"/>
                    </w:rPr>
                  </w:pPr>
                </w:p>
              </w:tc>
              <w:tc>
                <w:tcPr>
                  <w:tcW w:w="2930" w:type="dxa"/>
                </w:tcPr>
                <w:p w14:paraId="496A84CD" w14:textId="77777777" w:rsidR="00611808" w:rsidRPr="001F39DD" w:rsidRDefault="00611808" w:rsidP="00611808">
                  <w:pPr>
                    <w:pStyle w:val="Heading2"/>
                    <w:rPr>
                      <w:rFonts w:asciiTheme="majorBidi" w:eastAsia="Arial" w:hAnsiTheme="majorBidi"/>
                      <w:bCs/>
                      <w:sz w:val="22"/>
                      <w:szCs w:val="22"/>
                    </w:rPr>
                  </w:pPr>
                </w:p>
              </w:tc>
              <w:tc>
                <w:tcPr>
                  <w:tcW w:w="2930" w:type="dxa"/>
                </w:tcPr>
                <w:p w14:paraId="167577C7" w14:textId="77777777" w:rsidR="00611808" w:rsidRPr="001F39DD" w:rsidRDefault="00611808" w:rsidP="00611808">
                  <w:pPr>
                    <w:pStyle w:val="Heading2"/>
                    <w:rPr>
                      <w:rFonts w:asciiTheme="majorBidi" w:eastAsia="Arial" w:hAnsiTheme="majorBidi"/>
                      <w:bCs/>
                      <w:sz w:val="22"/>
                      <w:szCs w:val="22"/>
                    </w:rPr>
                  </w:pPr>
                </w:p>
              </w:tc>
            </w:tr>
            <w:tr w:rsidR="00611808" w:rsidRPr="001F39DD" w14:paraId="33AD5938" w14:textId="77777777" w:rsidTr="00611808">
              <w:tc>
                <w:tcPr>
                  <w:tcW w:w="2930" w:type="dxa"/>
                </w:tcPr>
                <w:p w14:paraId="0A25FB9A" w14:textId="19ED81BD"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High GPU/compute requirements for deep learning training</w:t>
                  </w:r>
                </w:p>
              </w:tc>
              <w:tc>
                <w:tcPr>
                  <w:tcW w:w="2930" w:type="dxa"/>
                </w:tcPr>
                <w:p w14:paraId="6E31E988" w14:textId="4796E100"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Medium</w:t>
                  </w:r>
                </w:p>
              </w:tc>
              <w:tc>
                <w:tcPr>
                  <w:tcW w:w="2930" w:type="dxa"/>
                </w:tcPr>
                <w:p w14:paraId="0BD8F527" w14:textId="02429B14"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 xml:space="preserve">Use Google </w:t>
                  </w:r>
                  <w:proofErr w:type="spellStart"/>
                  <w:r w:rsidRPr="001F39DD">
                    <w:rPr>
                      <w:rFonts w:asciiTheme="majorBidi" w:eastAsia="Arial" w:hAnsiTheme="majorBidi"/>
                      <w:sz w:val="22"/>
                      <w:szCs w:val="22"/>
                    </w:rPr>
                    <w:t>Colab</w:t>
                  </w:r>
                  <w:proofErr w:type="spellEnd"/>
                  <w:r w:rsidRPr="001F39DD">
                    <w:rPr>
                      <w:rFonts w:asciiTheme="majorBidi" w:eastAsia="Arial" w:hAnsiTheme="majorBidi"/>
                      <w:sz w:val="22"/>
                      <w:szCs w:val="22"/>
                    </w:rPr>
                    <w:t xml:space="preserve"> or Kaggle GPU notebooks as free cloud compute options; start with smaller dataset subsets</w:t>
                  </w:r>
                </w:p>
              </w:tc>
              <w:tc>
                <w:tcPr>
                  <w:tcW w:w="2930" w:type="dxa"/>
                </w:tcPr>
                <w:p w14:paraId="7097D2E5" w14:textId="6F617DDA" w:rsidR="00611808" w:rsidRPr="001F39DD" w:rsidRDefault="00611808" w:rsidP="00611808">
                  <w:pPr>
                    <w:pStyle w:val="Heading2"/>
                    <w:rPr>
                      <w:rFonts w:asciiTheme="majorBidi" w:eastAsia="Arial" w:hAnsiTheme="majorBidi"/>
                      <w:bCs/>
                      <w:sz w:val="22"/>
                      <w:szCs w:val="22"/>
                    </w:rPr>
                  </w:pPr>
                </w:p>
              </w:tc>
              <w:tc>
                <w:tcPr>
                  <w:tcW w:w="2930" w:type="dxa"/>
                </w:tcPr>
                <w:p w14:paraId="0B8293D4" w14:textId="77777777" w:rsidR="00611808" w:rsidRPr="001F39DD" w:rsidRDefault="00611808" w:rsidP="00611808">
                  <w:pPr>
                    <w:pStyle w:val="Heading2"/>
                    <w:rPr>
                      <w:rFonts w:asciiTheme="majorBidi" w:eastAsia="Arial" w:hAnsiTheme="majorBidi"/>
                      <w:bCs/>
                      <w:sz w:val="22"/>
                      <w:szCs w:val="22"/>
                    </w:rPr>
                  </w:pPr>
                </w:p>
              </w:tc>
              <w:tc>
                <w:tcPr>
                  <w:tcW w:w="2930" w:type="dxa"/>
                </w:tcPr>
                <w:p w14:paraId="2B6DF06D" w14:textId="77777777" w:rsidR="00611808" w:rsidRPr="001F39DD" w:rsidRDefault="00611808" w:rsidP="00611808">
                  <w:pPr>
                    <w:pStyle w:val="Heading2"/>
                    <w:rPr>
                      <w:rFonts w:asciiTheme="majorBidi" w:eastAsia="Arial" w:hAnsiTheme="majorBidi"/>
                      <w:bCs/>
                      <w:sz w:val="22"/>
                      <w:szCs w:val="22"/>
                    </w:rPr>
                  </w:pPr>
                </w:p>
              </w:tc>
            </w:tr>
            <w:tr w:rsidR="00611808" w:rsidRPr="001F39DD" w14:paraId="121F7583" w14:textId="77777777" w:rsidTr="00611808">
              <w:tc>
                <w:tcPr>
                  <w:tcW w:w="2930" w:type="dxa"/>
                </w:tcPr>
                <w:p w14:paraId="796988D5" w14:textId="5043F082"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 xml:space="preserve">Library or framework version conflicts (TensorFlow, </w:t>
                  </w:r>
                  <w:proofErr w:type="spellStart"/>
                  <w:r w:rsidRPr="001F39DD">
                    <w:rPr>
                      <w:rFonts w:asciiTheme="majorBidi" w:eastAsia="Arial" w:hAnsiTheme="majorBidi"/>
                      <w:sz w:val="22"/>
                      <w:szCs w:val="22"/>
                    </w:rPr>
                    <w:t>Keras</w:t>
                  </w:r>
                  <w:proofErr w:type="spellEnd"/>
                  <w:r w:rsidRPr="001F39DD">
                    <w:rPr>
                      <w:rFonts w:asciiTheme="majorBidi" w:eastAsia="Arial" w:hAnsiTheme="majorBidi"/>
                      <w:sz w:val="22"/>
                      <w:szCs w:val="22"/>
                    </w:rPr>
                    <w:t>, etc.)</w:t>
                  </w:r>
                </w:p>
              </w:tc>
              <w:tc>
                <w:tcPr>
                  <w:tcW w:w="2930" w:type="dxa"/>
                </w:tcPr>
                <w:p w14:paraId="60B33D67" w14:textId="596E8571"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Low–Medium</w:t>
                  </w:r>
                </w:p>
              </w:tc>
              <w:tc>
                <w:tcPr>
                  <w:tcW w:w="2930" w:type="dxa"/>
                </w:tcPr>
                <w:p w14:paraId="57477328" w14:textId="00022535" w:rsidR="00611808" w:rsidRPr="001F39DD" w:rsidRDefault="00611808" w:rsidP="00611808">
                  <w:pPr>
                    <w:pStyle w:val="Heading2"/>
                    <w:rPr>
                      <w:rFonts w:asciiTheme="majorBidi" w:eastAsia="Arial" w:hAnsiTheme="majorBidi"/>
                      <w:bCs/>
                      <w:sz w:val="22"/>
                      <w:szCs w:val="22"/>
                    </w:rPr>
                  </w:pPr>
                  <w:r w:rsidRPr="001F39DD">
                    <w:rPr>
                      <w:rFonts w:asciiTheme="majorBidi" w:eastAsia="Arial" w:hAnsiTheme="majorBidi"/>
                      <w:sz w:val="22"/>
                      <w:szCs w:val="22"/>
                    </w:rPr>
                    <w:t xml:space="preserve">Use a dedicated </w:t>
                  </w:r>
                  <w:proofErr w:type="spellStart"/>
                  <w:r w:rsidRPr="001F39DD">
                    <w:rPr>
                      <w:rFonts w:asciiTheme="majorBidi" w:eastAsia="Arial" w:hAnsiTheme="majorBidi"/>
                      <w:sz w:val="22"/>
                      <w:szCs w:val="22"/>
                    </w:rPr>
                    <w:t>conda</w:t>
                  </w:r>
                  <w:proofErr w:type="spellEnd"/>
                  <w:r w:rsidRPr="001F39DD">
                    <w:rPr>
                      <w:rFonts w:asciiTheme="majorBidi" w:eastAsia="Arial" w:hAnsiTheme="majorBidi"/>
                      <w:sz w:val="22"/>
                      <w:szCs w:val="22"/>
                    </w:rPr>
                    <w:t xml:space="preserve"> virtual environment with pinned dependency versions; document full requirements.txt</w:t>
                  </w:r>
                </w:p>
              </w:tc>
              <w:tc>
                <w:tcPr>
                  <w:tcW w:w="2930" w:type="dxa"/>
                </w:tcPr>
                <w:p w14:paraId="1C448819" w14:textId="1D419E7B" w:rsidR="00611808" w:rsidRPr="001F39DD" w:rsidRDefault="00611808" w:rsidP="00611808">
                  <w:pPr>
                    <w:pStyle w:val="Heading2"/>
                    <w:rPr>
                      <w:rFonts w:asciiTheme="majorBidi" w:eastAsia="Arial" w:hAnsiTheme="majorBidi"/>
                      <w:bCs/>
                      <w:sz w:val="22"/>
                      <w:szCs w:val="22"/>
                    </w:rPr>
                  </w:pPr>
                </w:p>
              </w:tc>
              <w:tc>
                <w:tcPr>
                  <w:tcW w:w="2930" w:type="dxa"/>
                </w:tcPr>
                <w:p w14:paraId="0C25D6E4" w14:textId="77777777" w:rsidR="00611808" w:rsidRPr="001F39DD" w:rsidRDefault="00611808" w:rsidP="00611808">
                  <w:pPr>
                    <w:pStyle w:val="Heading2"/>
                    <w:rPr>
                      <w:rFonts w:asciiTheme="majorBidi" w:eastAsia="Arial" w:hAnsiTheme="majorBidi"/>
                      <w:bCs/>
                      <w:sz w:val="22"/>
                      <w:szCs w:val="22"/>
                    </w:rPr>
                  </w:pPr>
                </w:p>
              </w:tc>
              <w:tc>
                <w:tcPr>
                  <w:tcW w:w="2930" w:type="dxa"/>
                </w:tcPr>
                <w:p w14:paraId="22B197F6" w14:textId="77777777" w:rsidR="00611808" w:rsidRPr="001F39DD" w:rsidRDefault="00611808" w:rsidP="00611808">
                  <w:pPr>
                    <w:pStyle w:val="Heading2"/>
                    <w:rPr>
                      <w:rFonts w:asciiTheme="majorBidi" w:eastAsia="Arial" w:hAnsiTheme="majorBidi"/>
                      <w:bCs/>
                      <w:sz w:val="22"/>
                      <w:szCs w:val="22"/>
                    </w:rPr>
                  </w:pPr>
                </w:p>
              </w:tc>
            </w:tr>
            <w:tr w:rsidR="00611808" w:rsidRPr="001F39DD" w14:paraId="2DCC9201" w14:textId="77777777" w:rsidTr="00611808">
              <w:tc>
                <w:tcPr>
                  <w:tcW w:w="2930" w:type="dxa"/>
                </w:tcPr>
                <w:p w14:paraId="7FF65443" w14:textId="1C09FA3F" w:rsidR="00611808" w:rsidRPr="001F39DD" w:rsidRDefault="00611808" w:rsidP="00611808">
                  <w:pPr>
                    <w:pStyle w:val="Heading2"/>
                    <w:rPr>
                      <w:rFonts w:asciiTheme="majorBidi" w:eastAsia="Arial" w:hAnsiTheme="majorBidi"/>
                      <w:sz w:val="22"/>
                      <w:szCs w:val="22"/>
                    </w:rPr>
                  </w:pPr>
                  <w:proofErr w:type="spellStart"/>
                  <w:r w:rsidRPr="001F39DD">
                    <w:rPr>
                      <w:rFonts w:asciiTheme="majorBidi" w:eastAsia="Arial" w:hAnsiTheme="majorBidi"/>
                      <w:sz w:val="22"/>
                      <w:szCs w:val="22"/>
                    </w:rPr>
                    <w:t>Streamlit</w:t>
                  </w:r>
                  <w:proofErr w:type="spellEnd"/>
                  <w:r w:rsidRPr="001F39DD">
                    <w:rPr>
                      <w:rFonts w:asciiTheme="majorBidi" w:eastAsia="Arial" w:hAnsiTheme="majorBidi"/>
                      <w:sz w:val="22"/>
                      <w:szCs w:val="22"/>
                    </w:rPr>
                    <w:t xml:space="preserve"> dashboard integration complexity</w:t>
                  </w:r>
                </w:p>
              </w:tc>
              <w:tc>
                <w:tcPr>
                  <w:tcW w:w="2930" w:type="dxa"/>
                </w:tcPr>
                <w:p w14:paraId="280B78F7" w14:textId="45D1FA1C" w:rsidR="00611808" w:rsidRPr="001F39DD" w:rsidRDefault="00611808" w:rsidP="00611808">
                  <w:pPr>
                    <w:pStyle w:val="Heading2"/>
                    <w:rPr>
                      <w:rFonts w:asciiTheme="majorBidi" w:eastAsia="Arial" w:hAnsiTheme="majorBidi"/>
                      <w:sz w:val="22"/>
                      <w:szCs w:val="22"/>
                    </w:rPr>
                  </w:pPr>
                  <w:r w:rsidRPr="001F39DD">
                    <w:rPr>
                      <w:rFonts w:asciiTheme="majorBidi" w:eastAsia="Arial" w:hAnsiTheme="majorBidi"/>
                      <w:sz w:val="22"/>
                      <w:szCs w:val="22"/>
                    </w:rPr>
                    <w:t>Low</w:t>
                  </w:r>
                </w:p>
              </w:tc>
              <w:tc>
                <w:tcPr>
                  <w:tcW w:w="2930" w:type="dxa"/>
                </w:tcPr>
                <w:p w14:paraId="5B2C617D" w14:textId="2374D8FE" w:rsidR="00611808" w:rsidRPr="001F39DD" w:rsidRDefault="00611808" w:rsidP="00611808">
                  <w:pPr>
                    <w:pStyle w:val="Heading2"/>
                    <w:rPr>
                      <w:rFonts w:asciiTheme="majorBidi" w:eastAsia="Arial" w:hAnsiTheme="majorBidi"/>
                      <w:sz w:val="22"/>
                      <w:szCs w:val="22"/>
                    </w:rPr>
                  </w:pPr>
                  <w:r w:rsidRPr="001F39DD">
                    <w:rPr>
                      <w:rFonts w:asciiTheme="majorBidi" w:eastAsia="Arial" w:hAnsiTheme="majorBidi"/>
                      <w:sz w:val="22"/>
                      <w:szCs w:val="22"/>
                    </w:rPr>
                    <w:t xml:space="preserve">Begin dashboard development with static plots first; incrementally add interactivity; use official </w:t>
                  </w:r>
                  <w:proofErr w:type="spellStart"/>
                  <w:r w:rsidRPr="001F39DD">
                    <w:rPr>
                      <w:rFonts w:asciiTheme="majorBidi" w:eastAsia="Arial" w:hAnsiTheme="majorBidi"/>
                      <w:sz w:val="22"/>
                      <w:szCs w:val="22"/>
                    </w:rPr>
                    <w:t>Streamlit</w:t>
                  </w:r>
                  <w:proofErr w:type="spellEnd"/>
                  <w:r w:rsidRPr="001F39DD">
                    <w:rPr>
                      <w:rFonts w:asciiTheme="majorBidi" w:eastAsia="Arial" w:hAnsiTheme="majorBidi"/>
                      <w:sz w:val="22"/>
                      <w:szCs w:val="22"/>
                    </w:rPr>
                    <w:t xml:space="preserve"> documentation</w:t>
                  </w:r>
                </w:p>
              </w:tc>
              <w:tc>
                <w:tcPr>
                  <w:tcW w:w="2930" w:type="dxa"/>
                </w:tcPr>
                <w:p w14:paraId="50A4D65F" w14:textId="77777777" w:rsidR="00611808" w:rsidRPr="001F39DD" w:rsidRDefault="00611808" w:rsidP="00611808">
                  <w:pPr>
                    <w:pStyle w:val="Heading2"/>
                    <w:rPr>
                      <w:rFonts w:asciiTheme="majorBidi" w:eastAsia="Arial" w:hAnsiTheme="majorBidi"/>
                      <w:bCs/>
                      <w:sz w:val="22"/>
                      <w:szCs w:val="22"/>
                    </w:rPr>
                  </w:pPr>
                </w:p>
              </w:tc>
              <w:tc>
                <w:tcPr>
                  <w:tcW w:w="2930" w:type="dxa"/>
                </w:tcPr>
                <w:p w14:paraId="5EC0CBCF" w14:textId="77777777" w:rsidR="00611808" w:rsidRPr="001F39DD" w:rsidRDefault="00611808" w:rsidP="00611808">
                  <w:pPr>
                    <w:pStyle w:val="Heading2"/>
                    <w:rPr>
                      <w:rFonts w:asciiTheme="majorBidi" w:eastAsia="Arial" w:hAnsiTheme="majorBidi"/>
                      <w:bCs/>
                      <w:sz w:val="22"/>
                      <w:szCs w:val="22"/>
                    </w:rPr>
                  </w:pPr>
                </w:p>
              </w:tc>
              <w:tc>
                <w:tcPr>
                  <w:tcW w:w="2930" w:type="dxa"/>
                </w:tcPr>
                <w:p w14:paraId="2557A11D" w14:textId="77777777" w:rsidR="00611808" w:rsidRPr="001F39DD" w:rsidRDefault="00611808" w:rsidP="00611808">
                  <w:pPr>
                    <w:pStyle w:val="Heading2"/>
                    <w:rPr>
                      <w:rFonts w:asciiTheme="majorBidi" w:eastAsia="Arial" w:hAnsiTheme="majorBidi"/>
                      <w:bCs/>
                      <w:sz w:val="22"/>
                      <w:szCs w:val="22"/>
                    </w:rPr>
                  </w:pPr>
                </w:p>
              </w:tc>
            </w:tr>
          </w:tbl>
          <w:p w14:paraId="6CD0EC4B" w14:textId="77777777" w:rsidR="00611808" w:rsidRPr="001F39DD" w:rsidRDefault="00611808" w:rsidP="00611808">
            <w:pPr>
              <w:spacing w:before="60" w:after="60"/>
              <w:rPr>
                <w:rFonts w:asciiTheme="majorBidi" w:hAnsiTheme="majorBidi" w:cstheme="majorBidi"/>
              </w:rPr>
            </w:pPr>
          </w:p>
          <w:p w14:paraId="67232FA3" w14:textId="77777777" w:rsidR="000C56C3" w:rsidRPr="001F39DD" w:rsidRDefault="000C56C3" w:rsidP="000C56C3">
            <w:pPr>
              <w:spacing w:after="0" w:line="240" w:lineRule="auto"/>
              <w:rPr>
                <w:rFonts w:asciiTheme="majorBidi" w:hAnsiTheme="majorBidi" w:cstheme="majorBidi"/>
                <w:color w:val="D0CECE" w:themeColor="background2" w:themeShade="E6"/>
              </w:rPr>
            </w:pPr>
          </w:p>
        </w:tc>
      </w:tr>
    </w:tbl>
    <w:p w14:paraId="0A4AA527" w14:textId="77777777" w:rsidR="000C56C3" w:rsidRPr="001F39DD" w:rsidRDefault="000C56C3" w:rsidP="000C56C3">
      <w:pPr>
        <w:spacing w:after="0" w:line="240" w:lineRule="auto"/>
        <w:rPr>
          <w:rFonts w:asciiTheme="majorBidi" w:hAnsiTheme="majorBidi" w:cstheme="majorBidi"/>
        </w:rPr>
      </w:pPr>
    </w:p>
    <w:tbl>
      <w:tblPr>
        <w:tblStyle w:val="TableGrid"/>
        <w:tblW w:w="0" w:type="auto"/>
        <w:tblLook w:val="04A0" w:firstRow="1" w:lastRow="0" w:firstColumn="1" w:lastColumn="0" w:noHBand="0" w:noVBand="1"/>
      </w:tblPr>
      <w:tblGrid>
        <w:gridCol w:w="9016"/>
      </w:tblGrid>
      <w:tr w:rsidR="000C56C3" w:rsidRPr="001F39DD" w14:paraId="7BC5A50F" w14:textId="77777777" w:rsidTr="00BE275B">
        <w:tc>
          <w:tcPr>
            <w:tcW w:w="9016" w:type="dxa"/>
            <w:shd w:val="clear" w:color="auto" w:fill="222A35" w:themeFill="text2" w:themeFillShade="80"/>
          </w:tcPr>
          <w:p w14:paraId="6CAE74D9" w14:textId="11668DB2" w:rsidR="000C56C3" w:rsidRPr="001F39DD" w:rsidRDefault="000C56C3" w:rsidP="000C56C3">
            <w:pPr>
              <w:widowControl w:val="0"/>
              <w:autoSpaceDE w:val="0"/>
              <w:autoSpaceDN w:val="0"/>
              <w:adjustRightInd w:val="0"/>
              <w:spacing w:after="0" w:line="240" w:lineRule="auto"/>
              <w:ind w:right="57"/>
              <w:jc w:val="both"/>
              <w:rPr>
                <w:rFonts w:asciiTheme="majorBidi" w:hAnsiTheme="majorBidi" w:cstheme="majorBidi"/>
                <w:color w:val="000000"/>
              </w:rPr>
            </w:pPr>
            <w:r w:rsidRPr="001F39DD">
              <w:rPr>
                <w:rFonts w:asciiTheme="majorBidi" w:hAnsiTheme="majorBidi" w:cstheme="majorBidi"/>
                <w:color w:val="FFFFFF" w:themeColor="background1"/>
              </w:rPr>
              <w:t>References in IEEE format (</w:t>
            </w:r>
            <w:r w:rsidR="00F5778C" w:rsidRPr="001F39DD">
              <w:rPr>
                <w:rFonts w:asciiTheme="majorBidi" w:hAnsiTheme="majorBidi" w:cstheme="majorBidi"/>
                <w:color w:val="FFFFFF" w:themeColor="background1"/>
              </w:rPr>
              <w:t xml:space="preserve">Approx </w:t>
            </w:r>
            <w:r w:rsidRPr="001F39DD">
              <w:rPr>
                <w:rFonts w:asciiTheme="majorBidi" w:hAnsiTheme="majorBidi" w:cstheme="majorBidi"/>
                <w:color w:val="FFFFFF" w:themeColor="background1"/>
              </w:rPr>
              <w:t>5</w:t>
            </w:r>
            <w:r w:rsidR="00F5778C" w:rsidRPr="001F39DD">
              <w:rPr>
                <w:rFonts w:asciiTheme="majorBidi" w:hAnsiTheme="majorBidi" w:cstheme="majorBidi"/>
                <w:color w:val="FFFFFF" w:themeColor="background1"/>
              </w:rPr>
              <w:t xml:space="preserve"> </w:t>
            </w:r>
            <w:r w:rsidRPr="001F39DD">
              <w:rPr>
                <w:rFonts w:asciiTheme="majorBidi" w:hAnsiTheme="majorBidi" w:cstheme="majorBidi"/>
                <w:color w:val="FFFFFF" w:themeColor="background1"/>
              </w:rPr>
              <w:t>References)</w:t>
            </w:r>
          </w:p>
        </w:tc>
      </w:tr>
      <w:tr w:rsidR="000C56C3" w:rsidRPr="001F39DD" w14:paraId="75466F1E" w14:textId="77777777" w:rsidTr="00BE275B">
        <w:tc>
          <w:tcPr>
            <w:tcW w:w="9016" w:type="dxa"/>
          </w:tcPr>
          <w:p w14:paraId="685A36F2" w14:textId="77777777" w:rsidR="000C56C3" w:rsidRPr="001F39DD" w:rsidRDefault="000C56C3" w:rsidP="000C56C3">
            <w:pPr>
              <w:spacing w:after="0" w:line="240" w:lineRule="auto"/>
              <w:rPr>
                <w:rFonts w:asciiTheme="majorBidi" w:hAnsiTheme="majorBidi" w:cstheme="majorBidi"/>
              </w:rPr>
            </w:pPr>
          </w:p>
          <w:p w14:paraId="143B286A" w14:textId="77777777" w:rsidR="00923732" w:rsidRPr="001F39DD" w:rsidRDefault="00923732" w:rsidP="00611808">
            <w:pPr>
              <w:spacing w:before="60" w:after="60"/>
              <w:rPr>
                <w:rFonts w:asciiTheme="majorBidi" w:eastAsia="Arial" w:hAnsiTheme="majorBidi" w:cstheme="majorBidi"/>
              </w:rPr>
            </w:pPr>
            <w:r w:rsidRPr="001F39DD">
              <w:rPr>
                <w:rFonts w:asciiTheme="majorBidi" w:hAnsiTheme="majorBidi" w:cstheme="majorBidi"/>
              </w:rPr>
              <w:lastRenderedPageBreak/>
              <w:t>[1] W. Kong, Z. Y. Dong, Y. Jia, D. J. Hill, Y. Xu, and Y. Zhang, “Short-term residential load forecasting based on LSTM recurrent neural network,” IEEE Transactions on Smart Grid, vol. 10, no. 1, pp. 841–851, 2019.</w:t>
            </w:r>
            <w:r w:rsidRPr="001F39DD">
              <w:rPr>
                <w:rFonts w:asciiTheme="majorBidi" w:eastAsia="Arial" w:hAnsiTheme="majorBidi" w:cstheme="majorBidi"/>
              </w:rPr>
              <w:t xml:space="preserve"> </w:t>
            </w:r>
          </w:p>
          <w:p w14:paraId="23ABB26B" w14:textId="23694634" w:rsidR="00611808" w:rsidRPr="001F39DD" w:rsidRDefault="00611808" w:rsidP="00923732">
            <w:pPr>
              <w:pStyle w:val="NormalWeb"/>
              <w:rPr>
                <w:rFonts w:asciiTheme="majorBidi" w:hAnsiTheme="majorBidi" w:cstheme="majorBidi"/>
                <w:sz w:val="22"/>
                <w:szCs w:val="22"/>
              </w:rPr>
            </w:pPr>
            <w:r w:rsidRPr="001F39DD">
              <w:rPr>
                <w:rFonts w:asciiTheme="majorBidi" w:eastAsia="Arial" w:hAnsiTheme="majorBidi" w:cstheme="majorBidi"/>
                <w:sz w:val="22"/>
                <w:szCs w:val="22"/>
              </w:rPr>
              <w:t xml:space="preserve">[2] </w:t>
            </w:r>
            <w:r w:rsidR="00923732" w:rsidRPr="001F39DD">
              <w:rPr>
                <w:rFonts w:asciiTheme="majorBidi" w:hAnsiTheme="majorBidi" w:cstheme="majorBidi"/>
                <w:sz w:val="22"/>
                <w:szCs w:val="22"/>
              </w:rPr>
              <w:t xml:space="preserve"> D. L. Marino, K. Amarasinghe, and M. Manic, “Building energy load forecasting using deep neural networks,” in Proceedings of the 42nd Annual Conference of the IEEE Industrial Electronics Society (IECON), Florence, Italy, Oct. 2016, pp. 7046–7051. doi: 10.1109/IECON.2016.7793413.</w:t>
            </w:r>
          </w:p>
          <w:p w14:paraId="60BF09C1" w14:textId="0F8266AF" w:rsidR="00923732" w:rsidRPr="001F39DD" w:rsidRDefault="00611808" w:rsidP="00923732">
            <w:pPr>
              <w:pStyle w:val="NormalWeb"/>
              <w:rPr>
                <w:rFonts w:asciiTheme="majorBidi" w:hAnsiTheme="majorBidi" w:cstheme="majorBidi"/>
                <w:sz w:val="22"/>
                <w:szCs w:val="22"/>
              </w:rPr>
            </w:pPr>
            <w:r w:rsidRPr="001F39DD">
              <w:rPr>
                <w:rFonts w:asciiTheme="majorBidi" w:eastAsia="Arial" w:hAnsiTheme="majorBidi" w:cstheme="majorBidi"/>
                <w:sz w:val="22"/>
                <w:szCs w:val="22"/>
              </w:rPr>
              <w:t xml:space="preserve">[3] </w:t>
            </w:r>
            <w:r w:rsidR="00923732" w:rsidRPr="001F39DD">
              <w:rPr>
                <w:rFonts w:asciiTheme="majorBidi" w:hAnsiTheme="majorBidi" w:cstheme="majorBidi"/>
                <w:sz w:val="22"/>
                <w:szCs w:val="22"/>
              </w:rPr>
              <w:t>Y. Wang, Q. Chen, T. Hong, and C. Kang, “Review of smart meter data analytics: Applications, methodologies, and challenges,” IEEE Transactions on Smart Grid, vol. 10, no. 3, pp. 3125–3148, May 2019. doi: 10.1109/TSG.2018.2818167.</w:t>
            </w:r>
          </w:p>
          <w:p w14:paraId="4BA26AE2" w14:textId="25662538" w:rsidR="00611808" w:rsidRPr="001F39DD" w:rsidRDefault="00611808" w:rsidP="00923732">
            <w:pPr>
              <w:pStyle w:val="NormalWeb"/>
              <w:rPr>
                <w:rFonts w:asciiTheme="majorBidi" w:hAnsiTheme="majorBidi" w:cstheme="majorBidi"/>
                <w:sz w:val="22"/>
                <w:szCs w:val="22"/>
              </w:rPr>
            </w:pPr>
            <w:r w:rsidRPr="001F39DD">
              <w:rPr>
                <w:rFonts w:asciiTheme="majorBidi" w:eastAsia="Arial" w:hAnsiTheme="majorBidi" w:cstheme="majorBidi"/>
                <w:sz w:val="22"/>
                <w:szCs w:val="22"/>
              </w:rPr>
              <w:t>[4]</w:t>
            </w:r>
            <w:r w:rsidR="00923732" w:rsidRPr="001F39DD">
              <w:rPr>
                <w:rFonts w:asciiTheme="majorBidi" w:hAnsiTheme="majorBidi" w:cstheme="majorBidi"/>
                <w:sz w:val="22"/>
                <w:szCs w:val="22"/>
              </w:rPr>
              <w:t xml:space="preserve"> B. Qin, X. Gao, T. Ding, F. Li, D. Liu, Z. Zhang, and R. Huang, “A hybrid deep learning model for short term load forecasting of distribution networks integrating the channel attention mechanism,” IET Generation, Transmission &amp; Distribution, vol. 18, 2024, doi: 10.1049/gtd2.13142.</w:t>
            </w:r>
          </w:p>
          <w:p w14:paraId="30EB305A" w14:textId="73E42466" w:rsidR="00611808" w:rsidRPr="001F39DD" w:rsidRDefault="00611808" w:rsidP="00923732">
            <w:pPr>
              <w:pStyle w:val="NormalWeb"/>
              <w:rPr>
                <w:rFonts w:asciiTheme="majorBidi" w:hAnsiTheme="majorBidi" w:cstheme="majorBidi"/>
                <w:sz w:val="22"/>
                <w:szCs w:val="22"/>
              </w:rPr>
            </w:pPr>
            <w:r w:rsidRPr="001F39DD">
              <w:rPr>
                <w:rFonts w:asciiTheme="majorBidi" w:eastAsia="Arial" w:hAnsiTheme="majorBidi" w:cstheme="majorBidi"/>
                <w:sz w:val="22"/>
                <w:szCs w:val="22"/>
              </w:rPr>
              <w:t xml:space="preserve">[5] </w:t>
            </w:r>
            <w:r w:rsidR="00923732" w:rsidRPr="001F39DD">
              <w:rPr>
                <w:rFonts w:asciiTheme="majorBidi" w:hAnsiTheme="majorBidi" w:cstheme="majorBidi"/>
                <w:sz w:val="22"/>
                <w:szCs w:val="22"/>
              </w:rPr>
              <w:t>C. Lai, Y. Wang, J. Zhu, and X. Zhou, “Deep learning based energy consumption prediction model for green industrial parks,” Applied Artificial Intelligence, vol. 39, 2025, doi: 10.1080/08839514.2025.2462375.</w:t>
            </w:r>
          </w:p>
          <w:p w14:paraId="6CB72373" w14:textId="1DB70E32" w:rsidR="00923732" w:rsidRPr="001F39DD" w:rsidRDefault="00611808" w:rsidP="00923732">
            <w:pPr>
              <w:spacing w:before="60" w:after="60"/>
              <w:rPr>
                <w:rFonts w:asciiTheme="majorBidi" w:hAnsiTheme="majorBidi" w:cstheme="majorBidi"/>
              </w:rPr>
            </w:pPr>
            <w:r w:rsidRPr="001F39DD">
              <w:rPr>
                <w:rFonts w:asciiTheme="majorBidi" w:eastAsia="Arial" w:hAnsiTheme="majorBidi" w:cstheme="majorBidi"/>
              </w:rPr>
              <w:t xml:space="preserve">[6] </w:t>
            </w:r>
            <w:r w:rsidR="00923732" w:rsidRPr="001F39DD">
              <w:rPr>
                <w:rFonts w:asciiTheme="majorBidi" w:hAnsiTheme="majorBidi" w:cstheme="majorBidi"/>
              </w:rPr>
              <w:t xml:space="preserve">R. Mulla, “Hourly Energy Consumption,” Kaggle, 2018. [Online]. Available: </w:t>
            </w:r>
            <w:hyperlink r:id="rId7" w:tgtFrame="_new" w:history="1">
              <w:r w:rsidR="00923732" w:rsidRPr="001F39DD">
                <w:rPr>
                  <w:rStyle w:val="Hyperlink"/>
                  <w:rFonts w:asciiTheme="majorBidi" w:hAnsiTheme="majorBidi" w:cstheme="majorBidi"/>
                </w:rPr>
                <w:t>https://www.kaggle.com/datasets/robikscube/hourly-energy-consumption</w:t>
              </w:r>
            </w:hyperlink>
          </w:p>
          <w:p w14:paraId="5BFC333C" w14:textId="2A5CD946" w:rsidR="000C56C3" w:rsidRPr="001F39DD" w:rsidRDefault="00923732" w:rsidP="005B27A8">
            <w:pPr>
              <w:spacing w:before="60" w:after="60"/>
              <w:rPr>
                <w:rFonts w:asciiTheme="majorBidi" w:hAnsiTheme="majorBidi" w:cstheme="majorBidi"/>
              </w:rPr>
            </w:pPr>
            <w:r w:rsidRPr="001F39DD">
              <w:rPr>
                <w:rFonts w:asciiTheme="majorBidi" w:hAnsiTheme="majorBidi" w:cstheme="majorBidi"/>
              </w:rPr>
              <w:t>[7] G.</w:t>
            </w:r>
            <w:r w:rsidRPr="001F39DD">
              <w:rPr>
                <w:rFonts w:asciiTheme="majorBidi" w:hAnsiTheme="majorBidi" w:cstheme="majorBidi"/>
              </w:rPr>
              <w:t xml:space="preserve"> </w:t>
            </w:r>
            <w:proofErr w:type="spellStart"/>
            <w:r w:rsidRPr="001F39DD">
              <w:rPr>
                <w:rFonts w:asciiTheme="majorBidi" w:hAnsiTheme="majorBidi" w:cstheme="majorBidi"/>
              </w:rPr>
              <w:t>Hebrail</w:t>
            </w:r>
            <w:proofErr w:type="spellEnd"/>
            <w:r w:rsidRPr="001F39DD">
              <w:rPr>
                <w:rFonts w:asciiTheme="majorBidi" w:hAnsiTheme="majorBidi" w:cstheme="majorBidi"/>
              </w:rPr>
              <w:t xml:space="preserve"> and A. </w:t>
            </w:r>
            <w:proofErr w:type="spellStart"/>
            <w:r w:rsidRPr="001F39DD">
              <w:rPr>
                <w:rFonts w:asciiTheme="majorBidi" w:hAnsiTheme="majorBidi" w:cstheme="majorBidi"/>
              </w:rPr>
              <w:t>Berard</w:t>
            </w:r>
            <w:proofErr w:type="spellEnd"/>
            <w:r w:rsidRPr="001F39DD">
              <w:rPr>
                <w:rFonts w:asciiTheme="majorBidi" w:hAnsiTheme="majorBidi" w:cstheme="majorBidi"/>
              </w:rPr>
              <w:t xml:space="preserve">, “Individual Household Electric Power Consumption” [Dataset], UCI Machine Learning Repository, 2006. Available: </w:t>
            </w:r>
            <w:hyperlink r:id="rId8" w:tgtFrame="_new" w:history="1">
              <w:r w:rsidRPr="001F39DD">
                <w:rPr>
                  <w:rStyle w:val="Hyperlink"/>
                  <w:rFonts w:asciiTheme="majorBidi" w:hAnsiTheme="majorBidi" w:cstheme="majorBidi"/>
                </w:rPr>
                <w:t>https://doi.org/10.24432/C58K54</w:t>
              </w:r>
            </w:hyperlink>
            <w:r w:rsidRPr="001F39DD">
              <w:rPr>
                <w:rFonts w:asciiTheme="majorBidi" w:hAnsiTheme="majorBidi" w:cstheme="majorBidi"/>
              </w:rPr>
              <w:t xml:space="preserve"> </w:t>
            </w:r>
          </w:p>
        </w:tc>
      </w:tr>
    </w:tbl>
    <w:p w14:paraId="1EB07DBF" w14:textId="77777777" w:rsidR="00000000" w:rsidRPr="001F39DD" w:rsidRDefault="00000000" w:rsidP="000C56C3">
      <w:pPr>
        <w:spacing w:after="0" w:line="240" w:lineRule="auto"/>
        <w:rPr>
          <w:rFonts w:asciiTheme="majorBidi" w:hAnsiTheme="majorBidi" w:cstheme="majorBidi"/>
        </w:rPr>
      </w:pPr>
    </w:p>
    <w:sectPr w:rsidR="007B6F95" w:rsidRPr="001F39DD">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3EC92" w14:textId="77777777" w:rsidR="00970BEF" w:rsidRDefault="00970BEF" w:rsidP="00AC700F">
      <w:pPr>
        <w:spacing w:after="0" w:line="240" w:lineRule="auto"/>
      </w:pPr>
      <w:r>
        <w:separator/>
      </w:r>
    </w:p>
  </w:endnote>
  <w:endnote w:type="continuationSeparator" w:id="0">
    <w:p w14:paraId="615E2726" w14:textId="77777777" w:rsidR="00970BEF" w:rsidRDefault="00970BEF" w:rsidP="00AC7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3813917"/>
      <w:docPartObj>
        <w:docPartGallery w:val="Page Numbers (Bottom of Page)"/>
        <w:docPartUnique/>
      </w:docPartObj>
    </w:sdtPr>
    <w:sdtEndPr>
      <w:rPr>
        <w:noProof/>
      </w:rPr>
    </w:sdtEndPr>
    <w:sdtContent>
      <w:p w14:paraId="14701923" w14:textId="77777777" w:rsidR="00000000"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10FE2"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8EF61" w14:textId="77777777" w:rsidR="00970BEF" w:rsidRDefault="00970BEF" w:rsidP="00AC700F">
      <w:pPr>
        <w:spacing w:after="0" w:line="240" w:lineRule="auto"/>
      </w:pPr>
      <w:r>
        <w:separator/>
      </w:r>
    </w:p>
  </w:footnote>
  <w:footnote w:type="continuationSeparator" w:id="0">
    <w:p w14:paraId="4C5E14A5" w14:textId="77777777" w:rsidR="00970BEF" w:rsidRDefault="00970BEF" w:rsidP="00AC70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07055"/>
    <w:multiLevelType w:val="hybridMultilevel"/>
    <w:tmpl w:val="578AA462"/>
    <w:lvl w:ilvl="0" w:tplc="B4CCACC2">
      <w:start w:val="1"/>
      <w:numFmt w:val="decimal"/>
      <w:lvlText w:val="%1."/>
      <w:lvlJc w:val="left"/>
      <w:pPr>
        <w:ind w:left="720" w:hanging="360"/>
      </w:pPr>
    </w:lvl>
    <w:lvl w:ilvl="1" w:tplc="31529124">
      <w:numFmt w:val="decimal"/>
      <w:lvlText w:val=""/>
      <w:lvlJc w:val="left"/>
    </w:lvl>
    <w:lvl w:ilvl="2" w:tplc="875E9C02">
      <w:numFmt w:val="decimal"/>
      <w:lvlText w:val=""/>
      <w:lvlJc w:val="left"/>
    </w:lvl>
    <w:lvl w:ilvl="3" w:tplc="6F56D9CE">
      <w:numFmt w:val="decimal"/>
      <w:lvlText w:val=""/>
      <w:lvlJc w:val="left"/>
    </w:lvl>
    <w:lvl w:ilvl="4" w:tplc="3548676C">
      <w:numFmt w:val="decimal"/>
      <w:lvlText w:val=""/>
      <w:lvlJc w:val="left"/>
    </w:lvl>
    <w:lvl w:ilvl="5" w:tplc="3A3C921C">
      <w:numFmt w:val="decimal"/>
      <w:lvlText w:val=""/>
      <w:lvlJc w:val="left"/>
    </w:lvl>
    <w:lvl w:ilvl="6" w:tplc="B7D8597C">
      <w:numFmt w:val="decimal"/>
      <w:lvlText w:val=""/>
      <w:lvlJc w:val="left"/>
    </w:lvl>
    <w:lvl w:ilvl="7" w:tplc="4D2AB0B4">
      <w:numFmt w:val="decimal"/>
      <w:lvlText w:val=""/>
      <w:lvlJc w:val="left"/>
    </w:lvl>
    <w:lvl w:ilvl="8" w:tplc="98B86974">
      <w:numFmt w:val="decimal"/>
      <w:lvlText w:val=""/>
      <w:lvlJc w:val="left"/>
    </w:lvl>
  </w:abstractNum>
  <w:abstractNum w:abstractNumId="1" w15:restartNumberingAfterBreak="0">
    <w:nsid w:val="1B281624"/>
    <w:multiLevelType w:val="hybridMultilevel"/>
    <w:tmpl w:val="2DC42536"/>
    <w:lvl w:ilvl="0" w:tplc="08090011">
      <w:start w:val="1"/>
      <w:numFmt w:val="decimal"/>
      <w:lvlText w:val="%1)"/>
      <w:lvlJc w:val="left"/>
      <w:pPr>
        <w:ind w:left="820" w:hanging="360"/>
      </w:p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2" w15:restartNumberingAfterBreak="0">
    <w:nsid w:val="4E887134"/>
    <w:multiLevelType w:val="hybridMultilevel"/>
    <w:tmpl w:val="6DCA7DB0"/>
    <w:lvl w:ilvl="0" w:tplc="520ADF10">
      <w:start w:val="1"/>
      <w:numFmt w:val="bullet"/>
      <w:lvlText w:val="•"/>
      <w:lvlJc w:val="left"/>
      <w:pPr>
        <w:ind w:left="720" w:hanging="360"/>
      </w:pPr>
    </w:lvl>
    <w:lvl w:ilvl="1" w:tplc="2E4EB2DC">
      <w:numFmt w:val="decimal"/>
      <w:lvlText w:val=""/>
      <w:lvlJc w:val="left"/>
    </w:lvl>
    <w:lvl w:ilvl="2" w:tplc="3CEEF838">
      <w:numFmt w:val="decimal"/>
      <w:lvlText w:val=""/>
      <w:lvlJc w:val="left"/>
    </w:lvl>
    <w:lvl w:ilvl="3" w:tplc="3EDCFA40">
      <w:numFmt w:val="decimal"/>
      <w:lvlText w:val=""/>
      <w:lvlJc w:val="left"/>
    </w:lvl>
    <w:lvl w:ilvl="4" w:tplc="067AB1E0">
      <w:numFmt w:val="decimal"/>
      <w:lvlText w:val=""/>
      <w:lvlJc w:val="left"/>
    </w:lvl>
    <w:lvl w:ilvl="5" w:tplc="4C3E720E">
      <w:numFmt w:val="decimal"/>
      <w:lvlText w:val=""/>
      <w:lvlJc w:val="left"/>
    </w:lvl>
    <w:lvl w:ilvl="6" w:tplc="F2D2064A">
      <w:numFmt w:val="decimal"/>
      <w:lvlText w:val=""/>
      <w:lvlJc w:val="left"/>
    </w:lvl>
    <w:lvl w:ilvl="7" w:tplc="9F480418">
      <w:numFmt w:val="decimal"/>
      <w:lvlText w:val=""/>
      <w:lvlJc w:val="left"/>
    </w:lvl>
    <w:lvl w:ilvl="8" w:tplc="8A2A11A6">
      <w:numFmt w:val="decimal"/>
      <w:lvlText w:val=""/>
      <w:lvlJc w:val="left"/>
    </w:lvl>
  </w:abstractNum>
  <w:abstractNum w:abstractNumId="3" w15:restartNumberingAfterBreak="0">
    <w:nsid w:val="658972D5"/>
    <w:multiLevelType w:val="multilevel"/>
    <w:tmpl w:val="5A1A1FC6"/>
    <w:lvl w:ilvl="0">
      <w:start w:val="1"/>
      <w:numFmt w:val="decimal"/>
      <w:lvlText w:val="%1."/>
      <w:lvlJc w:val="left"/>
      <w:pPr>
        <w:ind w:left="720" w:hanging="360"/>
      </w:pPr>
    </w:lvl>
    <w:lvl w:ilvl="1">
      <w:start w:val="4"/>
      <w:numFmt w:val="decimal"/>
      <w:isLgl/>
      <w:lvlText w:val="%1.%2"/>
      <w:lvlJc w:val="left"/>
      <w:pPr>
        <w:ind w:left="1110" w:hanging="750"/>
      </w:pPr>
      <w:rPr>
        <w:rFonts w:hint="default"/>
      </w:rPr>
    </w:lvl>
    <w:lvl w:ilvl="2">
      <w:start w:val="1"/>
      <w:numFmt w:val="decimal"/>
      <w:isLgl/>
      <w:lvlText w:val="%1.%2.%3"/>
      <w:lvlJc w:val="left"/>
      <w:pPr>
        <w:ind w:left="1110" w:hanging="750"/>
      </w:pPr>
      <w:rPr>
        <w:rFonts w:hint="default"/>
      </w:rPr>
    </w:lvl>
    <w:lvl w:ilvl="3">
      <w:start w:val="1"/>
      <w:numFmt w:val="decimal"/>
      <w:isLgl/>
      <w:lvlText w:val="%1.%2.%3.%4"/>
      <w:lvlJc w:val="left"/>
      <w:pPr>
        <w:ind w:left="1110" w:hanging="75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5274161">
    <w:abstractNumId w:val="3"/>
  </w:num>
  <w:num w:numId="2" w16cid:durableId="619454831">
    <w:abstractNumId w:val="1"/>
  </w:num>
  <w:num w:numId="3" w16cid:durableId="928343105">
    <w:abstractNumId w:val="0"/>
    <w:lvlOverride w:ilvl="0">
      <w:startOverride w:val="1"/>
    </w:lvlOverride>
  </w:num>
  <w:num w:numId="4" w16cid:durableId="5835344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294"/>
    <w:rsid w:val="00003891"/>
    <w:rsid w:val="00011F4D"/>
    <w:rsid w:val="00060168"/>
    <w:rsid w:val="00075E7D"/>
    <w:rsid w:val="00084754"/>
    <w:rsid w:val="000C56C3"/>
    <w:rsid w:val="000E29FC"/>
    <w:rsid w:val="00135060"/>
    <w:rsid w:val="001E44FC"/>
    <w:rsid w:val="001F39DD"/>
    <w:rsid w:val="00274859"/>
    <w:rsid w:val="003A2604"/>
    <w:rsid w:val="003B25BD"/>
    <w:rsid w:val="004315A1"/>
    <w:rsid w:val="00437C53"/>
    <w:rsid w:val="00471BC6"/>
    <w:rsid w:val="00545647"/>
    <w:rsid w:val="00546339"/>
    <w:rsid w:val="005B27A8"/>
    <w:rsid w:val="00611808"/>
    <w:rsid w:val="00623CA0"/>
    <w:rsid w:val="00642532"/>
    <w:rsid w:val="00677B3A"/>
    <w:rsid w:val="006A5914"/>
    <w:rsid w:val="0079766D"/>
    <w:rsid w:val="00816AAE"/>
    <w:rsid w:val="00923732"/>
    <w:rsid w:val="00970BEF"/>
    <w:rsid w:val="00993294"/>
    <w:rsid w:val="00A31E1E"/>
    <w:rsid w:val="00A609C1"/>
    <w:rsid w:val="00A763EE"/>
    <w:rsid w:val="00AC6EEA"/>
    <w:rsid w:val="00AC700F"/>
    <w:rsid w:val="00AD0BBE"/>
    <w:rsid w:val="00CB40ED"/>
    <w:rsid w:val="00D91956"/>
    <w:rsid w:val="00E0507C"/>
    <w:rsid w:val="00E12ED4"/>
    <w:rsid w:val="00E71398"/>
    <w:rsid w:val="00E72C29"/>
    <w:rsid w:val="00E9664C"/>
    <w:rsid w:val="00EB5B44"/>
    <w:rsid w:val="00F5778C"/>
    <w:rsid w:val="00FF48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00671"/>
  <w15:chartTrackingRefBased/>
  <w15:docId w15:val="{64EF18CE-2AC4-4C72-9AB4-FE189F6BC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294"/>
    <w:pPr>
      <w:spacing w:after="200" w:line="276" w:lineRule="auto"/>
    </w:pPr>
    <w:rPr>
      <w:rFonts w:eastAsiaTheme="minorEastAsia" w:cs="Times New Roman"/>
      <w:lang w:eastAsia="en-GB"/>
    </w:rPr>
  </w:style>
  <w:style w:type="paragraph" w:styleId="Heading1">
    <w:name w:val="heading 1"/>
    <w:basedOn w:val="Normal"/>
    <w:next w:val="Normal"/>
    <w:link w:val="Heading1Char"/>
    <w:uiPriority w:val="9"/>
    <w:qFormat/>
    <w:rsid w:val="000C56C3"/>
    <w:pPr>
      <w:keepNext/>
      <w:keepLines/>
      <w:spacing w:before="240" w:after="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2">
    <w:name w:val="heading 2"/>
    <w:basedOn w:val="Normal"/>
    <w:next w:val="Normal"/>
    <w:link w:val="Heading2Char"/>
    <w:uiPriority w:val="9"/>
    <w:unhideWhenUsed/>
    <w:qFormat/>
    <w:rsid w:val="00993294"/>
    <w:pPr>
      <w:keepNext/>
      <w:keepLines/>
      <w:spacing w:before="40" w:after="0"/>
      <w:outlineLvl w:val="1"/>
    </w:pPr>
    <w:rPr>
      <w:rFonts w:ascii="Arial" w:eastAsiaTheme="majorEastAsia" w:hAnsi="Arial" w:cstheme="majorBidi"/>
      <w:b/>
      <w:color w:val="222A35" w:themeColor="text2" w:themeShade="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93294"/>
    <w:rPr>
      <w:rFonts w:ascii="Arial" w:eastAsiaTheme="majorEastAsia" w:hAnsi="Arial" w:cstheme="majorBidi"/>
      <w:b/>
      <w:color w:val="222A35" w:themeColor="text2" w:themeShade="80"/>
      <w:sz w:val="26"/>
      <w:szCs w:val="26"/>
      <w:lang w:eastAsia="en-GB"/>
    </w:rPr>
  </w:style>
  <w:style w:type="paragraph" w:styleId="ListParagraph">
    <w:name w:val="List Paragraph"/>
    <w:basedOn w:val="Normal"/>
    <w:qFormat/>
    <w:rsid w:val="00993294"/>
    <w:pPr>
      <w:spacing w:after="0" w:line="240" w:lineRule="auto"/>
      <w:ind w:left="720"/>
      <w:contextualSpacing/>
    </w:pPr>
    <w:rPr>
      <w:rFonts w:ascii="Times New Roman" w:eastAsia="Times New Roman" w:hAnsi="Times New Roman"/>
      <w:sz w:val="24"/>
      <w:szCs w:val="24"/>
    </w:rPr>
  </w:style>
  <w:style w:type="table" w:styleId="TableGrid">
    <w:name w:val="Table Grid"/>
    <w:basedOn w:val="TableNormal"/>
    <w:uiPriority w:val="39"/>
    <w:rsid w:val="00993294"/>
    <w:pPr>
      <w:spacing w:after="0" w:line="240" w:lineRule="auto"/>
    </w:pPr>
    <w:rPr>
      <w:rFonts w:eastAsiaTheme="minorEastAsia" w:cs="Times New Roman"/>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C56C3"/>
    <w:rPr>
      <w:rFonts w:asciiTheme="majorHAnsi" w:eastAsiaTheme="majorEastAsia" w:hAnsiTheme="majorHAnsi" w:cstheme="majorBidi"/>
      <w:color w:val="2F5496" w:themeColor="accent1" w:themeShade="BF"/>
      <w:sz w:val="32"/>
      <w:szCs w:val="32"/>
    </w:rPr>
  </w:style>
  <w:style w:type="paragraph" w:styleId="Footer">
    <w:name w:val="footer"/>
    <w:basedOn w:val="Normal"/>
    <w:link w:val="FooterChar"/>
    <w:uiPriority w:val="99"/>
    <w:unhideWhenUsed/>
    <w:rsid w:val="000C56C3"/>
    <w:pPr>
      <w:tabs>
        <w:tab w:val="center" w:pos="4513"/>
        <w:tab w:val="right" w:pos="9026"/>
      </w:tabs>
      <w:spacing w:after="0" w:line="240" w:lineRule="auto"/>
    </w:pPr>
    <w:rPr>
      <w:rFonts w:eastAsiaTheme="minorHAnsi" w:cstheme="minorBidi"/>
      <w:lang w:eastAsia="en-US"/>
    </w:rPr>
  </w:style>
  <w:style w:type="character" w:customStyle="1" w:styleId="FooterChar">
    <w:name w:val="Footer Char"/>
    <w:basedOn w:val="DefaultParagraphFont"/>
    <w:link w:val="Footer"/>
    <w:uiPriority w:val="99"/>
    <w:rsid w:val="000C56C3"/>
  </w:style>
  <w:style w:type="character" w:styleId="Hyperlink">
    <w:name w:val="Hyperlink"/>
    <w:basedOn w:val="DefaultParagraphFont"/>
    <w:uiPriority w:val="99"/>
    <w:unhideWhenUsed/>
    <w:rsid w:val="00A609C1"/>
    <w:rPr>
      <w:color w:val="0563C1" w:themeColor="hyperlink"/>
      <w:u w:val="single"/>
    </w:rPr>
  </w:style>
  <w:style w:type="paragraph" w:styleId="FootnoteText">
    <w:name w:val="footnote text"/>
    <w:basedOn w:val="Normal"/>
    <w:link w:val="FootnoteTextChar"/>
    <w:uiPriority w:val="99"/>
    <w:unhideWhenUsed/>
    <w:rsid w:val="00AC700F"/>
    <w:pPr>
      <w:spacing w:after="0" w:line="240" w:lineRule="auto"/>
    </w:pPr>
    <w:rPr>
      <w:sz w:val="20"/>
      <w:szCs w:val="20"/>
    </w:rPr>
  </w:style>
  <w:style w:type="character" w:customStyle="1" w:styleId="FootnoteTextChar">
    <w:name w:val="Footnote Text Char"/>
    <w:basedOn w:val="DefaultParagraphFont"/>
    <w:link w:val="FootnoteText"/>
    <w:uiPriority w:val="99"/>
    <w:rsid w:val="00AC700F"/>
    <w:rPr>
      <w:rFonts w:eastAsiaTheme="minorEastAsia" w:cs="Times New Roman"/>
      <w:sz w:val="20"/>
      <w:szCs w:val="20"/>
      <w:lang w:eastAsia="en-GB"/>
    </w:rPr>
  </w:style>
  <w:style w:type="character" w:styleId="FootnoteReference">
    <w:name w:val="footnote reference"/>
    <w:basedOn w:val="DefaultParagraphFont"/>
    <w:uiPriority w:val="99"/>
    <w:unhideWhenUsed/>
    <w:rsid w:val="00AC700F"/>
    <w:rPr>
      <w:vertAlign w:val="superscript"/>
    </w:rPr>
  </w:style>
  <w:style w:type="paragraph" w:styleId="NormalWeb">
    <w:name w:val="Normal (Web)"/>
    <w:basedOn w:val="Normal"/>
    <w:uiPriority w:val="99"/>
    <w:unhideWhenUsed/>
    <w:rsid w:val="00923732"/>
    <w:pPr>
      <w:spacing w:before="100" w:beforeAutospacing="1" w:after="100" w:afterAutospacing="1" w:line="240" w:lineRule="auto"/>
    </w:pPr>
    <w:rPr>
      <w:rFonts w:ascii="Times New Roman" w:eastAsia="Times New Roman" w:hAnsi="Times New Roman"/>
      <w:sz w:val="24"/>
      <w:szCs w:val="24"/>
      <w:lang w:val="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97235">
      <w:bodyDiv w:val="1"/>
      <w:marLeft w:val="0"/>
      <w:marRight w:val="0"/>
      <w:marTop w:val="0"/>
      <w:marBottom w:val="0"/>
      <w:divBdr>
        <w:top w:val="none" w:sz="0" w:space="0" w:color="auto"/>
        <w:left w:val="none" w:sz="0" w:space="0" w:color="auto"/>
        <w:bottom w:val="none" w:sz="0" w:space="0" w:color="auto"/>
        <w:right w:val="none" w:sz="0" w:space="0" w:color="auto"/>
      </w:divBdr>
    </w:div>
    <w:div w:id="162552813">
      <w:bodyDiv w:val="1"/>
      <w:marLeft w:val="0"/>
      <w:marRight w:val="0"/>
      <w:marTop w:val="0"/>
      <w:marBottom w:val="0"/>
      <w:divBdr>
        <w:top w:val="none" w:sz="0" w:space="0" w:color="auto"/>
        <w:left w:val="none" w:sz="0" w:space="0" w:color="auto"/>
        <w:bottom w:val="none" w:sz="0" w:space="0" w:color="auto"/>
        <w:right w:val="none" w:sz="0" w:space="0" w:color="auto"/>
      </w:divBdr>
    </w:div>
    <w:div w:id="947393635">
      <w:bodyDiv w:val="1"/>
      <w:marLeft w:val="0"/>
      <w:marRight w:val="0"/>
      <w:marTop w:val="0"/>
      <w:marBottom w:val="0"/>
      <w:divBdr>
        <w:top w:val="none" w:sz="0" w:space="0" w:color="auto"/>
        <w:left w:val="none" w:sz="0" w:space="0" w:color="auto"/>
        <w:bottom w:val="none" w:sz="0" w:space="0" w:color="auto"/>
        <w:right w:val="none" w:sz="0" w:space="0" w:color="auto"/>
      </w:divBdr>
    </w:div>
    <w:div w:id="1354842447">
      <w:bodyDiv w:val="1"/>
      <w:marLeft w:val="0"/>
      <w:marRight w:val="0"/>
      <w:marTop w:val="0"/>
      <w:marBottom w:val="0"/>
      <w:divBdr>
        <w:top w:val="none" w:sz="0" w:space="0" w:color="auto"/>
        <w:left w:val="none" w:sz="0" w:space="0" w:color="auto"/>
        <w:bottom w:val="none" w:sz="0" w:space="0" w:color="auto"/>
        <w:right w:val="none" w:sz="0" w:space="0" w:color="auto"/>
      </w:divBdr>
    </w:div>
    <w:div w:id="1703286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4432/C58K54" TargetMode="External"/><Relationship Id="rId3" Type="http://schemas.openxmlformats.org/officeDocument/2006/relationships/settings" Target="settings.xml"/><Relationship Id="rId7" Type="http://schemas.openxmlformats.org/officeDocument/2006/relationships/hyperlink" Target="https://www.kaggle.com/datasets/robikscube/hourly-energy-consump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7</Pages>
  <Words>2590</Words>
  <Characters>14766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Cleland, Ian</dc:creator>
  <cp:keywords/>
  <dc:description/>
  <cp:lastModifiedBy>Muhammad Usman</cp:lastModifiedBy>
  <cp:revision>45</cp:revision>
  <dcterms:created xsi:type="dcterms:W3CDTF">2019-03-25T09:02:00Z</dcterms:created>
  <dcterms:modified xsi:type="dcterms:W3CDTF">2026-06-04T17:08:00Z</dcterms:modified>
</cp:coreProperties>
</file>