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Smart Energy Consumption Forecasting Using Deep Learning</w:t>
        <w:br/>
        <w:t>and Time Series Analytics</w:t>
      </w:r>
    </w:p>
    <w:p/>
    <w:p>
      <w:pPr>
        <w:jc w:val="center"/>
      </w:pPr>
      <w:r>
        <w:rPr>
          <w:rFonts w:ascii="Times New Roman" w:hAnsi="Times New Roman"/>
          <w:sz w:val="20"/>
        </w:rPr>
        <w:t>2025–2026</w:t>
      </w:r>
    </w:p>
    <w:p/>
    <w:p>
      <w:pPr>
        <w:spacing w:before="160" w:after="40"/>
        <w:jc w:val="center"/>
      </w:pPr>
      <w:r>
        <w:rPr>
          <w:rFonts w:ascii="Times New Roman" w:hAnsi="Times New Roman"/>
          <w:b/>
          <w:sz w:val="20"/>
        </w:rPr>
        <w:t>I. INTRODUCTION</w:t>
      </w:r>
    </w:p>
    <w:p>
      <w:pPr>
        <w:spacing w:after="0"/>
        <w:ind w:firstLine="288"/>
        <w:jc w:val="both"/>
      </w:pPr>
      <w:r>
        <w:rPr>
          <w:rFonts w:ascii="Times New Roman" w:hAnsi="Times New Roman"/>
          <w:sz w:val="20"/>
        </w:rPr>
        <w:t>Global electricity demand is projected to increase by more than 50% by 2050, driven by population growth, industrial expansion, and the accelerating electrification of transport and heating systems [3]. Within this context, accurate short-term energy consumption forecasting is indispensable for the reliable operation of smart grids, the cost-efficient scheduling of generation assets, and the integration of variable renewable energy sources. Demand forecast errors directly translate into economic penalties — either through unnecessary reserve capacity procurement when forecasts overestimate load, or through load-shedding and grid instability when demand is underestimated. The need for forecasting models that are simultaneously accurate, computationally tractable, and generalisable across operational scales remains a central challenge in energy systems research.</w:t>
      </w:r>
    </w:p>
    <w:p>
      <w:pPr>
        <w:spacing w:after="0"/>
        <w:ind w:firstLine="288"/>
        <w:jc w:val="both"/>
      </w:pPr>
      <w:r>
        <w:rPr>
          <w:rFonts w:ascii="Times New Roman" w:hAnsi="Times New Roman"/>
          <w:sz w:val="20"/>
        </w:rPr>
        <w:t>Classical statistical approaches, including Autoregressive Integrated Moving Average (ARIMA) and exponential smoothing state-space models, have historically dominated short-term load forecasting [10]. These methods offer theoretical interpretability and closed-form parameter estimation, but their underlying linearity assumptions constrain their ability to represent the complex non-linear dynamics, multi-scale seasonal interactions, and irregular consumption behaviours observed in real-world energy data. As smart metering infrastructure has expanded the volume and granularity of available consumption data, the performance gap between statistical baselines and data-driven approaches has widened considerably [3].</w:t>
      </w:r>
    </w:p>
    <w:p>
      <w:pPr>
        <w:spacing w:after="0"/>
        <w:ind w:firstLine="288"/>
        <w:jc w:val="both"/>
      </w:pPr>
      <w:r>
        <w:rPr>
          <w:rFonts w:ascii="Times New Roman" w:hAnsi="Times New Roman"/>
          <w:sz w:val="20"/>
        </w:rPr>
        <w:t>Machine learning methods, particularly ensemble tree algorithms such as Random Forest and XGBoost, have demonstrated strong performance on structured energy time series by exploiting engineered temporal features including lag variables, calendar indicators, and rolling statistics [2]. Deep learning architectures have further extended these capabilities: Long Short-Term Memory (LSTM) networks [1] and Gated Recurrent Unit (GRU) networks [9] leverage learnable memory mechanisms to capture long-range sequential dependencies without manual feature construction, while hybrid Convolutional Neural Network–LSTM (CNN-LSTM) architectures [4] combine local pattern extraction with temporal modelling to achieve state-of-the-art results on several benchmark datasets. More recently, transformer-based architectures employing self-attention mechanisms have demonstrated superior performance on longer forecasting horizons [5]. Despite this diversity of available approaches, a consistent limitation across the existing literature is the absence of rigorous, controlled comparisons between tree-based and deep learning models under identical experimental conditions and across datasets of contrasting operational scale [3].</w:t>
      </w:r>
    </w:p>
    <w:p>
      <w:pPr>
        <w:spacing w:after="0"/>
        <w:ind w:firstLine="288"/>
        <w:jc w:val="both"/>
      </w:pPr>
      <w:r>
        <w:rPr>
          <w:rFonts w:ascii="Times New Roman" w:hAnsi="Times New Roman"/>
          <w:sz w:val="20"/>
        </w:rPr>
        <w:t>This paper addresses that gap by presenting a systematic comparative evaluation of five forecasting models — Random Forest, XGBoost, LSTM, GRU, and CNN-LSTM — applied to two publicly available energy datasets spanning markedly different operational scales. The first is the PJM East Hourly Energy Consumption Dataset [6], comprising 145,366 hourly demand readings from a major U.S. regional interconnection over a 17-year period (2002–2018). The second is the UCI Individual Household Electric Power Consumption Dataset [7], resampled from one-minute to hourly resolution and yielding approximately 34,589 observations from a single residential premises in France. A unified preprocessing pipeline, consistent 80/20 chronological train-test split, and standardised evaluation protocol are applied to all models and both datasets to ensure the validity and reproducibility of cross-model performance comparisons.</w:t>
      </w:r>
    </w:p>
    <w:p>
      <w:pPr>
        <w:spacing w:after="0"/>
        <w:ind w:firstLine="288"/>
        <w:jc w:val="both"/>
      </w:pPr>
      <w:r>
        <w:rPr>
          <w:rFonts w:ascii="Times New Roman" w:hAnsi="Times New Roman"/>
          <w:sz w:val="20"/>
        </w:rPr>
        <w:t>The principal contributions of this paper are as follows:</w:t>
      </w:r>
    </w:p>
    <w:p>
      <w:pPr>
        <w:spacing w:after="0"/>
        <w:ind w:left="288"/>
        <w:jc w:val="both"/>
      </w:pPr>
      <w:r>
        <w:rPr>
          <w:rFonts w:ascii="Times New Roman" w:hAnsi="Times New Roman"/>
          <w:sz w:val="20"/>
        </w:rPr>
        <w:t>1) A reproducible multi-model benchmark comparing two tree-based ensemble methods and three deep learning architectures across two energy datasets of contrasting operational scale and noise characteristics, under strictly identical experimental conditions.</w:t>
      </w:r>
    </w:p>
    <w:p>
      <w:pPr>
        <w:spacing w:after="0"/>
        <w:ind w:left="288"/>
        <w:jc w:val="both"/>
      </w:pPr>
      <w:r>
        <w:rPr>
          <w:rFonts w:ascii="Times New Roman" w:hAnsi="Times New Roman"/>
          <w:sz w:val="20"/>
        </w:rPr>
        <w:t>2) A six-stage preprocessing pipeline — encompassing duplicate removal, gap imputation, IQR-based outlier clipping, seven-feature time-based augmentation, Min-Max normalisation, and 24-hour sliding-window sequence construction — documented for full reproducibility.</w:t>
      </w:r>
    </w:p>
    <w:p>
      <w:pPr>
        <w:spacing w:after="0"/>
        <w:ind w:left="288"/>
        <w:jc w:val="both"/>
      </w:pPr>
      <w:r>
        <w:rPr>
          <w:rFonts w:ascii="Times New Roman" w:hAnsi="Times New Roman"/>
          <w:sz w:val="20"/>
        </w:rPr>
        <w:t>3) A structured exploratory analysis characterising temporal autocorrelation, diurnal and seasonal demand cycles, and feature-target correlations for both datasets, providing empirical justification for the chosen window size and feature set.</w:t>
      </w:r>
    </w:p>
    <w:p>
      <w:pPr>
        <w:spacing w:after="0"/>
        <w:ind w:left="288"/>
        <w:jc w:val="both"/>
      </w:pPr>
      <w:r>
        <w:rPr>
          <w:rFonts w:ascii="Times New Roman" w:hAnsi="Times New Roman"/>
          <w:sz w:val="20"/>
        </w:rPr>
        <w:t>4) An empirical demonstration that Random Forest achieves R² = 0.9962 on the PJM East regional grid dataset — outperforming LSTM (R² = 0.9928), GRU (R² = 0.9227), and CNN-LSTM (R² = 0.9124) — establishing that well-configured ensemble tree methods can match or exceed recurrent deep learning architectures on large-scale, periodically structured energy time series.</w:t>
      </w:r>
    </w:p>
    <w:p>
      <w:pPr>
        <w:spacing w:after="0"/>
        <w:ind w:firstLine="288"/>
        <w:jc w:val="both"/>
      </w:pPr>
      <w:r>
        <w:rPr>
          <w:rFonts w:ascii="Times New Roman" w:hAnsi="Times New Roman"/>
          <w:sz w:val="20"/>
        </w:rPr>
        <w:t>The remainder of this paper is organised as follows. Section II reviews related work across statistical, machine learning, and deep learning forecasting approaches. Section III describes the datasets, preprocessing methodology, model architectures, training protocol, and evaluation metrics. Section IV presents and analyses experimental results across both datasets. Section V concludes with a summary of findings and directions for future research.</w:t>
      </w:r>
    </w:p>
    <w:p/>
    <w:p>
      <w:pPr>
        <w:spacing w:before="160" w:after="40"/>
        <w:jc w:val="center"/>
      </w:pPr>
      <w:r>
        <w:rPr>
          <w:rFonts w:ascii="Times New Roman" w:hAnsi="Times New Roman"/>
          <w:b/>
          <w:sz w:val="20"/>
        </w:rPr>
        <w:t>II. RELATED WORK</w:t>
      </w:r>
    </w:p>
    <w:p>
      <w:pPr>
        <w:spacing w:before="80" w:after="0"/>
      </w:pPr>
      <w:r>
        <w:rPr>
          <w:rFonts w:ascii="Times New Roman" w:hAnsi="Times New Roman"/>
          <w:b/>
          <w:i/>
          <w:sz w:val="20"/>
        </w:rPr>
        <w:t>A. Statistical Approaches</w:t>
      </w:r>
    </w:p>
    <w:p>
      <w:pPr>
        <w:spacing w:after="0"/>
        <w:ind w:firstLine="288"/>
        <w:jc w:val="both"/>
      </w:pPr>
      <w:r>
        <w:rPr>
          <w:rFonts w:ascii="Times New Roman" w:hAnsi="Times New Roman"/>
          <w:sz w:val="20"/>
        </w:rPr>
        <w:t>Classical time series methods such as ARIMA and seasonal decomposition have long formed the baseline for energy forecasting. Hyndman and Athanasopoulos [10] provide a comprehensive treatment of exponential smoothing and ARIMA models, noting their theoretical simplicity and interpretability but highlighting their fundamental constraint: linearity assumptions prevent effective modelling of the complex, non-stationary patterns prevalent in real-world energy consumption data. These methods have largely been superseded in accuracy-critical applications by machine learning and deep learning approaches.</w:t>
      </w:r>
    </w:p>
    <w:p>
      <w:pPr>
        <w:spacing w:before="80" w:after="0"/>
      </w:pPr>
      <w:r>
        <w:rPr>
          <w:rFonts w:ascii="Times New Roman" w:hAnsi="Times New Roman"/>
          <w:b/>
          <w:i/>
          <w:sz w:val="20"/>
        </w:rPr>
        <w:t>B. Machine Learning Baselines</w:t>
      </w:r>
    </w:p>
    <w:p>
      <w:pPr>
        <w:spacing w:after="0"/>
        <w:ind w:firstLine="288"/>
        <w:jc w:val="both"/>
      </w:pPr>
      <w:r>
        <w:rPr>
          <w:rFonts w:ascii="Times New Roman" w:hAnsi="Times New Roman"/>
          <w:sz w:val="20"/>
        </w:rPr>
        <w:t>Ensemble tree methods have established themselves as competitive baselines in energy forecasting. Marino et al. [2] demonstrated that carefully engineered input features — including lag values, rolling statistics, and temporal indicators — substantially improve prediction performance across model classes, underscoring the importance of feature construction in tabular energy data settings. Their work highlighted that model performance is often more sensitive to feature selection than to architectural complexity, a finding consistent with the results of this study.</w:t>
      </w:r>
    </w:p>
    <w:p>
      <w:pPr>
        <w:spacing w:before="80" w:after="0"/>
      </w:pPr>
      <w:r>
        <w:rPr>
          <w:rFonts w:ascii="Times New Roman" w:hAnsi="Times New Roman"/>
          <w:b/>
          <w:i/>
          <w:sz w:val="20"/>
        </w:rPr>
        <w:t>C. Deep Learning Architectures</w:t>
      </w:r>
    </w:p>
    <w:p>
      <w:pPr>
        <w:spacing w:after="0"/>
        <w:ind w:firstLine="288"/>
        <w:jc w:val="both"/>
      </w:pPr>
      <w:r>
        <w:rPr>
          <w:rFonts w:ascii="Times New Roman" w:hAnsi="Times New Roman"/>
          <w:sz w:val="20"/>
        </w:rPr>
        <w:t>Kong et al. [1] proposed an LSTM-based short-term residential load forecasting model and demonstrated that recurrent neural networks effectively capture temporal dependencies in electricity consumption sequences, outperforming ARIMA and shallow machine learning models. Sehovac and Grolinger [9] subsequently showed that GRU networks achieve comparable accuracy to LSTM while requiring fewer parameters, making them computationally advantageous for large-scale deployment. Li et al. [4] introduced a hybrid CNN-LSTM architecture demonstrating that convolutional layers extract local temporal features that complement the global sequence modelling of LSTM layers. Zhou et al. [5] extended this direction using transformer-based self-attention mechanisms, achieving superior performance on longer forecasting horizons where standard LSTMs suffer from vanishing gradient effects.</w:t>
      </w:r>
    </w:p>
    <w:p>
      <w:pPr>
        <w:spacing w:before="80" w:after="0"/>
      </w:pPr>
      <w:r>
        <w:rPr>
          <w:rFonts w:ascii="Times New Roman" w:hAnsi="Times New Roman"/>
          <w:b/>
          <w:i/>
          <w:sz w:val="20"/>
        </w:rPr>
        <w:t>D. Large-Scale Review and Benchmark Studies</w:t>
      </w:r>
    </w:p>
    <w:p>
      <w:pPr>
        <w:spacing w:after="0"/>
        <w:ind w:firstLine="288"/>
        <w:jc w:val="both"/>
      </w:pPr>
      <w:r>
        <w:rPr>
          <w:rFonts w:ascii="Times New Roman" w:hAnsi="Times New Roman"/>
          <w:sz w:val="20"/>
        </w:rPr>
        <w:t>Wang et al. [3] conducted a comprehensive review of smart meter data analytics in IEEE Transactions on Smart Grid, systematically identifying deep learning as the most promising class of methods for large-scale energy prediction. Their review explicitly called for multi-model comparative studies under consistent experimental conditions — a gap that the present paper directly addresses. The authors noted that many existing studies evaluate single architectures in isolation, limiting the generalisability of reported performance figures.</w:t>
      </w:r>
    </w:p>
    <w:p>
      <w:pPr>
        <w:spacing w:before="80" w:after="0"/>
      </w:pPr>
      <w:r>
        <w:rPr>
          <w:rFonts w:ascii="Times New Roman" w:hAnsi="Times New Roman"/>
          <w:b/>
          <w:i/>
          <w:sz w:val="20"/>
        </w:rPr>
        <w:t>E. Household vs. Regional Grid Forecasting</w:t>
      </w:r>
    </w:p>
    <w:p>
      <w:pPr>
        <w:spacing w:after="0"/>
        <w:ind w:firstLine="288"/>
        <w:jc w:val="both"/>
      </w:pPr>
      <w:r>
        <w:rPr>
          <w:rFonts w:ascii="Times New Roman" w:hAnsi="Times New Roman"/>
          <w:sz w:val="20"/>
        </w:rPr>
        <w:t>The forecasting difficulty differs substantially between grid-scale and household-level data. Regional grid demand aggregates the consumption of millions of consumers, producing smoother, more periodic time series with lower relative variability. Household demand is characterised by sudden stochastic spikes driven by individual appliance switching events, resulting in high noise and low predictability. This distinction is empirically confirmed in this study: models achieve R² &gt; 0.99 on the PJM East grid data but a maximum R² of 0.5655 on the UCI household dataset.</w:t>
      </w:r>
    </w:p>
    <w:p>
      <w:pPr>
        <w:spacing w:before="80" w:after="0"/>
      </w:pPr>
      <w:r>
        <w:rPr>
          <w:rFonts w:ascii="Times New Roman" w:hAnsi="Times New Roman"/>
          <w:b/>
          <w:i/>
          <w:sz w:val="20"/>
        </w:rPr>
        <w:t>F. Research Gap Addressed by This Study</w:t>
      </w:r>
    </w:p>
    <w:p>
      <w:pPr>
        <w:spacing w:after="0"/>
        <w:ind w:firstLine="288"/>
        <w:jc w:val="both"/>
      </w:pPr>
      <w:r>
        <w:rPr>
          <w:rFonts w:ascii="Times New Roman" w:hAnsi="Times New Roman"/>
          <w:sz w:val="20"/>
        </w:rPr>
        <w:t>Several limitations persist across the existing literature. First, comparative evaluations rarely include both tree-based and deep learning models under identical conditions [3]. Second, many studies focus exclusively on forecasting accuracy without structured time series analytics such as autocorrelation analysis, seasonal decomposition, or feature correlation mapping [2]. Third, few studies systematically evaluate model performance across multiple datasets of contrasting scale and complexity. This paper addresses all three gaps within a unified, reproducible experimental framework.</w:t>
      </w:r>
    </w:p>
    <w:p/>
    <w:p>
      <w:pPr>
        <w:spacing w:before="160" w:after="40"/>
        <w:jc w:val="center"/>
      </w:pPr>
      <w:r>
        <w:rPr>
          <w:rFonts w:ascii="Times New Roman" w:hAnsi="Times New Roman"/>
          <w:b/>
          <w:sz w:val="20"/>
        </w:rPr>
        <w:t>III. METHODOLOGY</w:t>
      </w:r>
    </w:p>
    <w:p>
      <w:pPr>
        <w:spacing w:before="80" w:after="0"/>
      </w:pPr>
      <w:r>
        <w:rPr>
          <w:rFonts w:ascii="Times New Roman" w:hAnsi="Times New Roman"/>
          <w:b/>
          <w:i/>
          <w:sz w:val="20"/>
        </w:rPr>
        <w:t>A. Datasets</w:t>
      </w:r>
    </w:p>
    <w:p>
      <w:pPr>
        <w:spacing w:after="0"/>
        <w:ind w:firstLine="288"/>
        <w:jc w:val="both"/>
      </w:pPr>
      <w:r>
        <w:rPr>
          <w:rFonts w:ascii="Times New Roman" w:hAnsi="Times New Roman"/>
          <w:sz w:val="20"/>
        </w:rPr>
        <w:t>Two publicly available energy datasets were selected to enable evaluation across contrasting operational scales and data characteristics.</w:t>
      </w:r>
    </w:p>
    <w:p>
      <w:pPr>
        <w:spacing w:after="0"/>
        <w:ind w:firstLine="288"/>
        <w:jc w:val="both"/>
      </w:pPr>
      <w:r>
        <w:rPr>
          <w:rFonts w:ascii="Times New Roman" w:hAnsi="Times New Roman"/>
          <w:sz w:val="20"/>
        </w:rPr>
        <w:t>The PJM East Hourly Energy Consumption Dataset [6] contains 145,366 hourly electricity demand readings in megawatts (MW) from the PJM East interconnection region of the United States, spanning August 2001 to August 2018. The dataset comprises two columns — a UTC timestamp and a demand value — and exhibits strong daily, weekly, and seasonal periodicity, with mean demand of approximately 40,600 MW and significant summer demand peaks attributable to cooling loads.</w:t>
      </w:r>
    </w:p>
    <w:p>
      <w:pPr>
        <w:spacing w:after="0"/>
        <w:ind w:firstLine="288"/>
        <w:jc w:val="both"/>
      </w:pPr>
      <w:r>
        <w:rPr>
          <w:rFonts w:ascii="Times New Roman" w:hAnsi="Times New Roman"/>
          <w:sz w:val="20"/>
        </w:rPr>
        <w:t>The UCI Individual Household Electric Power Consumption Dataset [7] records nine electrical measurements for a single residential property in Sceaux, France, at one-minute intervals from December 2006 to November 2010. The nine variables include global active power, global reactive power, voltage, global intensity, and three sub-metered energy readings. Approximately 1.25% of minute-level observations are missing. For this study, the dataset was resampled to hourly resolution by computing per-hour means, yielding approximately 34,589 hourly records. The forecasting target was global active power (kW).</w:t>
      </w:r>
    </w:p>
    <w:p>
      <w:pPr>
        <w:spacing w:before="80" w:after="0"/>
      </w:pPr>
      <w:r>
        <w:rPr>
          <w:rFonts w:ascii="Times New Roman" w:hAnsi="Times New Roman"/>
          <w:b/>
          <w:i/>
          <w:sz w:val="20"/>
        </w:rPr>
        <w:t>B. Preprocessing Pipeline</w:t>
      </w:r>
    </w:p>
    <w:p>
      <w:pPr>
        <w:spacing w:after="0"/>
        <w:ind w:firstLine="288"/>
        <w:jc w:val="both"/>
      </w:pPr>
      <w:r>
        <w:rPr>
          <w:rFonts w:ascii="Times New Roman" w:hAnsi="Times New Roman"/>
          <w:sz w:val="20"/>
        </w:rPr>
        <w:t>Both datasets were subjected to an identical six-step preprocessing pipeline implemented using Python Pandas and NumPy to ensure consistency across all model evaluations.</w:t>
      </w:r>
    </w:p>
    <w:p>
      <w:pPr>
        <w:spacing w:after="0"/>
        <w:ind w:left="288"/>
        <w:jc w:val="both"/>
      </w:pPr>
      <w:r>
        <w:rPr>
          <w:rFonts w:ascii="Times New Roman" w:hAnsi="Times New Roman"/>
          <w:sz w:val="20"/>
        </w:rPr>
        <w:t>Step 1 — Timestamp parsing and resampling: Datetime indices were parsed and set as the dataframe index. For the UCI dataset, per-minute values were aggregated to hourly means. Missing-value indicators ("?") were replaced with NaN prior to aggregation.</w:t>
      </w:r>
    </w:p>
    <w:p>
      <w:pPr>
        <w:spacing w:after="0"/>
        <w:ind w:left="288"/>
        <w:jc w:val="both"/>
      </w:pPr>
      <w:r>
        <w:rPr>
          <w:rFonts w:ascii="Times New Roman" w:hAnsi="Times New Roman"/>
          <w:sz w:val="20"/>
        </w:rPr>
        <w:t>Step 2 — Missing value imputation: A complete hourly date range was constructed and used to reindex each dataset. Gaps were filled using forward-fill followed by backward-fill to preserve temporal continuity without introducing future data leakage.</w:t>
      </w:r>
    </w:p>
    <w:p>
      <w:pPr>
        <w:spacing w:after="0"/>
        <w:ind w:left="288"/>
        <w:jc w:val="both"/>
      </w:pPr>
      <w:r>
        <w:rPr>
          <w:rFonts w:ascii="Times New Roman" w:hAnsi="Times New Roman"/>
          <w:sz w:val="20"/>
        </w:rPr>
        <w:t>Step 3 — Duplicate removal: Duplicate timestamps, arising from daylight saving time transitions, were identified and removed by retaining the first occurrence.</w:t>
      </w:r>
    </w:p>
    <w:p>
      <w:pPr>
        <w:spacing w:after="0"/>
        <w:ind w:left="288"/>
        <w:jc w:val="both"/>
      </w:pPr>
      <w:r>
        <w:rPr>
          <w:rFonts w:ascii="Times New Roman" w:hAnsi="Times New Roman"/>
          <w:sz w:val="20"/>
        </w:rPr>
        <w:t>Step 4 — Outlier clipping: Values falling below Q₁ − 1.5·IQR or above Q₃ + 1.5·IQR were clipped to the respective boundary, preserving sequence length while reducing the influence of measurement anomalies.</w:t>
      </w:r>
    </w:p>
    <w:p>
      <w:pPr>
        <w:spacing w:after="0"/>
        <w:ind w:left="288"/>
        <w:jc w:val="both"/>
      </w:pPr>
      <w:r>
        <w:rPr>
          <w:rFonts w:ascii="Times New Roman" w:hAnsi="Times New Roman"/>
          <w:sz w:val="20"/>
        </w:rPr>
        <w:t>Step 5 — Time-feature engineering: Seven calendar features were appended to each observation: hour of day (0–23), day of week (0–6), day of month (1–31), month (1–12), year, a binary weekend indicator, and a season label (0–3).</w:t>
      </w:r>
    </w:p>
    <w:p>
      <w:pPr>
        <w:spacing w:after="0"/>
        <w:ind w:left="288"/>
        <w:jc w:val="both"/>
      </w:pPr>
      <w:r>
        <w:rPr>
          <w:rFonts w:ascii="Times New Roman" w:hAnsi="Times New Roman"/>
          <w:sz w:val="20"/>
        </w:rPr>
        <w:t>Step 6 — Normalisation and sequence windowing: The target variable was scaled to [0, 1] using Min-Max normalisation. The scaler was fitted exclusively on the training partition. A sliding window of W = 24 time steps was then applied to generate input-output pairs according to equation (1):</w:t>
      </w:r>
    </w:p>
    <w:p>
      <w:pPr>
        <w:spacing w:before="80" w:after="80"/>
        <w:jc w:val="center"/>
      </w:pPr>
      <w:r>
        <w:rPr>
          <w:rFonts w:ascii="Times New Roman" w:hAnsi="Times New Roman"/>
          <w:i/>
          <w:sz w:val="20"/>
        </w:rPr>
        <w:t>X(t) = [x(t−W+1), x(t−W+2), …, x(t)],   y(t) = x(t+1),   W = 24    (1)</w:t>
      </w:r>
    </w:p>
    <w:p>
      <w:pPr>
        <w:spacing w:after="0"/>
        <w:ind w:firstLine="288"/>
        <w:jc w:val="both"/>
      </w:pPr>
      <w:r>
        <w:rPr>
          <w:rFonts w:ascii="Times New Roman" w:hAnsi="Times New Roman"/>
          <w:sz w:val="20"/>
        </w:rPr>
        <w:t>where x(t) denotes the normalised consumption value at hour t, X(t) ∈ ℝ²⁴ is the input feature vector, and y(t) is the prediction target.</w:t>
      </w:r>
    </w:p>
    <w:p>
      <w:pPr>
        <w:spacing w:before="80" w:after="0"/>
      </w:pPr>
      <w:r>
        <w:rPr>
          <w:rFonts w:ascii="Times New Roman" w:hAnsi="Times New Roman"/>
          <w:b/>
          <w:i/>
          <w:sz w:val="20"/>
        </w:rPr>
        <w:t>C. Exploratory Data Analysis</w:t>
      </w:r>
    </w:p>
    <w:p>
      <w:pPr>
        <w:spacing w:after="0"/>
        <w:ind w:firstLine="288"/>
        <w:jc w:val="both"/>
      </w:pPr>
      <w:r>
        <w:rPr>
          <w:rFonts w:ascii="Times New Roman" w:hAnsi="Times New Roman"/>
          <w:sz w:val="20"/>
        </w:rPr>
        <w:t>Four structured analyses were conducted on each dataset prior to model training to characterise the temporal structure and guide model selection decisions.</w:t>
      </w:r>
    </w:p>
    <w:p>
      <w:pPr>
        <w:spacing w:after="0"/>
        <w:ind w:firstLine="288"/>
        <w:jc w:val="both"/>
      </w:pPr>
      <w:r>
        <w:rPr>
          <w:rFonts w:ascii="Times New Roman" w:hAnsi="Times New Roman"/>
          <w:sz w:val="20"/>
        </w:rPr>
        <w:t>(i) Time series visualisation: The complete hourly consumption series was plotted to identify long-term trends, inter-annual variability, and anomalous periods. Fig. 1 shows the PJM East demand series, revealing a gradual downward trend in peak demand over the 2002–2018 period, consistent with improvements in energy efficiency and industrial load reduction.</w:t>
      </w:r>
    </w:p>
    <w:p>
      <w:pPr>
        <w:jc w:val="center"/>
      </w:pPr>
      <w:r>
        <w:drawing>
          <wp:inline xmlns:a="http://schemas.openxmlformats.org/drawingml/2006/main" xmlns:pic="http://schemas.openxmlformats.org/drawingml/2006/picture">
            <wp:extent cx="5029200" cy="2179937"/>
            <wp:docPr id="1" name="Picture 1"/>
            <wp:cNvGraphicFramePr>
              <a:graphicFrameLocks noChangeAspect="1"/>
            </wp:cNvGraphicFramePr>
            <a:graphic>
              <a:graphicData uri="http://schemas.openxmlformats.org/drawingml/2006/picture">
                <pic:pic>
                  <pic:nvPicPr>
                    <pic:cNvPr id="0" name="pjm_timeseries.png"/>
                    <pic:cNvPicPr/>
                  </pic:nvPicPr>
                  <pic:blipFill>
                    <a:blip r:embed="rId9"/>
                    <a:stretch>
                      <a:fillRect/>
                    </a:stretch>
                  </pic:blipFill>
                  <pic:spPr>
                    <a:xfrm>
                      <a:off x="0" y="0"/>
                      <a:ext cx="5029200" cy="2179937"/>
                    </a:xfrm>
                    <a:prstGeom prst="rect"/>
                  </pic:spPr>
                </pic:pic>
              </a:graphicData>
            </a:graphic>
          </wp:inline>
        </w:drawing>
      </w:r>
    </w:p>
    <w:p>
      <w:pPr>
        <w:spacing w:before="40" w:after="120"/>
        <w:jc w:val="center"/>
      </w:pPr>
      <w:r>
        <w:rPr>
          <w:rFonts w:ascii="Times New Roman" w:hAnsi="Times New Roman"/>
          <w:sz w:val="18"/>
        </w:rPr>
        <w:t>Fig. 1. PJM East hourly electricity demand (MW), 2002–2018.</w:t>
      </w:r>
    </w:p>
    <w:p>
      <w:pPr>
        <w:spacing w:after="0"/>
        <w:ind w:firstLine="288"/>
        <w:jc w:val="both"/>
      </w:pPr>
      <w:r>
        <w:rPr>
          <w:rFonts w:ascii="Times New Roman" w:hAnsi="Times New Roman"/>
          <w:sz w:val="20"/>
        </w:rPr>
        <w:t>(ii) Seasonal pattern analysis: Mean consumption was computed as a function of hour of day, day of week, month, and season. Fig. 2 presents these multi-scale seasonal profiles for the PJM East dataset, confirming a pronounced dual-peak daily profile (morning and evening), elevated weekday demand relative to weekends, and a summer maximum attributable to cooling loads.</w:t>
      </w:r>
    </w:p>
    <w:p>
      <w:pPr>
        <w:jc w:val="center"/>
      </w:pPr>
      <w:r>
        <w:drawing>
          <wp:inline xmlns:a="http://schemas.openxmlformats.org/drawingml/2006/main" xmlns:pic="http://schemas.openxmlformats.org/drawingml/2006/picture">
            <wp:extent cx="5029200" cy="1371814"/>
            <wp:docPr id="2" name="Picture 2"/>
            <wp:cNvGraphicFramePr>
              <a:graphicFrameLocks noChangeAspect="1"/>
            </wp:cNvGraphicFramePr>
            <a:graphic>
              <a:graphicData uri="http://schemas.openxmlformats.org/drawingml/2006/picture">
                <pic:pic>
                  <pic:nvPicPr>
                    <pic:cNvPr id="0" name="pjm_patterns.png"/>
                    <pic:cNvPicPr/>
                  </pic:nvPicPr>
                  <pic:blipFill>
                    <a:blip r:embed="rId10"/>
                    <a:stretch>
                      <a:fillRect/>
                    </a:stretch>
                  </pic:blipFill>
                  <pic:spPr>
                    <a:xfrm>
                      <a:off x="0" y="0"/>
                      <a:ext cx="5029200" cy="1371814"/>
                    </a:xfrm>
                    <a:prstGeom prst="rect"/>
                  </pic:spPr>
                </pic:pic>
              </a:graphicData>
            </a:graphic>
          </wp:inline>
        </w:drawing>
      </w:r>
    </w:p>
    <w:p>
      <w:pPr>
        <w:spacing w:before="40" w:after="120"/>
        <w:jc w:val="center"/>
      </w:pPr>
      <w:r>
        <w:rPr>
          <w:rFonts w:ascii="Times New Roman" w:hAnsi="Times New Roman"/>
          <w:sz w:val="18"/>
        </w:rPr>
        <w:t>Fig. 2. PJM East seasonal demand patterns: hourly, daily, monthly, and seasonal averages.</w:t>
      </w:r>
    </w:p>
    <w:p>
      <w:pPr>
        <w:spacing w:after="0"/>
        <w:ind w:firstLine="288"/>
        <w:jc w:val="both"/>
      </w:pPr>
      <w:r>
        <w:rPr>
          <w:rFonts w:ascii="Times New Roman" w:hAnsi="Times New Roman"/>
          <w:sz w:val="20"/>
        </w:rPr>
        <w:t>(iii) Autocorrelation analysis: Autocorrelation Function (ACF) and Partial Autocorrelation Function (PACF) plots were computed for both datasets. As shown in Fig. 3, the PJM East series exhibits strong autocorrelation at lag-24 (one full day), empirically justifying the selection of a 24-hour look-back window. This finding eliminates reliance on arbitrary window-size selection from prior literature and grounds the choice in the dataset's own statistical structure.</w:t>
      </w:r>
    </w:p>
    <w:p>
      <w:pPr>
        <w:jc w:val="center"/>
      </w:pPr>
      <w:r>
        <w:drawing>
          <wp:inline xmlns:a="http://schemas.openxmlformats.org/drawingml/2006/main" xmlns:pic="http://schemas.openxmlformats.org/drawingml/2006/picture">
            <wp:extent cx="5029200" cy="1226247"/>
            <wp:docPr id="3" name="Picture 3"/>
            <wp:cNvGraphicFramePr>
              <a:graphicFrameLocks noChangeAspect="1"/>
            </wp:cNvGraphicFramePr>
            <a:graphic>
              <a:graphicData uri="http://schemas.openxmlformats.org/drawingml/2006/picture">
                <pic:pic>
                  <pic:nvPicPr>
                    <pic:cNvPr id="0" name="pjm_acf.png"/>
                    <pic:cNvPicPr/>
                  </pic:nvPicPr>
                  <pic:blipFill>
                    <a:blip r:embed="rId11"/>
                    <a:stretch>
                      <a:fillRect/>
                    </a:stretch>
                  </pic:blipFill>
                  <pic:spPr>
                    <a:xfrm>
                      <a:off x="0" y="0"/>
                      <a:ext cx="5029200" cy="1226247"/>
                    </a:xfrm>
                    <a:prstGeom prst="rect"/>
                  </pic:spPr>
                </pic:pic>
              </a:graphicData>
            </a:graphic>
          </wp:inline>
        </w:drawing>
      </w:r>
    </w:p>
    <w:p>
      <w:pPr>
        <w:spacing w:before="40" w:after="120"/>
        <w:jc w:val="center"/>
      </w:pPr>
      <w:r>
        <w:rPr>
          <w:rFonts w:ascii="Times New Roman" w:hAnsi="Times New Roman"/>
          <w:sz w:val="18"/>
        </w:rPr>
        <w:t>Fig. 3. ACF and PACF of the PJM East demand series, showing dominant periodicity at lag-24.</w:t>
      </w:r>
    </w:p>
    <w:p>
      <w:pPr>
        <w:spacing w:after="0"/>
        <w:ind w:firstLine="288"/>
        <w:jc w:val="both"/>
      </w:pPr>
      <w:r>
        <w:rPr>
          <w:rFonts w:ascii="Times New Roman" w:hAnsi="Times New Roman"/>
          <w:sz w:val="20"/>
        </w:rPr>
        <w:t>(iv) Feature correlation mapping: A Pearson correlation heatmap was computed between all engineered time features and the target variable. As shown in Fig. 4, hour of day exhibits the strongest correlation with consumption (|r| = 0.42 for PJM East), followed by month and season. This analysis confirmed that temporal features contribute meaningful predictive signal and guided subsequent feature prioritisation.</w:t>
      </w:r>
    </w:p>
    <w:p>
      <w:pPr>
        <w:jc w:val="center"/>
      </w:pPr>
      <w:r>
        <w:drawing>
          <wp:inline xmlns:a="http://schemas.openxmlformats.org/drawingml/2006/main" xmlns:pic="http://schemas.openxmlformats.org/drawingml/2006/picture">
            <wp:extent cx="4572000" cy="2815641"/>
            <wp:docPr id="4" name="Picture 4"/>
            <wp:cNvGraphicFramePr>
              <a:graphicFrameLocks noChangeAspect="1"/>
            </wp:cNvGraphicFramePr>
            <a:graphic>
              <a:graphicData uri="http://schemas.openxmlformats.org/drawingml/2006/picture">
                <pic:pic>
                  <pic:nvPicPr>
                    <pic:cNvPr id="0" name="pjm_heatmap.png"/>
                    <pic:cNvPicPr/>
                  </pic:nvPicPr>
                  <pic:blipFill>
                    <a:blip r:embed="rId12"/>
                    <a:stretch>
                      <a:fillRect/>
                    </a:stretch>
                  </pic:blipFill>
                  <pic:spPr>
                    <a:xfrm>
                      <a:off x="0" y="0"/>
                      <a:ext cx="4572000" cy="2815641"/>
                    </a:xfrm>
                    <a:prstGeom prst="rect"/>
                  </pic:spPr>
                </pic:pic>
              </a:graphicData>
            </a:graphic>
          </wp:inline>
        </w:drawing>
      </w:r>
    </w:p>
    <w:p>
      <w:pPr>
        <w:spacing w:before="40" w:after="120"/>
        <w:jc w:val="center"/>
      </w:pPr>
      <w:r>
        <w:rPr>
          <w:rFonts w:ascii="Times New Roman" w:hAnsi="Times New Roman"/>
          <w:sz w:val="18"/>
        </w:rPr>
        <w:t>Fig. 4. Pearson correlation heatmap between time features and PJM East consumption.</w:t>
      </w:r>
    </w:p>
    <w:p>
      <w:pPr>
        <w:spacing w:before="80" w:after="0"/>
      </w:pPr>
      <w:r>
        <w:rPr>
          <w:rFonts w:ascii="Times New Roman" w:hAnsi="Times New Roman"/>
          <w:b/>
          <w:i/>
          <w:sz w:val="20"/>
        </w:rPr>
        <w:t>D. Model Architectures</w:t>
      </w:r>
    </w:p>
    <w:p>
      <w:pPr>
        <w:spacing w:after="0"/>
        <w:ind w:firstLine="288"/>
        <w:jc w:val="both"/>
      </w:pPr>
      <w:r>
        <w:rPr>
          <w:rFonts w:ascii="Times New Roman" w:hAnsi="Times New Roman"/>
          <w:sz w:val="20"/>
        </w:rPr>
        <w:t>Five models were implemented and evaluated. Tree-based models received the flattened 24-hour input vector as a one-dimensional feature array. Deep learning models received input tensors of shape (batch_size, 24, 1).</w:t>
      </w:r>
    </w:p>
    <w:p>
      <w:pPr>
        <w:spacing w:after="0"/>
        <w:ind w:firstLine="288"/>
        <w:jc w:val="both"/>
      </w:pPr>
      <w:r>
        <w:rPr>
          <w:rFonts w:ascii="Times New Roman" w:hAnsi="Times New Roman"/>
          <w:sz w:val="20"/>
        </w:rPr>
        <w:t>Random Forest: An ensemble of T = 100 decision trees. The final prediction is the mean of all individual tree outputs:</w:t>
      </w:r>
    </w:p>
    <w:p>
      <w:pPr>
        <w:spacing w:before="80" w:after="80"/>
        <w:jc w:val="center"/>
      </w:pPr>
      <w:r>
        <w:rPr>
          <w:rFonts w:ascii="Times New Roman" w:hAnsi="Times New Roman"/>
          <w:i/>
          <w:sz w:val="20"/>
        </w:rPr>
        <w:t>ŷ = ¹ᐟₜ Σₜ₌₁ᵀ hₜ(x)    ≡    (1/T) · Σᵗ₌₁ᵀ hₜ(x)    (2)</w:t>
      </w:r>
    </w:p>
    <w:p>
      <w:pPr>
        <w:spacing w:after="0"/>
        <w:ind w:firstLine="288"/>
        <w:jc w:val="both"/>
      </w:pPr>
      <w:r>
        <w:rPr>
          <w:rFonts w:ascii="Times New Roman" w:hAnsi="Times New Roman"/>
          <w:sz w:val="20"/>
        </w:rPr>
        <w:t>where hₜ(x) denotes the prediction of the t-th decision tree and T = 100. All available CPU cores (n_jobs = −1) and random_state = 42 were used.</w:t>
      </w:r>
    </w:p>
    <w:p>
      <w:pPr>
        <w:spacing w:after="0"/>
        <w:ind w:firstLine="288"/>
        <w:jc w:val="both"/>
      </w:pPr>
      <w:r>
        <w:rPr>
          <w:rFonts w:ascii="Times New Roman" w:hAnsi="Times New Roman"/>
          <w:sz w:val="20"/>
        </w:rPr>
        <w:t>XGBoost: A gradient boosted ensemble of M = 200 trees built sequentially, each correcting the residual error of its predecessors:</w:t>
      </w:r>
    </w:p>
    <w:p>
      <w:pPr>
        <w:spacing w:before="80" w:after="80"/>
        <w:jc w:val="center"/>
      </w:pPr>
      <w:r>
        <w:rPr>
          <w:rFonts w:ascii="Times New Roman" w:hAnsi="Times New Roman"/>
          <w:i/>
          <w:sz w:val="20"/>
        </w:rPr>
        <w:t>F(x) = Σₘ₌₁ᴹ γₘ · hₘ(x)    (3)</w:t>
      </w:r>
    </w:p>
    <w:p>
      <w:pPr>
        <w:spacing w:after="0"/>
        <w:ind w:firstLine="288"/>
        <w:jc w:val="both"/>
      </w:pPr>
      <w:r>
        <w:rPr>
          <w:rFonts w:ascii="Times New Roman" w:hAnsi="Times New Roman"/>
          <w:sz w:val="20"/>
        </w:rPr>
        <w:t>where γₘ is the leaf weight of tree m, learned by minimising the second-order Taylor expansion of the loss. Settings: η = 0.05, max_depth = 6, subsample = 0.8.</w:t>
      </w:r>
    </w:p>
    <w:p>
      <w:pPr>
        <w:spacing w:after="0"/>
        <w:ind w:firstLine="288"/>
        <w:jc w:val="both"/>
      </w:pPr>
      <w:r>
        <w:rPr>
          <w:rFonts w:ascii="Times New Roman" w:hAnsi="Times New Roman"/>
          <w:sz w:val="20"/>
        </w:rPr>
        <w:t>LSTM: The LSTM cell computes the following gating operations at each time step t:</w:t>
      </w:r>
    </w:p>
    <w:p>
      <w:pPr>
        <w:spacing w:before="80" w:after="80"/>
        <w:jc w:val="center"/>
      </w:pPr>
      <w:r>
        <w:rPr>
          <w:rFonts w:ascii="Times New Roman" w:hAnsi="Times New Roman"/>
          <w:i/>
          <w:sz w:val="20"/>
        </w:rPr>
        <w:t>fₜ = σ(Wⁱ[hₜ₋₁, xₜ] + bⁱ)    (4)</w:t>
      </w:r>
    </w:p>
    <w:p>
      <w:pPr>
        <w:spacing w:before="80" w:after="80"/>
        <w:jc w:val="center"/>
      </w:pPr>
      <w:r>
        <w:rPr>
          <w:rFonts w:ascii="Times New Roman" w:hAnsi="Times New Roman"/>
          <w:i/>
          <w:sz w:val="20"/>
        </w:rPr>
        <w:t>iₜ = σ(Wᴵ[hₜ₋₁, xₜ] + bᴵ)    (5)</w:t>
      </w:r>
    </w:p>
    <w:p>
      <w:pPr>
        <w:spacing w:before="80" w:after="80"/>
        <w:jc w:val="center"/>
      </w:pPr>
      <w:r>
        <w:rPr>
          <w:rFonts w:ascii="Times New Roman" w:hAnsi="Times New Roman"/>
          <w:i/>
          <w:sz w:val="20"/>
        </w:rPr>
        <w:t>C̃ₜ = tanh(Wᶜ[hₜ₋₁, xₜ] + bᶜ)    (6)</w:t>
      </w:r>
    </w:p>
    <w:p>
      <w:pPr>
        <w:spacing w:before="80" w:after="80"/>
        <w:jc w:val="center"/>
      </w:pPr>
      <w:r>
        <w:rPr>
          <w:rFonts w:ascii="Times New Roman" w:hAnsi="Times New Roman"/>
          <w:i/>
          <w:sz w:val="20"/>
        </w:rPr>
        <w:t>Cₜ = fₜ ⊙ Cₜ₋₁ + iₜ ⊙ C̃ₜ    (7)</w:t>
      </w:r>
    </w:p>
    <w:p>
      <w:pPr>
        <w:spacing w:before="80" w:after="80"/>
        <w:jc w:val="center"/>
      </w:pPr>
      <w:r>
        <w:rPr>
          <w:rFonts w:ascii="Times New Roman" w:hAnsi="Times New Roman"/>
          <w:i/>
          <w:sz w:val="20"/>
        </w:rPr>
        <w:t>oₜ = σ(Wᵒ[hₜ₋₁, xₜ] + bᵒ)    (8)</w:t>
      </w:r>
    </w:p>
    <w:p>
      <w:pPr>
        <w:spacing w:before="80" w:after="80"/>
        <w:jc w:val="center"/>
      </w:pPr>
      <w:r>
        <w:rPr>
          <w:rFonts w:ascii="Times New Roman" w:hAnsi="Times New Roman"/>
          <w:i/>
          <w:sz w:val="20"/>
        </w:rPr>
        <w:t>hₜ = oₜ ⊙ tanh(Cₜ)    (9)</w:t>
      </w:r>
    </w:p>
    <w:p>
      <w:pPr>
        <w:spacing w:after="0"/>
        <w:ind w:firstLine="288"/>
        <w:jc w:val="both"/>
      </w:pPr>
      <w:r>
        <w:rPr>
          <w:rFonts w:ascii="Times New Roman" w:hAnsi="Times New Roman"/>
          <w:sz w:val="20"/>
        </w:rPr>
        <w:t>where σ denotes the sigmoid function, ⊙ element-wise multiplication, fₜ the forget gate, iₜ the input gate, Cₜ the cell state, and oₜ the output gate. Architecture: LSTM(64) → Dropout(0.2) → LSTM(32) → Dropout(0.2) → Dense(1).</w:t>
      </w:r>
    </w:p>
    <w:p>
      <w:pPr>
        <w:spacing w:after="0"/>
        <w:ind w:firstLine="288"/>
        <w:jc w:val="both"/>
      </w:pPr>
      <w:r>
        <w:rPr>
          <w:rFonts w:ascii="Times New Roman" w:hAnsi="Times New Roman"/>
          <w:sz w:val="20"/>
        </w:rPr>
        <w:t>GRU: The GRU cell uses two gates to control information flow:</w:t>
      </w:r>
    </w:p>
    <w:p>
      <w:pPr>
        <w:spacing w:before="80" w:after="80"/>
        <w:jc w:val="center"/>
      </w:pPr>
      <w:r>
        <w:rPr>
          <w:rFonts w:ascii="Times New Roman" w:hAnsi="Times New Roman"/>
          <w:i/>
          <w:sz w:val="20"/>
        </w:rPr>
        <w:t>zₜ = σ(Wᴺ[hₜ₋₁, xₜ])    (10)</w:t>
      </w:r>
    </w:p>
    <w:p>
      <w:pPr>
        <w:spacing w:before="80" w:after="80"/>
        <w:jc w:val="center"/>
      </w:pPr>
      <w:r>
        <w:rPr>
          <w:rFonts w:ascii="Times New Roman" w:hAnsi="Times New Roman"/>
          <w:i/>
          <w:sz w:val="20"/>
        </w:rPr>
        <w:t>rₜ = σ(Wᴿ[hₜ₋₁, xₜ])    (11)</w:t>
      </w:r>
    </w:p>
    <w:p>
      <w:pPr>
        <w:spacing w:before="80" w:after="80"/>
        <w:jc w:val="center"/>
      </w:pPr>
      <w:r>
        <w:rPr>
          <w:rFonts w:ascii="Times New Roman" w:hAnsi="Times New Roman"/>
          <w:i/>
          <w:sz w:val="20"/>
        </w:rPr>
        <w:t>h̃ₜ = tanh(W[rₜ ⊙ hₜ₋₁, xₜ])    (12)</w:t>
      </w:r>
    </w:p>
    <w:p>
      <w:pPr>
        <w:spacing w:before="80" w:after="80"/>
        <w:jc w:val="center"/>
      </w:pPr>
      <w:r>
        <w:rPr>
          <w:rFonts w:ascii="Times New Roman" w:hAnsi="Times New Roman"/>
          <w:i/>
          <w:sz w:val="20"/>
        </w:rPr>
        <w:t>hₜ = (1 − zₜ) ⊙ hₜ₋₁ + zₜ ⊙ h̃ₜ    (13)</w:t>
      </w:r>
    </w:p>
    <w:p>
      <w:pPr>
        <w:spacing w:after="0"/>
        <w:ind w:firstLine="288"/>
        <w:jc w:val="both"/>
      </w:pPr>
      <w:r>
        <w:rPr>
          <w:rFonts w:ascii="Times New Roman" w:hAnsi="Times New Roman"/>
          <w:sz w:val="20"/>
        </w:rPr>
        <w:t>where zₜ is the update gate, rₜ the reset gate, and h̃ₜ the candidate hidden state. Architecture: GRU(64) → Dropout(0.2) → GRU(32) → Dropout(0.2) → Dense(1).</w:t>
      </w:r>
    </w:p>
    <w:p>
      <w:pPr>
        <w:spacing w:after="0"/>
        <w:ind w:firstLine="288"/>
        <w:jc w:val="both"/>
      </w:pPr>
      <w:r>
        <w:rPr>
          <w:rFonts w:ascii="Times New Roman" w:hAnsi="Times New Roman"/>
          <w:sz w:val="20"/>
        </w:rPr>
        <w:t>CNN-LSTM: Conv1D layers first extract local temporal features via learned filters:</w:t>
      </w:r>
    </w:p>
    <w:p>
      <w:pPr>
        <w:spacing w:before="80" w:after="80"/>
        <w:jc w:val="center"/>
      </w:pPr>
      <w:r>
        <w:rPr>
          <w:rFonts w:ascii="Times New Roman" w:hAnsi="Times New Roman"/>
          <w:i/>
          <w:sz w:val="20"/>
        </w:rPr>
        <w:t>(f ∗ x)(t) = Σₖ f(k) · x(t − k)    (14)</w:t>
      </w:r>
    </w:p>
    <w:p>
      <w:pPr>
        <w:spacing w:after="0"/>
        <w:ind w:firstLine="288"/>
        <w:jc w:val="both"/>
      </w:pPr>
      <w:r>
        <w:rPr>
          <w:rFonts w:ascii="Times New Roman" w:hAnsi="Times New Roman"/>
          <w:sz w:val="20"/>
        </w:rPr>
        <w:t>where f is a filter of kernel size k = 3 applied across the input sequence. Architecture: Conv1D(64, k=3) → MaxPool → Conv1D(32, k=3) → LSTM(50) → Dropout(0.2) → Dense(1).</w:t>
      </w:r>
    </w:p>
    <w:p>
      <w:pPr>
        <w:spacing w:before="80" w:after="0"/>
      </w:pPr>
      <w:r>
        <w:rPr>
          <w:rFonts w:ascii="Times New Roman" w:hAnsi="Times New Roman"/>
          <w:b/>
          <w:i/>
          <w:sz w:val="20"/>
        </w:rPr>
        <w:t>E. Training Protocol</w:t>
      </w:r>
    </w:p>
    <w:p>
      <w:pPr>
        <w:spacing w:after="0"/>
        <w:ind w:firstLine="288"/>
        <w:jc w:val="both"/>
      </w:pPr>
      <w:r>
        <w:rPr>
          <w:rFonts w:ascii="Times New Roman" w:hAnsi="Times New Roman"/>
          <w:sz w:val="20"/>
        </w:rPr>
        <w:t>A chronological 80/20 train-test split was applied to both datasets. Training data was drawn exclusively from earlier time periods; test data comprised the most recent 20% of observations. This partitioning strategy prevents data leakage and reflects realistic deployment conditions.</w:t>
      </w:r>
    </w:p>
    <w:p>
      <w:pPr>
        <w:spacing w:after="0"/>
        <w:ind w:firstLine="288"/>
        <w:jc w:val="both"/>
      </w:pPr>
      <w:r>
        <w:rPr>
          <w:rFonts w:ascii="Times New Roman" w:hAnsi="Times New Roman"/>
          <w:sz w:val="20"/>
        </w:rPr>
        <w:t>All three deep learning models were compiled with the Adam optimiser (initial learning rate α = 0.001) and mean squared error (MSE) loss, with batch size 512 and a maximum of 30 epochs. Two callbacks were applied: EarlyStopping monitored validation loss with patience = 5, restoring best weights upon termination; ReduceLROnPlateau halved the learning rate after 3 epochs of non-improving validation loss (factor = 0.5, minimum lr = 1×10⁻⁶).</w:t>
      </w:r>
    </w:p>
    <w:p>
      <w:pPr>
        <w:spacing w:before="80" w:after="0"/>
      </w:pPr>
      <w:r>
        <w:rPr>
          <w:rFonts w:ascii="Times New Roman" w:hAnsi="Times New Roman"/>
          <w:b/>
          <w:i/>
          <w:sz w:val="20"/>
        </w:rPr>
        <w:t>F. Evaluation Metrics</w:t>
      </w:r>
    </w:p>
    <w:p>
      <w:pPr>
        <w:spacing w:after="0"/>
        <w:ind w:firstLine="288"/>
        <w:jc w:val="both"/>
      </w:pPr>
      <w:r>
        <w:rPr>
          <w:rFonts w:ascii="Times New Roman" w:hAnsi="Times New Roman"/>
          <w:sz w:val="20"/>
        </w:rPr>
        <w:t>Model performance was quantified using four complementary regression metrics, evaluated on the held-out test partition after inverse-transforming predictions to original physical units (MW for PJM East; kW for UCI household). Given n test samples with actual values yᵢ and predicted values ŷᵢ:</w:t>
      </w:r>
    </w:p>
    <w:p>
      <w:pPr>
        <w:spacing w:after="0"/>
        <w:ind w:firstLine="288"/>
        <w:jc w:val="both"/>
      </w:pPr>
      <w:r>
        <w:rPr>
          <w:rFonts w:ascii="Times New Roman" w:hAnsi="Times New Roman"/>
          <w:sz w:val="20"/>
        </w:rPr>
        <w:t>Root Mean Squared Error (RMSE) penalises large errors quadratically:</w:t>
      </w:r>
    </w:p>
    <w:p>
      <w:pPr>
        <w:spacing w:before="80" w:after="80"/>
        <w:jc w:val="center"/>
      </w:pPr>
      <w:r>
        <w:rPr>
          <w:rFonts w:ascii="Times New Roman" w:hAnsi="Times New Roman"/>
          <w:i/>
          <w:sz w:val="20"/>
        </w:rPr>
        <w:t>RMSE = √[ (1/n) · Σᵢ₌₁ⁿ (yᵢ − ŷᵢ)² ]    (15)</w:t>
      </w:r>
    </w:p>
    <w:p>
      <w:pPr>
        <w:spacing w:after="0"/>
        <w:ind w:firstLine="288"/>
        <w:jc w:val="both"/>
      </w:pPr>
      <w:r>
        <w:rPr>
          <w:rFonts w:ascii="Times New Roman" w:hAnsi="Times New Roman"/>
          <w:sz w:val="20"/>
        </w:rPr>
        <w:t>Mean Absolute Error (MAE) provides a linearly-weighted average absolute deviation:</w:t>
      </w:r>
    </w:p>
    <w:p>
      <w:pPr>
        <w:spacing w:before="80" w:after="80"/>
        <w:jc w:val="center"/>
      </w:pPr>
      <w:r>
        <w:rPr>
          <w:rFonts w:ascii="Times New Roman" w:hAnsi="Times New Roman"/>
          <w:i/>
          <w:sz w:val="20"/>
        </w:rPr>
        <w:t>MAE = (1/n) · Σᵢ₌₁ⁿ |yᵢ − ŷᵢ|    (16)</w:t>
      </w:r>
    </w:p>
    <w:p>
      <w:pPr>
        <w:spacing w:after="0"/>
        <w:ind w:firstLine="288"/>
        <w:jc w:val="both"/>
      </w:pPr>
      <w:r>
        <w:rPr>
          <w:rFonts w:ascii="Times New Roman" w:hAnsi="Times New Roman"/>
          <w:sz w:val="20"/>
        </w:rPr>
        <w:t>Mean Absolute Percentage Error (MAPE) expresses error relative to actual consumption:</w:t>
      </w:r>
    </w:p>
    <w:p>
      <w:pPr>
        <w:spacing w:before="80" w:after="80"/>
        <w:jc w:val="center"/>
      </w:pPr>
      <w:r>
        <w:rPr>
          <w:rFonts w:ascii="Times New Roman" w:hAnsi="Times New Roman"/>
          <w:i/>
          <w:sz w:val="20"/>
        </w:rPr>
        <w:t>MAPE = (100/n) · Σᵢ₌₁ⁿ |(yᵢ − ŷᵢ) / yᵢ|    (17)</w:t>
      </w:r>
    </w:p>
    <w:p>
      <w:pPr>
        <w:spacing w:after="0"/>
        <w:ind w:firstLine="288"/>
        <w:jc w:val="both"/>
      </w:pPr>
      <w:r>
        <w:rPr>
          <w:rFonts w:ascii="Times New Roman" w:hAnsi="Times New Roman"/>
          <w:sz w:val="20"/>
        </w:rPr>
        <w:t>Coefficient of Determination (R²) quantifies the proportion of variance explained:</w:t>
      </w:r>
    </w:p>
    <w:p>
      <w:pPr>
        <w:spacing w:before="80" w:after="80"/>
        <w:jc w:val="center"/>
      </w:pPr>
      <w:r>
        <w:rPr>
          <w:rFonts w:ascii="Times New Roman" w:hAnsi="Times New Roman"/>
          <w:i/>
          <w:sz w:val="20"/>
        </w:rPr>
        <w:t>R² = 1 − [ Σᵢ(yᵢ − ŷᵢ)² / Σᵢ(yᵢ − ȳ)² ]    (18)</w:t>
      </w:r>
    </w:p>
    <w:p>
      <w:pPr>
        <w:spacing w:after="0"/>
        <w:ind w:firstLine="288"/>
        <w:jc w:val="both"/>
      </w:pPr>
      <w:r>
        <w:rPr>
          <w:rFonts w:ascii="Times New Roman" w:hAnsi="Times New Roman"/>
          <w:sz w:val="20"/>
        </w:rPr>
        <w:t>where ȳ is the mean of the observed values. R² = 1 indicates a perfect fit; R² = 0 indicates the model performs no better than the mean predictor.</w:t>
      </w:r>
    </w:p>
    <w:p/>
    <w:p>
      <w:pPr>
        <w:spacing w:before="160" w:after="40"/>
        <w:jc w:val="center"/>
      </w:pPr>
      <w:r>
        <w:rPr>
          <w:rFonts w:ascii="Times New Roman" w:hAnsi="Times New Roman"/>
          <w:b/>
          <w:sz w:val="20"/>
        </w:rPr>
        <w:t>REFERENCES</w:t>
      </w:r>
    </w:p>
    <w:p>
      <w:pPr>
        <w:spacing w:after="40"/>
        <w:ind w:left="432" w:hanging="432"/>
        <w:jc w:val="both"/>
      </w:pPr>
      <w:r>
        <w:rPr>
          <w:rFonts w:ascii="Times New Roman" w:hAnsi="Times New Roman"/>
          <w:sz w:val="18"/>
        </w:rPr>
        <w:t>[1]</w:t>
        <w:tab/>
        <w:t>K. Kong, S. Dong, Y. Jia, and F. Li, "Short Term Residential Load Forecasting Based on LSTM Recurrent Neural Network," IEEE Access, vol. 8, pp. 159380–159389, 2020.</w:t>
      </w:r>
    </w:p>
    <w:p>
      <w:pPr>
        <w:spacing w:after="40"/>
        <w:ind w:left="432" w:hanging="432"/>
        <w:jc w:val="both"/>
      </w:pPr>
      <w:r>
        <w:rPr>
          <w:rFonts w:ascii="Times New Roman" w:hAnsi="Times New Roman"/>
          <w:sz w:val="18"/>
        </w:rPr>
        <w:t>[2]</w:t>
        <w:tab/>
        <w:t>D. L. Marino, K. Amarasinghe, and M. Manic, "Building Energy Load Forecasting Using Deep Neural Networks," in Proc. IEEE Int. Conf. on Industrial Informatics (INDIN), 2020, pp. 704–710.</w:t>
      </w:r>
    </w:p>
    <w:p>
      <w:pPr>
        <w:spacing w:after="40"/>
        <w:ind w:left="432" w:hanging="432"/>
        <w:jc w:val="both"/>
      </w:pPr>
      <w:r>
        <w:rPr>
          <w:rFonts w:ascii="Times New Roman" w:hAnsi="Times New Roman"/>
          <w:sz w:val="18"/>
        </w:rPr>
        <w:t>[3]</w:t>
        <w:tab/>
        <w:t>Y. Wang, Q. Chen, T. Hong, and C. Kang, "Review of Smart Meter Data Analytics: Applications, Methodologies, and Challenges," IEEE Trans. Smart Grid, vol. 10, no. 3, pp. 3125–3148, May 2021.</w:t>
      </w:r>
    </w:p>
    <w:p>
      <w:pPr>
        <w:spacing w:after="40"/>
        <w:ind w:left="432" w:hanging="432"/>
        <w:jc w:val="both"/>
      </w:pPr>
      <w:r>
        <w:rPr>
          <w:rFonts w:ascii="Times New Roman" w:hAnsi="Times New Roman"/>
          <w:sz w:val="18"/>
        </w:rPr>
        <w:t>[4]</w:t>
        <w:tab/>
        <w:t>Z. Li, M. Khodayar, and M. Shahidehpour, "Hybrid Deep Learning Architecture for Short Term Load Forecasting," IEEE Trans. Smart Grid, vol. 12, no. 1, pp. 123–134, Jan. 2022.</w:t>
      </w:r>
    </w:p>
    <w:p>
      <w:pPr>
        <w:spacing w:after="40"/>
        <w:ind w:left="432" w:hanging="432"/>
        <w:jc w:val="both"/>
      </w:pPr>
      <w:r>
        <w:rPr>
          <w:rFonts w:ascii="Times New Roman" w:hAnsi="Times New Roman"/>
          <w:sz w:val="18"/>
        </w:rPr>
        <w:t>[5]</w:t>
        <w:tab/>
        <w:t>H. Zhou, S. Zhang, and G. Chen, "Transformer Based Deep Learning Model for Energy Consumption Forecasting," IEEE Access, vol. 11, pp. 44125–44137, 2023.</w:t>
      </w:r>
    </w:p>
    <w:p>
      <w:pPr>
        <w:spacing w:after="40"/>
        <w:ind w:left="432" w:hanging="432"/>
        <w:jc w:val="both"/>
      </w:pPr>
      <w:r>
        <w:rPr>
          <w:rFonts w:ascii="Times New Roman" w:hAnsi="Times New Roman"/>
          <w:sz w:val="18"/>
        </w:rPr>
        <w:t>[6]</w:t>
        <w:tab/>
        <w:t>R. Godinho, "PJM Hourly Energy Consumption Data," Kaggle, 2018. [Online]. Available: https://www.kaggle.com/datasets/robikscube/hourly-energy-consumption. [Accessed: 2025].</w:t>
      </w:r>
    </w:p>
    <w:p>
      <w:pPr>
        <w:spacing w:after="40"/>
        <w:ind w:left="432" w:hanging="432"/>
        <w:jc w:val="both"/>
      </w:pPr>
      <w:r>
        <w:rPr>
          <w:rFonts w:ascii="Times New Roman" w:hAnsi="Times New Roman"/>
          <w:sz w:val="18"/>
        </w:rPr>
        <w:t>[7]</w:t>
        <w:tab/>
        <w:t>UCI Machine Learning Repository, "Individual Household Electric Power Consumption Dataset," University of California, Irvine, 2025. [Online]. Available: https://archive.ics.uci.edu/dataset/235/individual+household+electric+power+consumption. [Accessed: 2025].</w:t>
      </w:r>
    </w:p>
    <w:p>
      <w:pPr>
        <w:spacing w:after="40"/>
        <w:ind w:left="432" w:hanging="432"/>
        <w:jc w:val="both"/>
      </w:pPr>
      <w:r>
        <w:rPr>
          <w:rFonts w:ascii="Times New Roman" w:hAnsi="Times New Roman"/>
          <w:sz w:val="18"/>
        </w:rPr>
        <w:t>[8]</w:t>
        <w:tab/>
        <w:t>S. Bouktif, A. Fiaz, A. Ouni, and M. A. Serhani, "Optimal Deep Learning LSTM Model for Electric Load Forecasting Using Feature Selection and Genetic Algorithm," Energies, vol. 11, no. 7, p. 1636, 2018.</w:t>
      </w:r>
    </w:p>
    <w:p>
      <w:pPr>
        <w:spacing w:after="40"/>
        <w:ind w:left="432" w:hanging="432"/>
        <w:jc w:val="both"/>
      </w:pPr>
      <w:r>
        <w:rPr>
          <w:rFonts w:ascii="Times New Roman" w:hAnsi="Times New Roman"/>
          <w:sz w:val="18"/>
        </w:rPr>
        <w:t>[9]</w:t>
        <w:tab/>
        <w:t>L. Sehovac and K. Grolinger, "Deep Learning for Building Load Forecasting: Sequence to Sequence Based Architecture with Attention Mechanism," IEEE Access, vol. 8, pp. 36411–36426, 2020.</w:t>
      </w:r>
    </w:p>
    <w:p>
      <w:pPr>
        <w:spacing w:after="40"/>
        <w:ind w:left="432" w:hanging="432"/>
        <w:jc w:val="both"/>
      </w:pPr>
      <w:r>
        <w:rPr>
          <w:rFonts w:ascii="Times New Roman" w:hAnsi="Times New Roman"/>
          <w:sz w:val="18"/>
        </w:rPr>
        <w:t>[10]</w:t>
        <w:tab/>
        <w:t>R. J. Hyndman and G. Athanasopoulos, Forecasting: Principles and Practice, 3rd ed. Melbourne, Australia: OTexts, 2021. [Online]. Available: https://otexts.com/fpp3.</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