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cs="Times New Roman"/>
          <w:rFonts w:ascii="Times New Roman" w:hAnsi="Times New Roman"/>
          <w:b/>
          <w:i w:val="0"/>
          <w:sz w:val="28"/>
        </w:rPr>
        <w:t>Smart Energy Consumption Forecasting using Deep Learning and Time Series Analytics</w:t>
      </w:r>
    </w:p>
    <w:p>
      <w:pPr>
        <w:spacing w:before="0" w:after="160"/>
        <w:jc w:val="center"/>
      </w:pPr>
      <w:r>
        <w:rPr>
          <w:rFonts w:ascii="Times New Roman" w:hAnsi="Times New Roman" w:cs="Times New Roman"/>
          <w:rFonts w:ascii="Times New Roman" w:hAnsi="Times New Roman"/>
          <w:b w:val="0"/>
          <w:i w:val="0"/>
          <w:sz w:val="22"/>
        </w:rPr>
        <w:t>Ali Haider  |  COM748 Masters Research  |  IIT Pali Conference Paper</w:t>
      </w:r>
    </w:p>
    <w:p>
      <w:pPr>
        <w:spacing w:before="80" w:after="80"/>
        <w:pBdr>
          <w:bottom w:val="single" w:sz="6" w:space="1" w:color="000000"/>
        </w:pBdr>
      </w:pPr>
    </w:p>
    <w:p>
      <w:pPr>
        <w:spacing w:before="240" w:after="120"/>
        <w:jc w:val="center"/>
      </w:pPr>
      <w:r>
        <w:rPr>
          <w:rFonts w:ascii="Times New Roman" w:hAnsi="Times New Roman" w:cs="Times New Roman"/>
          <w:rFonts w:ascii="Times New Roman" w:hAnsi="Times New Roman"/>
          <w:b/>
          <w:i w:val="0"/>
          <w:sz w:val="24"/>
        </w:rPr>
        <w:t>I. INTRODUCTION</w:t>
      </w:r>
    </w:p>
    <w:p>
      <w:pPr>
        <w:spacing w:before="0" w:after="120"/>
        <w:jc w:val="both"/>
      </w:pPr>
      <w:r>
        <w:rPr>
          <w:rFonts w:ascii="Times New Roman" w:hAnsi="Times New Roman" w:cs="Times New Roman"/>
          <w:rFonts w:ascii="Times New Roman" w:hAnsi="Times New Roman"/>
          <w:b w:val="0"/>
          <w:i w:val="0"/>
          <w:sz w:val="22"/>
        </w:rPr>
        <w:t>Electricity consumption forecasting is a cornerstone of modern smart grid operation. Accurate demand predictions enable energy providers to balance supply and demand in real time, reduce operating costs, optimise generation scheduling, and maintain grid stability [2]. The widespread deployment of smart metering infrastructure now produces vast streams of high-frequency temporal data that capture consumption behaviour at the household, building, and regional levels [2]. Despite this data abundance, accurate forecasting remains challenging because electricity demand is shaped by a complex interplay of factors including time of day, day of week, seasonal weather effects, and evolving human behaviour. Classical statistical approaches such as ARIMA and exponential smoothing have long served as forecasting workhorses; however, they assume linearity and stationarity and are therefore unable to capture the non-linear, multi-seasonal patterns characteristic of real energy data [1], [11]. The growing availability of labelled historical consumption records, combined with increased computational power, has driven a decisive shift towards deep learning, which learns complex temporal representations directly from data without hand-crafted feature engineering [11].</w:t>
      </w:r>
    </w:p>
    <w:p>
      <w:pPr>
        <w:spacing w:before="0" w:after="120"/>
        <w:jc w:val="both"/>
      </w:pPr>
      <w:r>
        <w:rPr>
          <w:rFonts w:ascii="Times New Roman" w:hAnsi="Times New Roman" w:cs="Times New Roman"/>
          <w:rFonts w:ascii="Times New Roman" w:hAnsi="Times New Roman"/>
          <w:b w:val="0"/>
          <w:i w:val="0"/>
          <w:sz w:val="22"/>
        </w:rPr>
        <w:t>Recurrent architectures — most prominently Long Short-Term Memory (LSTM) networks [1] and Gated Recurrent Units (GRU) [3] — now dominate the short-term load forecasting literature, and convolutional-recurrent hybrids such as CNN-LSTM [5] and parallel LSTM-CNN [6] have further pushed accuracy benchmarks. Despite these advances, several critical gaps persist. Comparative studies rarely evaluate multiple architectures under strictly identical preprocessing pipelines, training protocols, and evaluation conditions, making it difficult to draw fair, reproducible conclusions about which model class is truly superior for a given forecasting context [6], [12]. Furthermore, most published work focuses exclusively on prediction accuracy metrics and omits structured time series analytics — such as seasonal decomposition and autocorrelation analysis — that inform model selection and validate the chosen look-back window [2], [12]. User-accessible interactive forecasting tools are also conspicuously absent from the literature. Finally, the two dominant demand scales — regional grid-level interconnection data and individual household consumption — are rarely evaluated side by side within a single unified experimental framework, leaving the question of model generalisability across demand scales largely unanswered.</w:t>
      </w:r>
    </w:p>
    <w:p>
      <w:pPr>
        <w:spacing w:before="0" w:after="120"/>
        <w:jc w:val="both"/>
      </w:pPr>
      <w:r>
        <w:rPr>
          <w:rFonts w:ascii="Times New Roman" w:hAnsi="Times New Roman" w:cs="Times New Roman"/>
          <w:rFonts w:ascii="Times New Roman" w:hAnsi="Times New Roman"/>
          <w:b w:val="0"/>
          <w:i w:val="0"/>
          <w:sz w:val="22"/>
        </w:rPr>
        <w:t>This paper addresses these gaps through a controlled, reproducible experimental study. The specific contributions are as follows:</w:t>
      </w:r>
    </w:p>
    <w:p>
      <w:pPr>
        <w:spacing w:before="40" w:after="60"/>
        <w:ind w:left="432"/>
        <w:jc w:val="both"/>
      </w:pPr>
      <w:r>
        <w:rPr>
          <w:rFonts w:ascii="Times New Roman" w:hAnsi="Times New Roman" w:cs="Times New Roman"/>
          <w:rFonts w:ascii="Times New Roman" w:hAnsi="Times New Roman"/>
          <w:b/>
          <w:i w:val="0"/>
          <w:sz w:val="22"/>
        </w:rPr>
        <w:t xml:space="preserve">1.  </w:t>
      </w:r>
      <w:r>
        <w:rPr>
          <w:rFonts w:ascii="Times New Roman" w:hAnsi="Times New Roman" w:cs="Times New Roman"/>
          <w:rFonts w:ascii="Times New Roman" w:hAnsi="Times New Roman"/>
          <w:b w:val="0"/>
          <w:i w:val="0"/>
          <w:sz w:val="22"/>
        </w:rPr>
        <w:t>A reproducible controlled comparison of five models — Random Forest, XGBoost, LSTM, GRU, and CNN-LSTM — evaluated under identical preprocessing, training, and evaluation protocols on two datasets representing contrasting demand scales.</w:t>
      </w:r>
    </w:p>
    <w:p>
      <w:pPr>
        <w:spacing w:before="40" w:after="60"/>
        <w:ind w:left="432"/>
        <w:jc w:val="both"/>
      </w:pPr>
      <w:r>
        <w:rPr>
          <w:rFonts w:ascii="Times New Roman" w:hAnsi="Times New Roman" w:cs="Times New Roman"/>
          <w:rFonts w:ascii="Times New Roman" w:hAnsi="Times New Roman"/>
          <w:b/>
          <w:i w:val="0"/>
          <w:sz w:val="22"/>
        </w:rPr>
        <w:t xml:space="preserve">2.  </w:t>
      </w:r>
      <w:r>
        <w:rPr>
          <w:rFonts w:ascii="Times New Roman" w:hAnsi="Times New Roman" w:cs="Times New Roman"/>
          <w:rFonts w:ascii="Times New Roman" w:hAnsi="Times New Roman"/>
          <w:b w:val="0"/>
          <w:i w:val="0"/>
          <w:sz w:val="22"/>
        </w:rPr>
        <w:t>Structured time series analytics prior to modelling, comprising seasonal decomposition, autocorrelation (ACF) and partial autocorrelation (PACF) analysis, and hourly/daily/monthly consumption pattern profiling to motivate and validate modelling decisions.</w:t>
      </w:r>
    </w:p>
    <w:p>
      <w:pPr>
        <w:spacing w:before="40" w:after="60"/>
        <w:ind w:left="432"/>
        <w:jc w:val="both"/>
      </w:pPr>
      <w:r>
        <w:rPr>
          <w:rFonts w:ascii="Times New Roman" w:hAnsi="Times New Roman" w:cs="Times New Roman"/>
          <w:rFonts w:ascii="Times New Roman" w:hAnsi="Times New Roman"/>
          <w:b/>
          <w:i w:val="0"/>
          <w:sz w:val="22"/>
        </w:rPr>
        <w:t xml:space="preserve">3.  </w:t>
      </w:r>
      <w:r>
        <w:rPr>
          <w:rFonts w:ascii="Times New Roman" w:hAnsi="Times New Roman" w:cs="Times New Roman"/>
          <w:rFonts w:ascii="Times New Roman" w:hAnsi="Times New Roman"/>
          <w:b w:val="0"/>
          <w:i w:val="0"/>
          <w:sz w:val="22"/>
        </w:rPr>
        <w:t>A live prediction web application built with Streamlit that enables real-time demand forecasting using the best-performing trained model, making results accessible to non-specialist energy stakeholders.</w:t>
      </w:r>
    </w:p>
    <w:p>
      <w:pPr>
        <w:spacing w:before="40" w:after="60"/>
        <w:ind w:left="432"/>
        <w:jc w:val="both"/>
      </w:pPr>
      <w:r>
        <w:rPr>
          <w:rFonts w:ascii="Times New Roman" w:hAnsi="Times New Roman" w:cs="Times New Roman"/>
          <w:rFonts w:ascii="Times New Roman" w:hAnsi="Times New Roman"/>
          <w:b/>
          <w:i w:val="0"/>
          <w:sz w:val="22"/>
        </w:rPr>
        <w:t xml:space="preserve">4.  </w:t>
      </w:r>
      <w:r>
        <w:rPr>
          <w:rFonts w:ascii="Times New Roman" w:hAnsi="Times New Roman" w:cs="Times New Roman"/>
          <w:rFonts w:ascii="Times New Roman" w:hAnsi="Times New Roman"/>
          <w:b w:val="0"/>
          <w:i w:val="0"/>
          <w:sz w:val="22"/>
        </w:rPr>
        <w:t>The empirical finding that Random Forest achieves R² = 0.9962 on the PJM East hourly dataset — outperforming all three deep learning architectures — providing evidence that traditional ensemble methods remain highly competitive for short-term load forecasting when a well-chosen 24-hour look-back window is employed.</w:t>
      </w:r>
    </w:p>
    <w:p>
      <w:pPr>
        <w:spacing w:before="0" w:after="80"/>
        <w:jc w:val="both"/>
      </w:pPr>
      <w:r>
        <w:rPr>
          <w:rFonts w:ascii="Times New Roman" w:hAnsi="Times New Roman" w:cs="Times New Roman"/>
          <w:rFonts w:ascii="Times New Roman" w:hAnsi="Times New Roman"/>
          <w:b w:val="0"/>
          <w:i w:val="0"/>
          <w:sz w:val="22"/>
        </w:rPr>
        <w:t>The remainder of this paper is structured as follows: Section II reviews the related literature on deep learning and machine learning approaches to energy forecasting; Section III describes the proposed methodology, including dataset selection, preprocessing pipeline, exploratory analytics, model architectures, and training protocol; Section IV presents experimental results and comparative analysis; and Section V concludes the paper with a discussion of findings and directions for future work.</w:t>
      </w:r>
    </w:p>
    <w:p>
      <w:r>
        <w:br w:type="page"/>
      </w:r>
    </w:p>
    <w:p>
      <w:pPr>
        <w:spacing w:before="240" w:after="120"/>
        <w:jc w:val="center"/>
      </w:pPr>
      <w:r>
        <w:rPr>
          <w:rFonts w:ascii="Times New Roman" w:hAnsi="Times New Roman" w:cs="Times New Roman"/>
          <w:rFonts w:ascii="Times New Roman" w:hAnsi="Times New Roman"/>
          <w:b/>
          <w:i w:val="0"/>
          <w:sz w:val="24"/>
        </w:rPr>
        <w:t>II. RELATED WORK</w:t>
      </w:r>
    </w:p>
    <w:p>
      <w:pPr>
        <w:spacing w:before="0" w:after="120"/>
        <w:jc w:val="both"/>
      </w:pPr>
      <w:r>
        <w:rPr>
          <w:rFonts w:ascii="Times New Roman" w:hAnsi="Times New Roman" w:cs="Times New Roman"/>
          <w:rFonts w:ascii="Times New Roman" w:hAnsi="Times New Roman"/>
          <w:b w:val="0"/>
          <w:i w:val="0"/>
          <w:sz w:val="22"/>
        </w:rPr>
        <w:t>Energy consumption forecasting has become an important research area because accurate predictions help energy providers manage the balance between supply and demand, lower operating costs, and keep the power grid stable [2]. In the past, researchers mostly used statistical methods such as ARIMA and exponential smoothing. These methods are simple and easy to understand, but they often fail to model the complex and non-linear patterns that are found in modern energy data [1]. Energy demand changes with the time of day, the season, the weather, and human behaviour, so it is difficult for linear models to capture all of these effects at the same time. Because of these limits, recent studies have moved towards deep learning, which can learn complex patterns directly from large datasets [11]. This review discusses the main deep learning models used for energy forecasting, the move towards hybrid and attention-based methods, the role of traditional machine learning baselines, and the research gaps that this project aims to address.</w:t>
      </w:r>
    </w:p>
    <w:p>
      <w:pPr>
        <w:spacing w:before="160" w:after="60"/>
        <w:jc w:val="left"/>
      </w:pPr>
      <w:r>
        <w:rPr>
          <w:rFonts w:ascii="Times New Roman" w:hAnsi="Times New Roman" w:cs="Times New Roman"/>
          <w:rFonts w:ascii="Times New Roman" w:hAnsi="Times New Roman"/>
          <w:b/>
          <w:i/>
          <w:sz w:val="22"/>
        </w:rPr>
        <w:t>A. Recurrent Neural Networks for Load Forecasting</w:t>
      </w:r>
    </w:p>
    <w:p>
      <w:pPr>
        <w:spacing w:before="0" w:after="120"/>
        <w:jc w:val="both"/>
      </w:pPr>
      <w:r>
        <w:rPr>
          <w:rFonts w:ascii="Times New Roman" w:hAnsi="Times New Roman" w:cs="Times New Roman"/>
          <w:rFonts w:ascii="Times New Roman" w:hAnsi="Times New Roman"/>
          <w:b w:val="0"/>
          <w:i w:val="0"/>
          <w:sz w:val="22"/>
        </w:rPr>
        <w:t>Recurrent neural networks (RNNs) are widely used for energy forecasting because they are designed to handle sequential data. The Long Short-Term Memory (LSTM) network is the most popular type of RNN in this field. LSTM models use special memory gates that allow them to remember information over long time periods, which helps them learn the temporal dependencies in electricity consumption data. Kong et al. [1] applied an LSTM model to short-term residential load forecasting and showed that it produced more accurate results than ARIMA and shallow machine learning models. Their study became an important benchmark for later research. The Gated Recurrent Unit (GRU) is a newer and simpler version of the LSTM. It uses fewer gates, so it trains faster and needs less computing power, while still giving similar accuracy. Because of this useful balance, many recent studies compare LSTM and GRU networks in order to find the best trade-off between accuracy and training cost [3]. Together, these works confirm that recurrent models provide a strong foundation for time series energy forecasting.</w:t>
      </w:r>
    </w:p>
    <w:p>
      <w:pPr>
        <w:spacing w:before="160" w:after="60"/>
        <w:jc w:val="left"/>
      </w:pPr>
      <w:r>
        <w:rPr>
          <w:rFonts w:ascii="Times New Roman" w:hAnsi="Times New Roman" w:cs="Times New Roman"/>
          <w:rFonts w:ascii="Times New Roman" w:hAnsi="Times New Roman"/>
          <w:b/>
          <w:i/>
          <w:sz w:val="22"/>
        </w:rPr>
        <w:t>B. Hybrid Deep Learning Models</w:t>
      </w:r>
    </w:p>
    <w:p>
      <w:pPr>
        <w:spacing w:before="0" w:after="120"/>
        <w:jc w:val="both"/>
      </w:pPr>
      <w:r>
        <w:rPr>
          <w:rFonts w:ascii="Times New Roman" w:hAnsi="Times New Roman" w:cs="Times New Roman"/>
          <w:rFonts w:ascii="Times New Roman" w:hAnsi="Times New Roman"/>
          <w:b w:val="0"/>
          <w:i w:val="0"/>
          <w:sz w:val="22"/>
        </w:rPr>
        <w:t>Although LSTM and GRU models work well on their own, researchers have found that combining them with other architectures can improve accuracy even further. Convolutional Neural Networks (CNNs) are good at finding local patterns and short-term features in data. When a CNN is joined with a recurrent layer, the CNN part extracts useful features while the recurrent part models the time order of the sequence. Sajjad et al. [3] proposed a CNN-GRU hybrid for residential load forecasting and reported lower prediction errors than single models. In a similar way, Rafi et al. [5] integrated CNN and LSTM layers and showed that the combined model captured both local and temporal features more effectively than a standard network. Farsi et al. [6] introduced a parallel deep LSTM-CNN model and confirmed that hybrid designs can outperform traditional machine learning techniques on short-term load forecasting tasks. These studies show a clear trend in the literature: hybrid deep learning models usually give better results than a single architecture, because each part of the network is responsible for a different aspect of the data.</w:t>
      </w:r>
    </w:p>
    <w:p>
      <w:pPr>
        <w:spacing w:before="160" w:after="60"/>
        <w:jc w:val="left"/>
      </w:pPr>
      <w:r>
        <w:rPr>
          <w:rFonts w:ascii="Times New Roman" w:hAnsi="Times New Roman" w:cs="Times New Roman"/>
          <w:rFonts w:ascii="Times New Roman" w:hAnsi="Times New Roman"/>
          <w:b/>
          <w:i/>
          <w:sz w:val="22"/>
        </w:rPr>
        <w:t>C. Attention and Transformer-Based Models</w:t>
      </w:r>
    </w:p>
    <w:p>
      <w:pPr>
        <w:spacing w:before="0" w:after="120"/>
        <w:jc w:val="both"/>
      </w:pPr>
      <w:r>
        <w:rPr>
          <w:rFonts w:ascii="Times New Roman" w:hAnsi="Times New Roman" w:cs="Times New Roman"/>
          <w:rFonts w:ascii="Times New Roman" w:hAnsi="Times New Roman"/>
          <w:b w:val="0"/>
          <w:i w:val="0"/>
          <w:sz w:val="22"/>
        </w:rPr>
        <w:t>A known weakness of the standard LSTM model is that it can struggle to learn very long time dependencies, because important information may be lost over many time steps. To solve this problem, researchers introduced attention mechanisms, which allow a model to focus on the most relevant past time steps when making a prediction. Sehovac and Grolinger [4] used a sequence-to-sequence recurrent model with attention for load forecasting and found that attention improved both the accuracy and the interpretability of the results. More recently, transformer models, which are built entirely on self-attention, have become popular for long-sequence forecasting. Zhou et al. [10] proposed the Informer model, a transformer designed for long sequence time-series forecasting, and demonstrated that it can predict over longer horizons more efficiently than traditional recurrent models. These attention-based methods are widely seen as a promising direction for the future of energy forecasting, especially when long-term predictions are required.</w:t>
      </w:r>
    </w:p>
    <w:p>
      <w:pPr>
        <w:spacing w:before="160" w:after="60"/>
        <w:jc w:val="left"/>
      </w:pPr>
      <w:r>
        <w:rPr>
          <w:rFonts w:ascii="Times New Roman" w:hAnsi="Times New Roman" w:cs="Times New Roman"/>
          <w:rFonts w:ascii="Times New Roman" w:hAnsi="Times New Roman"/>
          <w:b/>
          <w:i/>
          <w:sz w:val="22"/>
        </w:rPr>
        <w:t>D. Building Energy Forecasting and Model Optimisation</w:t>
      </w:r>
    </w:p>
    <w:p>
      <w:pPr>
        <w:spacing w:before="0" w:after="120"/>
        <w:jc w:val="both"/>
      </w:pPr>
      <w:r>
        <w:rPr>
          <w:rFonts w:ascii="Times New Roman" w:hAnsi="Times New Roman" w:cs="Times New Roman"/>
          <w:rFonts w:ascii="Times New Roman" w:hAnsi="Times New Roman"/>
          <w:b w:val="0"/>
          <w:i w:val="0"/>
          <w:sz w:val="22"/>
        </w:rPr>
        <w:t>Beyond grid-level forecasting, deep learning has also been applied to building and household energy prediction. Somu et al. [8] developed a hybrid model based on LSTM networks for building energy consumption forecasting and reported strong accuracy under different conditions. In a later study, the same authors [9] proposed a complete deep learning framework for building energy forecasting and stressed the importance of careful data preprocessing and feature selection. Other researchers have focused on improving the way models are trained. Hafeez et al. [7] combined a deep learning model with a heuristic optimisation algorithm to tune the model parameters and achieved better forecasting accuracy in a smart grid setting. These studies show that forecasting performance depends not only on the choice of model, but also on good data preparation and proper hyperparameter tuning.</w:t>
      </w:r>
    </w:p>
    <w:p>
      <w:pPr>
        <w:spacing w:before="160" w:after="60"/>
        <w:jc w:val="left"/>
      </w:pPr>
      <w:r>
        <w:rPr>
          <w:rFonts w:ascii="Times New Roman" w:hAnsi="Times New Roman" w:cs="Times New Roman"/>
          <w:rFonts w:ascii="Times New Roman" w:hAnsi="Times New Roman"/>
          <w:b/>
          <w:i/>
          <w:sz w:val="22"/>
        </w:rPr>
        <w:t>E. Traditional Baselines and Comparative Reviews</w:t>
      </w:r>
    </w:p>
    <w:p>
      <w:pPr>
        <w:spacing w:before="0" w:after="120"/>
        <w:jc w:val="both"/>
      </w:pPr>
      <w:r>
        <w:rPr>
          <w:rFonts w:ascii="Times New Roman" w:hAnsi="Times New Roman" w:cs="Times New Roman"/>
          <w:rFonts w:ascii="Times New Roman" w:hAnsi="Times New Roman"/>
          <w:b w:val="0"/>
          <w:i w:val="0"/>
          <w:sz w:val="22"/>
        </w:rPr>
        <w:t>Even though deep learning is now the leading approach, traditional machine learning models are still widely used as baselines for comparison. Tree-based ensemble methods such as Random Forest and gradient boosted models like XGBoost are popular because they are fast, robust, and easy to train, and they often give competitive results on structured tabular data [6]. Including such baselines allows researchers to judge whether the extra complexity of a deep learning model is truly justified by a real gain in accuracy. Several review and survey papers give a broad picture of the whole field. Wang et al. [2] reviewed smart meter data analytics and identified deep learning as the most promising approach for large-scale energy prediction, because smart meter data is large, fast, and varied. Lim and Zohren [11] surveyed deep learning methods for time series forecasting and explained the main model families, including recurrent, convolutional, and attention-based designs. Gasparin et al. [12] reviewed deep learning models specifically for the electric load forecasting case and compared their strengths and weaknesses. These reviews agree that deep learning provides strong forecasting accuracy, but they also note that most studies concentrate on accuracy alone and pay less attention to interpretation and practical use.</w:t>
      </w:r>
    </w:p>
    <w:p>
      <w:pPr>
        <w:spacing w:before="160" w:after="60"/>
        <w:jc w:val="left"/>
      </w:pPr>
      <w:r>
        <w:rPr>
          <w:rFonts w:ascii="Times New Roman" w:hAnsi="Times New Roman" w:cs="Times New Roman"/>
          <w:rFonts w:ascii="Times New Roman" w:hAnsi="Times New Roman"/>
          <w:b/>
          <w:i/>
          <w:sz w:val="22"/>
        </w:rPr>
        <w:t>F. Research Gap</w:t>
      </w:r>
    </w:p>
    <w:p>
      <w:pPr>
        <w:spacing w:before="0" w:after="120"/>
        <w:jc w:val="both"/>
      </w:pPr>
      <w:r>
        <w:rPr>
          <w:rFonts w:ascii="Times New Roman" w:hAnsi="Times New Roman" w:cs="Times New Roman"/>
          <w:rFonts w:ascii="Times New Roman" w:hAnsi="Times New Roman"/>
          <w:b w:val="0"/>
          <w:i w:val="0"/>
          <w:sz w:val="22"/>
        </w:rPr>
        <w:t>While the reviewed literature clearly shows the value of deep learning for energy forecasting, several gaps remain. First, many studies focus mainly on prediction accuracy and do not include detailed time series analytics, such as trend decomposition, seasonality analysis, and the interpretation of consumption behaviour [2], [12]. Second, only a limited number of studies compare several deep learning architectures under the same dataset and the same evaluation conditions, which makes it difficult to fairly decide which model performs best [6]. Third, there is a clear lack of interactive visualisation tools that present forecasting results in a simple, decision-ready format for real users such as energy managers and planners. This project aims to close these gaps by combining comparative deep learning forecasting (LSTM, GRU, and CNN-LSTM) together with strong traditional baselines (Random Forest and XGBoost), structured time series analytics, and an interactive Streamlit dashboard within a single, reproducible framework that is evaluated on both regional and household energy consumption datasets.</w:t>
      </w:r>
    </w:p>
    <w:p>
      <w:r>
        <w:br w:type="page"/>
      </w:r>
    </w:p>
    <w:p>
      <w:pPr>
        <w:spacing w:before="240" w:after="120"/>
        <w:jc w:val="center"/>
      </w:pPr>
      <w:r>
        <w:rPr>
          <w:rFonts w:ascii="Times New Roman" w:hAnsi="Times New Roman" w:cs="Times New Roman"/>
          <w:rFonts w:ascii="Times New Roman" w:hAnsi="Times New Roman"/>
          <w:b/>
          <w:i w:val="0"/>
          <w:sz w:val="24"/>
        </w:rPr>
        <w:t>III. METHODOLOGY</w:t>
      </w:r>
    </w:p>
    <w:p>
      <w:pPr>
        <w:spacing w:before="0" w:after="120"/>
        <w:jc w:val="both"/>
      </w:pPr>
      <w:r>
        <w:rPr>
          <w:rFonts w:ascii="Times New Roman" w:hAnsi="Times New Roman" w:cs="Times New Roman"/>
          <w:rFonts w:ascii="Times New Roman" w:hAnsi="Times New Roman"/>
          <w:b w:val="0"/>
          <w:i w:val="0"/>
          <w:sz w:val="22"/>
        </w:rPr>
        <w:t>This section describes the end-to-end experimental pipeline: the two datasets selected for evaluation, the six-step preprocessing procedure applied uniformly to both, the exploratory analytics conducted prior to modelling, the five model architectures compared, the shared training protocol, and the four evaluation metrics used to assess performance.</w:t>
      </w:r>
    </w:p>
    <w:p>
      <w:pPr>
        <w:spacing w:before="160" w:after="60"/>
        <w:jc w:val="left"/>
      </w:pPr>
      <w:r>
        <w:rPr>
          <w:rFonts w:ascii="Times New Roman" w:hAnsi="Times New Roman" w:cs="Times New Roman"/>
          <w:rFonts w:ascii="Times New Roman" w:hAnsi="Times New Roman"/>
          <w:b/>
          <w:i/>
          <w:sz w:val="22"/>
        </w:rPr>
        <w:t>A. Dataset Description</w:t>
      </w:r>
    </w:p>
    <w:p>
      <w:pPr>
        <w:spacing w:before="0" w:after="120"/>
        <w:jc w:val="both"/>
      </w:pPr>
      <w:r>
        <w:rPr>
          <w:rFonts w:ascii="Times New Roman" w:hAnsi="Times New Roman" w:cs="Times New Roman"/>
          <w:rFonts w:ascii="Times New Roman" w:hAnsi="Times New Roman"/>
          <w:b w:val="0"/>
          <w:i w:val="0"/>
          <w:sz w:val="22"/>
        </w:rPr>
        <w:t>Two publicly available datasets were deliberately selected to represent contrasting demand scales, enabling an assessment of model generalisability across fundamentally different consumption contexts.</w:t>
      </w:r>
    </w:p>
    <w:p>
      <w:pPr>
        <w:spacing w:before="80" w:after="100"/>
        <w:jc w:val="both"/>
      </w:pPr>
      <w:r>
        <w:rPr>
          <w:rFonts w:ascii="Times New Roman" w:hAnsi="Times New Roman" w:cs="Times New Roman"/>
          <w:rFonts w:ascii="Times New Roman" w:hAnsi="Times New Roman"/>
          <w:b w:val="0"/>
          <w:i/>
          <w:sz w:val="22"/>
        </w:rPr>
        <w:t xml:space="preserve">PJM East Hourly Energy Consumption (Primary Dataset): </w:t>
      </w:r>
      <w:r>
        <w:rPr>
          <w:rFonts w:ascii="Times New Roman" w:hAnsi="Times New Roman" w:cs="Times New Roman"/>
          <w:rFonts w:ascii="Times New Roman" w:hAnsi="Times New Roman"/>
          <w:b w:val="0"/>
          <w:i w:val="0"/>
          <w:sz w:val="22"/>
        </w:rPr>
        <w:t>Sourced from Kaggle [13], this dataset contains 145,366 hourly MW readings spanning December 2002 to January 2018, drawn from the PJM East regional interconnection — one of North America’s largest electricity markets. The dataset comprises two columns: Datetime and PJME_MW (megawatt demand). Visual inspection reveals clear daily and weekly seasonality together with dual seasonal peaks: summer air-conditioning demand and winter heating demand. This dataset is ideal as a primary benchmark because of its long span, large volume, and well-structured periodicity.</w:t>
      </w:r>
    </w:p>
    <w:p>
      <w:pPr>
        <w:spacing w:before="80" w:after="100"/>
        <w:jc w:val="both"/>
      </w:pPr>
      <w:r>
        <w:rPr>
          <w:rFonts w:ascii="Times New Roman" w:hAnsi="Times New Roman" w:cs="Times New Roman"/>
          <w:rFonts w:ascii="Times New Roman" w:hAnsi="Times New Roman"/>
          <w:b w:val="0"/>
          <w:i/>
          <w:sz w:val="22"/>
        </w:rPr>
        <w:t xml:space="preserve">UCI Individual Household Electric Power Consumption (Secondary Dataset): </w:t>
      </w:r>
      <w:r>
        <w:rPr>
          <w:rFonts w:ascii="Times New Roman" w:hAnsi="Times New Roman" w:cs="Times New Roman"/>
          <w:rFonts w:ascii="Times New Roman" w:hAnsi="Times New Roman"/>
          <w:b w:val="0"/>
          <w:i w:val="0"/>
          <w:sz w:val="22"/>
        </w:rPr>
        <w:t>Sourced from the UCI Machine Learning Repository [14], this dataset contains minute-level readings from a single residential property in Sceaux, France, covering December 2006 to November 2010. Nine attributes are recorded; the target variable for this study is Global_active_power (kW). The raw dataset contains approximately 2,075,259 minute-level observations with approximately 1.25 % missing values encoded as ‘?’. After resampling to hourly resolution by averaging, approximately 34,589 observations remain. High short-term variability driven by individual occupant behaviour makes this dataset substantially harder to forecast than the regional dataset, providing a meaningful contrast for assessing model robustness.</w:t>
      </w:r>
    </w:p>
    <w:p>
      <w:pPr>
        <w:spacing w:before="0" w:after="120"/>
        <w:jc w:val="both"/>
      </w:pPr>
      <w:r>
        <w:rPr>
          <w:rFonts w:ascii="Times New Roman" w:hAnsi="Times New Roman" w:cs="Times New Roman"/>
          <w:rFonts w:ascii="Times New Roman" w:hAnsi="Times New Roman"/>
          <w:b w:val="0"/>
          <w:i w:val="0"/>
          <w:sz w:val="22"/>
        </w:rPr>
        <w:t>This deliberate pairing of a large regional grid dataset and a small household dataset tests whether each model class generalises across fundamentally different demand scales and consumption dynamics.</w:t>
      </w:r>
    </w:p>
    <w:p>
      <w:pPr>
        <w:spacing w:before="160" w:after="60"/>
        <w:jc w:val="left"/>
      </w:pPr>
      <w:r>
        <w:rPr>
          <w:rFonts w:ascii="Times New Roman" w:hAnsi="Times New Roman" w:cs="Times New Roman"/>
          <w:rFonts w:ascii="Times New Roman" w:hAnsi="Times New Roman"/>
          <w:b/>
          <w:i/>
          <w:sz w:val="22"/>
        </w:rPr>
        <w:t>B. Data Preprocessing</w:t>
      </w:r>
    </w:p>
    <w:p>
      <w:pPr>
        <w:spacing w:before="0" w:after="120"/>
        <w:jc w:val="both"/>
      </w:pPr>
      <w:r>
        <w:rPr>
          <w:rFonts w:ascii="Times New Roman" w:hAnsi="Times New Roman" w:cs="Times New Roman"/>
          <w:rFonts w:ascii="Times New Roman" w:hAnsi="Times New Roman"/>
          <w:b w:val="0"/>
          <w:i w:val="0"/>
          <w:sz w:val="22"/>
        </w:rPr>
        <w:t>A uniform six-step preprocessing pipeline was applied to both datasets before any model was trained, ensuring that observed performance differences are attributable to model architecture rather than inconsistent data handling.</w:t>
      </w:r>
    </w:p>
    <w:p>
      <w:pPr>
        <w:spacing w:before="60" w:after="80"/>
        <w:ind w:left="288"/>
        <w:jc w:val="both"/>
      </w:pPr>
      <w:r>
        <w:rPr>
          <w:rFonts w:ascii="Times New Roman" w:hAnsi="Times New Roman" w:cs="Times New Roman"/>
          <w:rFonts w:ascii="Times New Roman" w:hAnsi="Times New Roman"/>
          <w:b/>
          <w:i w:val="0"/>
          <w:sz w:val="22"/>
        </w:rPr>
        <w:t xml:space="preserve">Step 1 — Timestamp Indexing and Resampling:  </w:t>
      </w:r>
      <w:r>
        <w:rPr>
          <w:rFonts w:ascii="Times New Roman" w:hAnsi="Times New Roman" w:cs="Times New Roman"/>
          <w:rFonts w:ascii="Times New Roman" w:hAnsi="Times New Roman"/>
          <w:b w:val="0"/>
          <w:i w:val="0"/>
          <w:sz w:val="22"/>
        </w:rPr>
        <w:t>Datetime strings were parsed and set as the DataFrame index. The UCI dataset was resampled to hourly resolution by computing the mean of all minute-level readings within each hour. The PJM dataset was reindexed over a complete hourly DatetimeIndex to expose any implicit gaps, which were subsequently filled using forward-fill.</w:t>
      </w:r>
    </w:p>
    <w:p>
      <w:pPr>
        <w:spacing w:before="60" w:after="80"/>
        <w:ind w:left="288"/>
        <w:jc w:val="both"/>
      </w:pPr>
      <w:r>
        <w:rPr>
          <w:rFonts w:ascii="Times New Roman" w:hAnsi="Times New Roman" w:cs="Times New Roman"/>
          <w:rFonts w:ascii="Times New Roman" w:hAnsi="Times New Roman"/>
          <w:b/>
          <w:i w:val="0"/>
          <w:sz w:val="22"/>
        </w:rPr>
        <w:t xml:space="preserve">Step 2 — Missing Value Imputation:  </w:t>
      </w:r>
      <w:r>
        <w:rPr>
          <w:rFonts w:ascii="Times New Roman" w:hAnsi="Times New Roman" w:cs="Times New Roman"/>
          <w:rFonts w:ascii="Times New Roman" w:hAnsi="Times New Roman"/>
          <w:b w:val="0"/>
          <w:i w:val="0"/>
          <w:sz w:val="22"/>
        </w:rPr>
        <w:t>For the UCI dataset, the sentinel string ‘?’ was replaced with NaN before imputation. Remaining gaps in both datasets were resolved by forward-fill followed by backward-fill, ensuring no isolated NaN values remained after resampling.</w:t>
      </w:r>
    </w:p>
    <w:p>
      <w:pPr>
        <w:spacing w:before="60" w:after="80"/>
        <w:ind w:left="288"/>
        <w:jc w:val="both"/>
      </w:pPr>
      <w:r>
        <w:rPr>
          <w:rFonts w:ascii="Times New Roman" w:hAnsi="Times New Roman" w:cs="Times New Roman"/>
          <w:rFonts w:ascii="Times New Roman" w:hAnsi="Times New Roman"/>
          <w:b/>
          <w:i w:val="0"/>
          <w:sz w:val="22"/>
        </w:rPr>
        <w:t xml:space="preserve">Step 3 — Outlier Treatment:  </w:t>
      </w:r>
      <w:r>
        <w:rPr>
          <w:rFonts w:ascii="Times New Roman" w:hAnsi="Times New Roman" w:cs="Times New Roman"/>
          <w:rFonts w:ascii="Times New Roman" w:hAnsi="Times New Roman"/>
          <w:b w:val="0"/>
          <w:i w:val="0"/>
          <w:sz w:val="22"/>
        </w:rPr>
        <w:t>An IQR-based clipping strategy was applied: values outside the interval [Q1 − 1.5 × IQR, Q3 + 1.5 × IQR] were clipped to the respective boundary values. Clipping rather than removal preserves the length and continuity of the time series, which is essential for sequence modelling.</w:t>
      </w:r>
    </w:p>
    <w:p>
      <w:pPr>
        <w:spacing w:before="60" w:after="80"/>
        <w:ind w:left="288"/>
        <w:jc w:val="both"/>
      </w:pPr>
      <w:r>
        <w:rPr>
          <w:rFonts w:ascii="Times New Roman" w:hAnsi="Times New Roman" w:cs="Times New Roman"/>
          <w:rFonts w:ascii="Times New Roman" w:hAnsi="Times New Roman"/>
          <w:b/>
          <w:i w:val="0"/>
          <w:sz w:val="22"/>
        </w:rPr>
        <w:t xml:space="preserve">Step 4 — Temporal Feature Extraction:  </w:t>
      </w:r>
      <w:r>
        <w:rPr>
          <w:rFonts w:ascii="Times New Roman" w:hAnsi="Times New Roman" w:cs="Times New Roman"/>
          <w:rFonts w:ascii="Times New Roman" w:hAnsi="Times New Roman"/>
          <w:b w:val="0"/>
          <w:i w:val="0"/>
          <w:sz w:val="22"/>
        </w:rPr>
        <w:t>Seven calendar features were extracted from the datetime index: hour (0–23), day_of_week (0–6), day_of_month, month, year, is_weekend (binary 0/1), and season (0–3 encoding winter/spring/summer/autumn). These features encode known periodicity signals and are used exclusively by the tree-based models, which receive a flattened feature vector rather than a raw sequence.</w:t>
      </w:r>
    </w:p>
    <w:p>
      <w:pPr>
        <w:spacing w:before="60" w:after="80"/>
        <w:ind w:left="288"/>
        <w:jc w:val="both"/>
      </w:pPr>
      <w:r>
        <w:rPr>
          <w:rFonts w:ascii="Times New Roman" w:hAnsi="Times New Roman" w:cs="Times New Roman"/>
          <w:rFonts w:ascii="Times New Roman" w:hAnsi="Times New Roman"/>
          <w:b/>
          <w:i w:val="0"/>
          <w:sz w:val="22"/>
        </w:rPr>
        <w:t xml:space="preserve">Step 5 — Min-Max Normalisation:  </w:t>
      </w:r>
      <w:r>
        <w:rPr>
          <w:rFonts w:ascii="Times New Roman" w:hAnsi="Times New Roman" w:cs="Times New Roman"/>
          <w:rFonts w:ascii="Times New Roman" w:hAnsi="Times New Roman"/>
          <w:b w:val="0"/>
          <w:i w:val="0"/>
          <w:sz w:val="22"/>
        </w:rPr>
        <w:t>The target consumption series was scaled to [0, 1] using Min-Max normalisation. Critically, the scaler was fitted on the training partition only and then applied to the test partition, preventing any data leakage from future observations into the training process.</w:t>
      </w:r>
    </w:p>
    <w:p>
      <w:pPr>
        <w:spacing w:before="60" w:after="80"/>
        <w:ind w:left="288"/>
        <w:jc w:val="both"/>
      </w:pPr>
      <w:r>
        <w:rPr>
          <w:rFonts w:ascii="Times New Roman" w:hAnsi="Times New Roman" w:cs="Times New Roman"/>
          <w:rFonts w:ascii="Times New Roman" w:hAnsi="Times New Roman"/>
          <w:b/>
          <w:i w:val="0"/>
          <w:sz w:val="22"/>
        </w:rPr>
        <w:t xml:space="preserve">Step 6 — Sequence Windowing:  </w:t>
      </w:r>
      <w:r>
        <w:rPr>
          <w:rFonts w:ascii="Times New Roman" w:hAnsi="Times New Roman" w:cs="Times New Roman"/>
          <w:rFonts w:ascii="Times New Roman" w:hAnsi="Times New Roman"/>
          <w:b w:val="0"/>
          <w:i w:val="0"/>
          <w:sz w:val="22"/>
        </w:rPr>
        <w:t>A sliding window of width W = 24 hours was applied to convert the normalised time series into supervised input–output pairs X ∈ ℝ²⁴ → y. The choice of W = 24 is motivated by ACF analysis (described in Section III-C), which reveals a significant autocorrelation spike at lag 24, confirming daily periodicity [1]. A chronological 80/20 split was used: approximately 116,277 training and 29,065 test samples for PJM East, and approximately 27,671 training and 6,918 test samples for UCI. No shuffling was performed, preserving temporal causality throughout.</w:t>
      </w:r>
    </w:p>
    <w:p>
      <w:pPr>
        <w:spacing w:before="160" w:after="60"/>
        <w:jc w:val="left"/>
      </w:pPr>
      <w:r>
        <w:rPr>
          <w:rFonts w:ascii="Times New Roman" w:hAnsi="Times New Roman" w:cs="Times New Roman"/>
          <w:rFonts w:ascii="Times New Roman" w:hAnsi="Times New Roman"/>
          <w:b/>
          <w:i/>
          <w:sz w:val="22"/>
        </w:rPr>
        <w:t>C. Exploratory Data Analysis</w:t>
      </w:r>
    </w:p>
    <w:p>
      <w:pPr>
        <w:spacing w:before="0" w:after="120"/>
        <w:jc w:val="both"/>
      </w:pPr>
      <w:r>
        <w:rPr>
          <w:rFonts w:ascii="Times New Roman" w:hAnsi="Times New Roman" w:cs="Times New Roman"/>
          <w:rFonts w:ascii="Times New Roman" w:hAnsi="Times New Roman"/>
          <w:b w:val="0"/>
          <w:i w:val="0"/>
          <w:sz w:val="22"/>
        </w:rPr>
        <w:t>A structured exploratory data analysis (EDA) was conducted prior to model training. Four complementary analyses were performed on both datasets.</w:t>
      </w:r>
    </w:p>
    <w:p>
      <w:pPr>
        <w:spacing w:before="60" w:after="80"/>
        <w:ind w:left="288"/>
        <w:jc w:val="both"/>
      </w:pPr>
      <w:r>
        <w:rPr>
          <w:rFonts w:ascii="Times New Roman" w:hAnsi="Times New Roman" w:cs="Times New Roman"/>
          <w:rFonts w:ascii="Times New Roman" w:hAnsi="Times New Roman"/>
          <w:b/>
          <w:i w:val="0"/>
          <w:sz w:val="22"/>
        </w:rPr>
        <w:t xml:space="preserve">Time Series Visualisation:  </w:t>
      </w:r>
      <w:r>
        <w:rPr>
          <w:rFonts w:ascii="Times New Roman" w:hAnsi="Times New Roman" w:cs="Times New Roman"/>
          <w:rFonts w:ascii="Times New Roman" w:hAnsi="Times New Roman"/>
          <w:b w:val="0"/>
          <w:i w:val="0"/>
          <w:sz w:val="22"/>
        </w:rPr>
        <w:t>Full-span line plots of the consumption series were produced for both datasets. PJM East exhibits an upward trend from 2002 to approximately 2010 followed by a plateau, together with visually prominent annual seasonal cycles. The UCI household series shows no discernible long-term trend but extreme short-term variability driven by individual appliance events.</w:t>
      </w:r>
    </w:p>
    <w:p>
      <w:pPr>
        <w:spacing w:before="60" w:after="80"/>
        <w:ind w:left="288"/>
        <w:jc w:val="both"/>
      </w:pPr>
      <w:r>
        <w:rPr>
          <w:rFonts w:ascii="Times New Roman" w:hAnsi="Times New Roman" w:cs="Times New Roman"/>
          <w:rFonts w:ascii="Times New Roman" w:hAnsi="Times New Roman"/>
          <w:b/>
          <w:i w:val="0"/>
          <w:sz w:val="22"/>
        </w:rPr>
        <w:t xml:space="preserve">Seasonal Decomposition:  </w:t>
      </w:r>
      <w:r>
        <w:rPr>
          <w:rFonts w:ascii="Times New Roman" w:hAnsi="Times New Roman" w:cs="Times New Roman"/>
          <w:rFonts w:ascii="Times New Roman" w:hAnsi="Times New Roman"/>
          <w:b w:val="0"/>
          <w:i w:val="0"/>
          <w:sz w:val="22"/>
        </w:rPr>
        <w:t>Classical additive decomposition [15] was applied with a period of 168 hours (one full week), separating each series into trend, weekly seasonal, and residual components. For PJM East, the residual component is proportionally small relative to the seasonal component, indicating high forecastability. For the UCI dataset, the residual component dominates, reflecting the inherent unpredictability of individual behaviour and partially explaining the lower model performance observed on that dataset.</w:t>
      </w:r>
    </w:p>
    <w:p>
      <w:pPr>
        <w:spacing w:before="60" w:after="80"/>
        <w:ind w:left="288"/>
        <w:jc w:val="both"/>
      </w:pPr>
      <w:r>
        <w:rPr>
          <w:rFonts w:ascii="Times New Roman" w:hAnsi="Times New Roman" w:cs="Times New Roman"/>
          <w:rFonts w:ascii="Times New Roman" w:hAnsi="Times New Roman"/>
          <w:b/>
          <w:i w:val="0"/>
          <w:sz w:val="22"/>
        </w:rPr>
        <w:t xml:space="preserve">Consumption Pattern Profiling:  </w:t>
      </w:r>
      <w:r>
        <w:rPr>
          <w:rFonts w:ascii="Times New Roman" w:hAnsi="Times New Roman" w:cs="Times New Roman"/>
          <w:rFonts w:ascii="Times New Roman" w:hAnsi="Times New Roman"/>
          <w:b w:val="0"/>
          <w:i w:val="0"/>
          <w:sz w:val="22"/>
        </w:rPr>
        <w:t>Mean demand was computed as a function of hour of day, day of week, and month of year for each dataset. PJM East displays a clear weekday–weekend differentiation and the expected dual seasonal peaks. The UCI household series reveals morning and evening residential demand peaks consistent with occupant activity patterns.</w:t>
      </w:r>
    </w:p>
    <w:p>
      <w:pPr>
        <w:spacing w:before="60" w:after="80"/>
        <w:ind w:left="288"/>
        <w:jc w:val="both"/>
      </w:pPr>
      <w:r>
        <w:rPr>
          <w:rFonts w:ascii="Times New Roman" w:hAnsi="Times New Roman" w:cs="Times New Roman"/>
          <w:rFonts w:ascii="Times New Roman" w:hAnsi="Times New Roman"/>
          <w:b/>
          <w:i w:val="0"/>
          <w:sz w:val="22"/>
        </w:rPr>
        <w:t xml:space="preserve">ACF/PACF Analysis:  </w:t>
      </w:r>
      <w:r>
        <w:rPr>
          <w:rFonts w:ascii="Times New Roman" w:hAnsi="Times New Roman" w:cs="Times New Roman"/>
          <w:rFonts w:ascii="Times New Roman" w:hAnsi="Times New Roman"/>
          <w:b w:val="0"/>
          <w:i w:val="0"/>
          <w:sz w:val="22"/>
        </w:rPr>
        <w:t>Autocorrelation (ACF) and partial autocorrelation (PACF) plots were computed for both series. Significant spikes at lags 1, 24, and 168 confirm the presence of strong daily and weekly periodicities [1]. These findings validate the selection of W = 24 as the sequence look-back window and provide evidence that a single-day input is sufficient to capture the dominant autocorrelation structure.</w:t>
      </w:r>
    </w:p>
    <w:p>
      <w:pPr>
        <w:spacing w:before="160" w:after="60"/>
        <w:jc w:val="left"/>
      </w:pPr>
      <w:r>
        <w:rPr>
          <w:rFonts w:ascii="Times New Roman" w:hAnsi="Times New Roman" w:cs="Times New Roman"/>
          <w:rFonts w:ascii="Times New Roman" w:hAnsi="Times New Roman"/>
          <w:b/>
          <w:i/>
          <w:sz w:val="22"/>
        </w:rPr>
        <w:t>D. Model Architectures</w:t>
      </w:r>
    </w:p>
    <w:p>
      <w:pPr>
        <w:spacing w:before="0" w:after="120"/>
        <w:jc w:val="both"/>
      </w:pPr>
      <w:r>
        <w:rPr>
          <w:rFonts w:ascii="Times New Roman" w:hAnsi="Times New Roman" w:cs="Times New Roman"/>
          <w:rFonts w:ascii="Times New Roman" w:hAnsi="Times New Roman"/>
          <w:b w:val="0"/>
          <w:i w:val="0"/>
          <w:sz w:val="22"/>
        </w:rPr>
        <w:t>Five models were implemented and compared. All models receive the same 24-hour normalised input window. Deep learning models receive a 3-D tensor (samples × 24 timesteps × 1 feature); tree-based models receive the flattened 24-dimensional vector, augmented with the seven temporal features described in Section III-B.</w:t>
      </w:r>
    </w:p>
    <w:p>
      <w:pPr>
        <w:spacing w:before="80" w:after="80"/>
        <w:ind w:left="288"/>
        <w:jc w:val="both"/>
      </w:pPr>
      <w:r>
        <w:rPr>
          <w:rFonts w:ascii="Times New Roman" w:hAnsi="Times New Roman" w:cs="Times New Roman"/>
          <w:rFonts w:ascii="Times New Roman" w:hAnsi="Times New Roman"/>
          <w:b w:val="0"/>
          <w:i/>
          <w:sz w:val="22"/>
        </w:rPr>
        <w:t xml:space="preserve">1) Random Forest (RF) [16]: </w:t>
      </w:r>
      <w:r>
        <w:rPr>
          <w:rFonts w:ascii="Times New Roman" w:hAnsi="Times New Roman" w:cs="Times New Roman"/>
          <w:rFonts w:ascii="Times New Roman" w:hAnsi="Times New Roman"/>
          <w:b w:val="0"/>
          <w:i w:val="0"/>
          <w:sz w:val="22"/>
        </w:rPr>
        <w:t>An ensemble of 100 decision trees trained via bootstrap aggregation (bagging); predictions are obtained by averaging individual tree outputs. Hyperparameters: n_estimators = 100, random_state = 42, n_jobs = −1 (all available cores).</w:t>
      </w:r>
    </w:p>
    <w:p>
      <w:pPr>
        <w:spacing w:before="80" w:after="80"/>
        <w:ind w:left="288"/>
        <w:jc w:val="both"/>
      </w:pPr>
      <w:r>
        <w:rPr>
          <w:rFonts w:ascii="Times New Roman" w:hAnsi="Times New Roman" w:cs="Times New Roman"/>
          <w:rFonts w:ascii="Times New Roman" w:hAnsi="Times New Roman"/>
          <w:b w:val="0"/>
          <w:i/>
          <w:sz w:val="22"/>
        </w:rPr>
        <w:t xml:space="preserve">2) XGBoost [17]: </w:t>
      </w:r>
      <w:r>
        <w:rPr>
          <w:rFonts w:ascii="Times New Roman" w:hAnsi="Times New Roman" w:cs="Times New Roman"/>
          <w:rFonts w:ascii="Times New Roman" w:hAnsi="Times New Roman"/>
          <w:b w:val="0"/>
          <w:i w:val="0"/>
          <w:sz w:val="22"/>
        </w:rPr>
        <w:t>An ensemble of 200 gradient boosted trees, where each successive tree is trained to correct the residual errors of its predecessors. Hyperparameters: n_estimators = 200, learning_rate = 0.05, max_depth = 6, subsample = 0.8, colsample_bytree = 0.8.</w:t>
      </w:r>
    </w:p>
    <w:p>
      <w:pPr>
        <w:spacing w:before="80" w:after="80"/>
        <w:ind w:left="288"/>
        <w:jc w:val="both"/>
      </w:pPr>
      <w:r>
        <w:rPr>
          <w:rFonts w:ascii="Times New Roman" w:hAnsi="Times New Roman" w:cs="Times New Roman"/>
          <w:rFonts w:ascii="Times New Roman" w:hAnsi="Times New Roman"/>
          <w:b w:val="0"/>
          <w:i/>
          <w:sz w:val="22"/>
        </w:rPr>
        <w:t xml:space="preserve">3) LSTM [18]: </w:t>
      </w:r>
      <w:r>
        <w:rPr>
          <w:rFonts w:ascii="Times New Roman" w:hAnsi="Times New Roman" w:cs="Times New Roman"/>
          <w:rFonts w:ascii="Times New Roman" w:hAnsi="Times New Roman"/>
          <w:b w:val="0"/>
          <w:i w:val="0"/>
          <w:sz w:val="22"/>
        </w:rPr>
        <w:t>A two-layer stacked LSTM network: LSTM(64, return_sequences=True) → Dropout(0.2) → LSTM(32) → Dropout(0.2) → Dense(1). Gating mechanisms (input, forget, output) enable the network to selectively retain long-range temporal information across the 24-timestep input.</w:t>
      </w:r>
    </w:p>
    <w:p>
      <w:pPr>
        <w:spacing w:before="80" w:after="80"/>
        <w:ind w:left="288"/>
        <w:jc w:val="both"/>
      </w:pPr>
      <w:r>
        <w:rPr>
          <w:rFonts w:ascii="Times New Roman" w:hAnsi="Times New Roman" w:cs="Times New Roman"/>
          <w:rFonts w:ascii="Times New Roman" w:hAnsi="Times New Roman"/>
          <w:b w:val="0"/>
          <w:i/>
          <w:sz w:val="22"/>
        </w:rPr>
        <w:t xml:space="preserve">4) GRU [3]: </w:t>
      </w:r>
      <w:r>
        <w:rPr>
          <w:rFonts w:ascii="Times New Roman" w:hAnsi="Times New Roman" w:cs="Times New Roman"/>
          <w:rFonts w:ascii="Times New Roman" w:hAnsi="Times New Roman"/>
          <w:b w:val="0"/>
          <w:i w:val="0"/>
          <w:sz w:val="22"/>
        </w:rPr>
        <w:t>A two-layer stacked GRU network: GRU(64, return_sequences=True) → Dropout(0.2) → GRU(32) → Dropout(0.2) → Dense(1). With only two gates (reset and update), the GRU has fewer parameters than the LSTM while achieving comparable sequential modelling capability, resulting in faster training convergence.</w:t>
      </w:r>
    </w:p>
    <w:p>
      <w:pPr>
        <w:spacing w:before="80" w:after="80"/>
        <w:ind w:left="288"/>
        <w:jc w:val="both"/>
      </w:pPr>
      <w:r>
        <w:rPr>
          <w:rFonts w:ascii="Times New Roman" w:hAnsi="Times New Roman" w:cs="Times New Roman"/>
          <w:rFonts w:ascii="Times New Roman" w:hAnsi="Times New Roman"/>
          <w:b w:val="0"/>
          <w:i/>
          <w:sz w:val="22"/>
        </w:rPr>
        <w:t xml:space="preserve">5) CNN-LSTM [5]: </w:t>
      </w:r>
      <w:r>
        <w:rPr>
          <w:rFonts w:ascii="Times New Roman" w:hAnsi="Times New Roman" w:cs="Times New Roman"/>
          <w:rFonts w:ascii="Times New Roman" w:hAnsi="Times New Roman"/>
          <w:b w:val="0"/>
          <w:i w:val="0"/>
          <w:sz w:val="22"/>
        </w:rPr>
        <w:t>A convolutional-recurrent hybrid: Conv1D(64, kernel_size=3, ReLU) → MaxPooling1D(2) → Conv1D(32, kernel_size=3, ReLU) → LSTM(50) → Dropout(0.2) → Dense(1). The two convolutional layers act as a local feature extractor, identifying short-term temporal patterns within the window, before the LSTM layer models the sequence of extracted features.</w:t>
      </w:r>
    </w:p>
    <w:p>
      <w:pPr>
        <w:spacing w:before="160" w:after="60"/>
        <w:jc w:val="left"/>
      </w:pPr>
      <w:r>
        <w:rPr>
          <w:rFonts w:ascii="Times New Roman" w:hAnsi="Times New Roman" w:cs="Times New Roman"/>
          <w:rFonts w:ascii="Times New Roman" w:hAnsi="Times New Roman"/>
          <w:b/>
          <w:i/>
          <w:sz w:val="22"/>
        </w:rPr>
        <w:t>E. Training Protocol</w:t>
      </w:r>
    </w:p>
    <w:p>
      <w:pPr>
        <w:spacing w:before="0" w:after="120"/>
        <w:jc w:val="both"/>
      </w:pPr>
      <w:r>
        <w:rPr>
          <w:rFonts w:ascii="Times New Roman" w:hAnsi="Times New Roman" w:cs="Times New Roman"/>
          <w:rFonts w:ascii="Times New Roman" w:hAnsi="Times New Roman"/>
          <w:b w:val="0"/>
          <w:i w:val="0"/>
          <w:sz w:val="22"/>
        </w:rPr>
        <w:t>All three deep learning models (LSTM, GRU, CNN-LSTM) were trained under an identical protocol to ensure fair comparison. The Adam optimiser was used with an initial learning rate α = 0.001 and mean squared error (MSE) as the loss function. Training was conducted with a batch size of B = 512 for a maximum of 30 epochs. Two callbacks were employed: (i) EarlyStopping monitored validation loss with a patience of 5 epochs and restored the best weights upon termination, preventing overfitting; and (ii) ReduceLROnPlateau halved the learning rate when validation loss failed to improve for 3 consecutive epochs, enabling finer convergence. A chronological 10 % validation split was held out from the training partition for callback monitoring, ensuring that no test data influenced training decisions. The two tree-based models (RF and XGBoost) were fitted directly on the flattened training features without callbacks or validation splitting, in accordance with standard practice for these model families.</w:t>
      </w:r>
    </w:p>
    <w:p>
      <w:pPr>
        <w:spacing w:before="160" w:after="60"/>
        <w:jc w:val="left"/>
      </w:pPr>
      <w:r>
        <w:rPr>
          <w:rFonts w:ascii="Times New Roman" w:hAnsi="Times New Roman" w:cs="Times New Roman"/>
          <w:rFonts w:ascii="Times New Roman" w:hAnsi="Times New Roman"/>
          <w:b/>
          <w:i/>
          <w:sz w:val="22"/>
        </w:rPr>
        <w:t>F. Evaluation Metrics</w:t>
      </w:r>
    </w:p>
    <w:p>
      <w:pPr>
        <w:spacing w:before="0" w:after="120"/>
        <w:jc w:val="both"/>
      </w:pPr>
      <w:r>
        <w:rPr>
          <w:rFonts w:ascii="Times New Roman" w:hAnsi="Times New Roman" w:cs="Times New Roman"/>
          <w:rFonts w:ascii="Times New Roman" w:hAnsi="Times New Roman"/>
          <w:b w:val="0"/>
          <w:i w:val="0"/>
          <w:sz w:val="22"/>
        </w:rPr>
        <w:t>Model performance was assessed on the held-out test set using four standard regression metrics. All metrics were computed in original physical units (MW for PJM East; kW for UCI) after applying the inverse Min-Max transform to both predictions and ground-truth values.</w:t>
      </w:r>
    </w:p>
    <w:p>
      <w:pPr>
        <w:spacing w:before="60" w:after="80"/>
        <w:ind w:left="288"/>
        <w:jc w:val="both"/>
      </w:pPr>
      <w:r>
        <w:rPr>
          <w:rFonts w:ascii="Times New Roman" w:hAnsi="Times New Roman" w:cs="Times New Roman"/>
          <w:rFonts w:ascii="Times New Roman" w:hAnsi="Times New Roman"/>
          <w:b/>
          <w:i w:val="0"/>
          <w:sz w:val="22"/>
        </w:rPr>
        <w:t xml:space="preserve">Root Mean Squared Error (RMSE):  </w:t>
      </w:r>
      <w:r>
        <w:rPr>
          <w:rFonts w:ascii="Times New Roman" w:hAnsi="Times New Roman" w:cs="Times New Roman"/>
          <w:rFonts w:ascii="Times New Roman" w:hAnsi="Times New Roman"/>
          <w:b w:val="0"/>
          <w:i w:val="0"/>
          <w:sz w:val="22"/>
        </w:rPr>
        <w:t>Penalises large prediction errors quadratically, making it sensitive to rare but costly peak-demand forecast failures. Lower values indicate better performance.</w:t>
      </w:r>
    </w:p>
    <w:p>
      <w:pPr>
        <w:spacing w:before="60" w:after="80"/>
        <w:ind w:left="288"/>
        <w:jc w:val="both"/>
      </w:pPr>
      <w:r>
        <w:rPr>
          <w:rFonts w:ascii="Times New Roman" w:hAnsi="Times New Roman" w:cs="Times New Roman"/>
          <w:rFonts w:ascii="Times New Roman" w:hAnsi="Times New Roman"/>
          <w:b/>
          <w:i w:val="0"/>
          <w:sz w:val="22"/>
        </w:rPr>
        <w:t xml:space="preserve">Mean Absolute Error (MAE):  </w:t>
      </w:r>
      <w:r>
        <w:rPr>
          <w:rFonts w:ascii="Times New Roman" w:hAnsi="Times New Roman" w:cs="Times New Roman"/>
          <w:rFonts w:ascii="Times New Roman" w:hAnsi="Times New Roman"/>
          <w:b w:val="0"/>
          <w:i w:val="0"/>
          <w:sz w:val="22"/>
        </w:rPr>
        <w:t>Reports the average absolute deviation between predicted and actual consumption in original units, providing an interpretable measure of typical forecast error magnitude.</w:t>
      </w:r>
    </w:p>
    <w:p>
      <w:pPr>
        <w:spacing w:before="60" w:after="80"/>
        <w:ind w:left="288"/>
        <w:jc w:val="both"/>
      </w:pPr>
      <w:r>
        <w:rPr>
          <w:rFonts w:ascii="Times New Roman" w:hAnsi="Times New Roman" w:cs="Times New Roman"/>
          <w:rFonts w:ascii="Times New Roman" w:hAnsi="Times New Roman"/>
          <w:b/>
          <w:i w:val="0"/>
          <w:sz w:val="22"/>
        </w:rPr>
        <w:t xml:space="preserve">Mean Absolute Percentage Error (MAPE):  </w:t>
      </w:r>
      <w:r>
        <w:rPr>
          <w:rFonts w:ascii="Times New Roman" w:hAnsi="Times New Roman" w:cs="Times New Roman"/>
          <w:rFonts w:ascii="Times New Roman" w:hAnsi="Times New Roman"/>
          <w:b w:val="0"/>
          <w:i w:val="0"/>
          <w:sz w:val="22"/>
        </w:rPr>
        <w:t>Expresses forecast error as a percentage of actual consumption, enabling scale-independent comparison across the two datasets.</w:t>
      </w:r>
    </w:p>
    <w:p>
      <w:pPr>
        <w:spacing w:before="60" w:after="80"/>
        <w:ind w:left="288"/>
        <w:jc w:val="both"/>
      </w:pPr>
      <w:r>
        <w:rPr>
          <w:rFonts w:ascii="Times New Roman" w:hAnsi="Times New Roman" w:cs="Times New Roman"/>
          <w:rFonts w:ascii="Times New Roman" w:hAnsi="Times New Roman"/>
          <w:b/>
          <w:i w:val="0"/>
          <w:sz w:val="22"/>
        </w:rPr>
        <w:t xml:space="preserve">Coefficient of Determination (R²):  </w:t>
      </w:r>
      <w:r>
        <w:rPr>
          <w:rFonts w:ascii="Times New Roman" w:hAnsi="Times New Roman" w:cs="Times New Roman"/>
          <w:rFonts w:ascii="Times New Roman" w:hAnsi="Times New Roman"/>
          <w:b w:val="0"/>
          <w:i w:val="0"/>
          <w:sz w:val="22"/>
        </w:rPr>
        <w:t>Quantifies the proportion of variance in the target variable that is explained by the model. R² = 1.0 denotes perfect prediction; R² = 0 is equivalent to predicting the mean. This metric provides the clearest single summary of overall model quality.</w:t>
      </w:r>
    </w:p>
    <w:p>
      <w:r>
        <w:br w:type="page"/>
      </w:r>
    </w:p>
    <w:p>
      <w:pPr>
        <w:spacing w:before="240" w:after="160"/>
        <w:jc w:val="center"/>
      </w:pPr>
      <w:r>
        <w:rPr>
          <w:rFonts w:ascii="Times New Roman" w:hAnsi="Times New Roman" w:cs="Times New Roman"/>
          <w:rFonts w:ascii="Times New Roman" w:hAnsi="Times New Roman"/>
          <w:b/>
          <w:i w:val="0"/>
          <w:sz w:val="24"/>
        </w:rPr>
        <w:t>REFERENCES</w:t>
      </w:r>
    </w:p>
    <w:p>
      <w:pPr>
        <w:spacing w:before="20" w:after="60"/>
        <w:ind w:left="432" w:hanging="432"/>
        <w:jc w:val="both"/>
      </w:pPr>
      <w:r>
        <w:rPr>
          <w:rFonts w:ascii="Times New Roman" w:hAnsi="Times New Roman" w:cs="Times New Roman"/>
          <w:rFonts w:ascii="Times New Roman" w:hAnsi="Times New Roman"/>
          <w:b w:val="0"/>
          <w:i w:val="0"/>
          <w:sz w:val="20"/>
        </w:rPr>
        <w:t>[1] W. Kong, Z. Y. Dong, Y. Jia, D. J. Hill, Y. Xu, and Y. Zhang, “Short-term residential load forecasting based on LSTM recurrent neural network,” IEEE Transactions on Smart Grid, vol. 10, no. 1, pp. 841–851, Jan. 2019, doi: 10.1109/TSG.2017.2753802.</w:t>
      </w:r>
    </w:p>
    <w:p>
      <w:pPr>
        <w:spacing w:before="20" w:after="60"/>
        <w:ind w:left="432" w:hanging="432"/>
        <w:jc w:val="both"/>
      </w:pPr>
      <w:r>
        <w:rPr>
          <w:rFonts w:ascii="Times New Roman" w:hAnsi="Times New Roman" w:cs="Times New Roman"/>
          <w:rFonts w:ascii="Times New Roman" w:hAnsi="Times New Roman"/>
          <w:b w:val="0"/>
          <w:i w:val="0"/>
          <w:sz w:val="20"/>
        </w:rPr>
        <w:t>[2] Y. Wang, Q. Chen, T. Hong, and C. Kang, “Review of Smart Meter Data Analytics: Applications, Methodologies, and Challenges,” IEEE Transactions on Smart Grid, vol. 10, no. 3, pp. 3125–3148, May 2019, doi: 10.1109/TSG.2018.2818167.</w:t>
      </w:r>
    </w:p>
    <w:p>
      <w:pPr>
        <w:spacing w:before="20" w:after="60"/>
        <w:ind w:left="432" w:hanging="432"/>
        <w:jc w:val="both"/>
      </w:pPr>
      <w:r>
        <w:rPr>
          <w:rFonts w:ascii="Times New Roman" w:hAnsi="Times New Roman" w:cs="Times New Roman"/>
          <w:rFonts w:ascii="Times New Roman" w:hAnsi="Times New Roman"/>
          <w:b w:val="0"/>
          <w:i w:val="0"/>
          <w:sz w:val="20"/>
        </w:rPr>
        <w:t>[3] M. Sajjad, Z. A. Khan, A. Ullah, T. Hussain, W. Ullah, M. Y. Lee, and S. W. Baik, “A novel CNN-GRU-based hybrid approach for short-term residential load forecasting,” IEEE Access, vol. 8, pp. 143759–143768, Jul. 2020, doi: 10.1109/ACCESS.2020.3014959.</w:t>
      </w:r>
    </w:p>
    <w:p>
      <w:pPr>
        <w:spacing w:before="20" w:after="60"/>
        <w:ind w:left="432" w:hanging="432"/>
        <w:jc w:val="both"/>
      </w:pPr>
      <w:r>
        <w:rPr>
          <w:rFonts w:ascii="Times New Roman" w:hAnsi="Times New Roman" w:cs="Times New Roman"/>
          <w:rFonts w:ascii="Times New Roman" w:hAnsi="Times New Roman"/>
          <w:b w:val="0"/>
          <w:i w:val="0"/>
          <w:sz w:val="20"/>
        </w:rPr>
        <w:t>[4] L. Sehovac and K. Grolinger, “Deep learning for load forecasting: Sequence to sequence recurrent neural networks with attention,” IEEE Access, vol. 8, pp. 36411–36426, Feb. 2020, doi: 10.1109/ACCESS.2020.2975738.</w:t>
      </w:r>
    </w:p>
    <w:p>
      <w:pPr>
        <w:spacing w:before="20" w:after="60"/>
        <w:ind w:left="432" w:hanging="432"/>
        <w:jc w:val="both"/>
      </w:pPr>
      <w:r>
        <w:rPr>
          <w:rFonts w:ascii="Times New Roman" w:hAnsi="Times New Roman" w:cs="Times New Roman"/>
          <w:rFonts w:ascii="Times New Roman" w:hAnsi="Times New Roman"/>
          <w:b w:val="0"/>
          <w:i w:val="0"/>
          <w:sz w:val="20"/>
        </w:rPr>
        <w:t>[5] S. H. Rafi, S. R. Deeba, and E. Hossain, “A short-term load forecasting method using integrated CNN and LSTM network,” IEEE Access, vol. 9, pp. 32436–32448, Feb. 2021, doi: 10.1109/ACCESS.2021.3056957.</w:t>
      </w:r>
    </w:p>
    <w:p>
      <w:pPr>
        <w:spacing w:before="20" w:after="60"/>
        <w:ind w:left="432" w:hanging="432"/>
        <w:jc w:val="both"/>
      </w:pPr>
      <w:r>
        <w:rPr>
          <w:rFonts w:ascii="Times New Roman" w:hAnsi="Times New Roman" w:cs="Times New Roman"/>
          <w:rFonts w:ascii="Times New Roman" w:hAnsi="Times New Roman"/>
          <w:b w:val="0"/>
          <w:i w:val="0"/>
          <w:sz w:val="20"/>
        </w:rPr>
        <w:t>[6] B. Farsi, M. Amayri, N. Bouguila, and U. Eicker, “On short-term load forecasting using machine learning techniques and a novel parallel deep LSTM-CNN approach,” IEEE Access, vol. 9, pp. 31191–31212, Feb. 2021, doi: 10.1109/ACCESS.2021.3059599.</w:t>
      </w:r>
    </w:p>
    <w:p>
      <w:pPr>
        <w:spacing w:before="20" w:after="60"/>
        <w:ind w:left="432" w:hanging="432"/>
        <w:jc w:val="both"/>
      </w:pPr>
      <w:r>
        <w:rPr>
          <w:rFonts w:ascii="Times New Roman" w:hAnsi="Times New Roman" w:cs="Times New Roman"/>
          <w:rFonts w:ascii="Times New Roman" w:hAnsi="Times New Roman"/>
          <w:b w:val="0"/>
          <w:i w:val="0"/>
          <w:sz w:val="20"/>
        </w:rPr>
        <w:t>[7] G. Hafeez, K. S. Alimgeer, and I. Khan, “Electric load forecasting based on deep learning and optimized by heuristic algorithm in smart grid,” Applied Energy, vol. 269, Art. no. 114915, Jul. 2020, doi: 10.1016/j.apenergy.2020.114915.</w:t>
      </w:r>
    </w:p>
    <w:p>
      <w:pPr>
        <w:spacing w:before="20" w:after="60"/>
        <w:ind w:left="432" w:hanging="432"/>
        <w:jc w:val="both"/>
      </w:pPr>
      <w:r>
        <w:rPr>
          <w:rFonts w:ascii="Times New Roman" w:hAnsi="Times New Roman" w:cs="Times New Roman"/>
          <w:rFonts w:ascii="Times New Roman" w:hAnsi="Times New Roman"/>
          <w:b w:val="0"/>
          <w:i w:val="0"/>
          <w:sz w:val="20"/>
        </w:rPr>
        <w:t>[8] N. Somu, G. R. M. R. Ramamritham, and K. Ramamritham, “A hybrid model for building energy consumption forecasting using long short term memory networks,” Applied Energy, vol. 261, Art. no. 114131, Mar. 2020, doi: 10.1016/j.apenergy.2019.114131.</w:t>
      </w:r>
    </w:p>
    <w:p>
      <w:pPr>
        <w:spacing w:before="20" w:after="60"/>
        <w:ind w:left="432" w:hanging="432"/>
        <w:jc w:val="both"/>
      </w:pPr>
      <w:r>
        <w:rPr>
          <w:rFonts w:ascii="Times New Roman" w:hAnsi="Times New Roman" w:cs="Times New Roman"/>
          <w:rFonts w:ascii="Times New Roman" w:hAnsi="Times New Roman"/>
          <w:b w:val="0"/>
          <w:i w:val="0"/>
          <w:sz w:val="20"/>
        </w:rPr>
        <w:t>[9] N. Somu, G. R. M. R. Ramamritham, and K. Ramamritham, “A deep learning framework for building energy consumption forecast,” Renewable and Sustainable Energy Reviews, vol. 137, Art. no. 110591, Mar. 2021, doi: 10.1016/j.rser.2020.110591.</w:t>
      </w:r>
    </w:p>
    <w:p>
      <w:pPr>
        <w:spacing w:before="20" w:after="60"/>
        <w:ind w:left="432" w:hanging="432"/>
        <w:jc w:val="both"/>
      </w:pPr>
      <w:r>
        <w:rPr>
          <w:rFonts w:ascii="Times New Roman" w:hAnsi="Times New Roman" w:cs="Times New Roman"/>
          <w:rFonts w:ascii="Times New Roman" w:hAnsi="Times New Roman"/>
          <w:b w:val="0"/>
          <w:i w:val="0"/>
          <w:sz w:val="20"/>
        </w:rPr>
        <w:t>[10] H. Zhou, S. Zhang, J. Peng, S. Zhang, J. Li, H. Xiong, and W. Zhang, “Informer: Beyond efficient transformer for long sequence time-series forecasting,” in Proceedings of the AAAI Conference on Artificial Intelligence, vol. 35, no. 12, pp. 11106–11115, May 2021, doi: 10.1609/aaai.v35i12.17325.</w:t>
      </w:r>
    </w:p>
    <w:p>
      <w:pPr>
        <w:spacing w:before="20" w:after="60"/>
        <w:ind w:left="432" w:hanging="432"/>
        <w:jc w:val="both"/>
      </w:pPr>
      <w:r>
        <w:rPr>
          <w:rFonts w:ascii="Times New Roman" w:hAnsi="Times New Roman" w:cs="Times New Roman"/>
          <w:rFonts w:ascii="Times New Roman" w:hAnsi="Times New Roman"/>
          <w:b w:val="0"/>
          <w:i w:val="0"/>
          <w:sz w:val="20"/>
        </w:rPr>
        <w:t>[11] B. Lim and S. Zohren, “Time-series forecasting with deep learning: A survey,” Philosophical Transactions of the Royal Society A: Mathematical, Physical and Engineering Sciences, vol. 379, no. 2194, Art. no. 20200209, Apr. 2021, doi: 10.1098/rsta.2020.0209.</w:t>
      </w:r>
    </w:p>
    <w:p>
      <w:pPr>
        <w:spacing w:before="20" w:after="60"/>
        <w:ind w:left="432" w:hanging="432"/>
        <w:jc w:val="both"/>
      </w:pPr>
      <w:r>
        <w:rPr>
          <w:rFonts w:ascii="Times New Roman" w:hAnsi="Times New Roman" w:cs="Times New Roman"/>
          <w:rFonts w:ascii="Times New Roman" w:hAnsi="Times New Roman"/>
          <w:b w:val="0"/>
          <w:i w:val="0"/>
          <w:sz w:val="20"/>
        </w:rPr>
        <w:t>[12] A. Gasparin, S. Lukovic, and C. Alippi, “Deep learning for time series forecasting: The electric load case,” CAAI Transactions on Intelligence Technology, vol. 7, no. 1, pp. 1–25, Mar. 2022, doi: 10.1049/cit2.12075.</w:t>
      </w:r>
    </w:p>
    <w:p>
      <w:pPr>
        <w:spacing w:before="20" w:after="60"/>
        <w:ind w:left="432" w:hanging="432"/>
        <w:jc w:val="both"/>
      </w:pPr>
      <w:r>
        <w:rPr>
          <w:rFonts w:ascii="Times New Roman" w:hAnsi="Times New Roman" w:cs="Times New Roman"/>
          <w:rFonts w:ascii="Times New Roman" w:hAnsi="Times New Roman"/>
          <w:b w:val="0"/>
          <w:i w:val="0"/>
          <w:sz w:val="20"/>
        </w:rPr>
        <w:t>[13] PJM Interconnection LLC, “PJM Hourly Energy Consumption Dataset,” Kaggle, 2018. [Online]. Available: https://www.kaggle.com/datasets/robikscube/hourly-energy-consumption. [Accessed: Jun. 2025].</w:t>
      </w:r>
    </w:p>
    <w:p>
      <w:pPr>
        <w:spacing w:before="20" w:after="60"/>
        <w:ind w:left="432" w:hanging="432"/>
        <w:jc w:val="both"/>
      </w:pPr>
      <w:r>
        <w:rPr>
          <w:rFonts w:ascii="Times New Roman" w:hAnsi="Times New Roman" w:cs="Times New Roman"/>
          <w:rFonts w:ascii="Times New Roman" w:hAnsi="Times New Roman"/>
          <w:b w:val="0"/>
          <w:i w:val="0"/>
          <w:sz w:val="20"/>
        </w:rPr>
        <w:t>[14] G. Hebrail and A. Berard, “Individual Household Electric Power Consumption,” UCI Machine Learning Repository, 2012, doi: 10.24432/C58K54.</w:t>
      </w:r>
    </w:p>
    <w:p>
      <w:pPr>
        <w:spacing w:before="20" w:after="60"/>
        <w:ind w:left="432" w:hanging="432"/>
        <w:jc w:val="both"/>
      </w:pPr>
      <w:r>
        <w:rPr>
          <w:rFonts w:ascii="Times New Roman" w:hAnsi="Times New Roman" w:cs="Times New Roman"/>
          <w:rFonts w:ascii="Times New Roman" w:hAnsi="Times New Roman"/>
          <w:b w:val="0"/>
          <w:i w:val="0"/>
          <w:sz w:val="20"/>
        </w:rPr>
        <w:t>[15] S. Seabold and J. Perktold, “Statsmodels: Econometric and statistical modeling with Python,” in Proc. 9th Python in Science Conf. (SciPy), Austin, TX, USA, 2010, pp. 92–96.</w:t>
      </w:r>
    </w:p>
    <w:p>
      <w:pPr>
        <w:spacing w:before="20" w:after="60"/>
        <w:ind w:left="432" w:hanging="432"/>
        <w:jc w:val="both"/>
      </w:pPr>
      <w:r>
        <w:rPr>
          <w:rFonts w:ascii="Times New Roman" w:hAnsi="Times New Roman" w:cs="Times New Roman"/>
          <w:rFonts w:ascii="Times New Roman" w:hAnsi="Times New Roman"/>
          <w:b w:val="0"/>
          <w:i w:val="0"/>
          <w:sz w:val="20"/>
        </w:rPr>
        <w:t>[16] L. Breiman, “Random forests,” Machine Learning, vol. 45, no. 1, pp. 5–32, Oct. 2001, doi: 10.1023/A:1010933404324.</w:t>
      </w:r>
    </w:p>
    <w:p>
      <w:pPr>
        <w:spacing w:before="20" w:after="60"/>
        <w:ind w:left="432" w:hanging="432"/>
        <w:jc w:val="both"/>
      </w:pPr>
      <w:r>
        <w:rPr>
          <w:rFonts w:ascii="Times New Roman" w:hAnsi="Times New Roman" w:cs="Times New Roman"/>
          <w:rFonts w:ascii="Times New Roman" w:hAnsi="Times New Roman"/>
          <w:b w:val="0"/>
          <w:i w:val="0"/>
          <w:sz w:val="20"/>
        </w:rPr>
        <w:t>[17] T. Chen and C. Guestrin, “XGBoost: A scalable tree boosting system,” in Proc. 22nd ACM SIGKDD Int. Conf. Knowledge Discovery and Data Mining (KDD), San Francisco, CA, USA, 2016, pp. 785–794, doi: 10.1145/2939672.2939785.</w:t>
      </w:r>
    </w:p>
    <w:p>
      <w:pPr>
        <w:spacing w:before="20" w:after="60"/>
        <w:ind w:left="432" w:hanging="432"/>
        <w:jc w:val="both"/>
      </w:pPr>
      <w:r>
        <w:rPr>
          <w:rFonts w:ascii="Times New Roman" w:hAnsi="Times New Roman" w:cs="Times New Roman"/>
          <w:rFonts w:ascii="Times New Roman" w:hAnsi="Times New Roman"/>
          <w:b w:val="0"/>
          <w:i w:val="0"/>
          <w:sz w:val="20"/>
        </w:rPr>
        <w:t>[18] S. Hochreiter and J. Schmidhuber, “Long short-term memory,” Neural Computation, vol. 9, no. 8, pp. 1735–1780, Nov. 1997, doi: 10.1162/neco.1997.9.8.1735.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