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1A2E"/>
          <w:sz w:val="80"/>
          <w:szCs w:val="80"/>
        </w:rPr>
        <w:t xml:space="preserve">ZULFR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4A4A6A"/>
          <w:sz w:val="26"/>
          <w:szCs w:val="26"/>
        </w:rPr>
        <w:t xml:space="preserve">A Measurement Institute</w:t>
      </w:r>
    </w:p>
    <w:p>
      <w:pPr>
        <w:pBdr>
          <w:bottom w:val="single" w:color="E94560" w:sz="8" w:space="1"/>
        </w:pBdr>
        <w:spacing w:before="80" w:after="80"/>
      </w:pPr>
      <w:r>
        <w:t xml:space="preserve"/>
      </w:r>
    </w:p>
    <w:p>
      <w:pPr>
        <w:spacing w:before="40" w:after="8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WEBSITE MATURITY ANALYSIS REPORT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4A4A6A"/>
          <w:sz w:val="23"/>
          <w:szCs w:val="23"/>
        </w:rPr>
        <w:t xml:space="preserve">Platform Audit  ·  Model Inventory  ·  Growth Roadmap</w:t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Dr. Usman Zafar Ph.D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Date: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March 21,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Version: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v1.0  ·  Baseline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Internal Working Document</w:t>
            </w:r>
          </w:p>
        </w:tc>
      </w:tr>
    </w:tbl>
    <w:p>
      <w:pPr>
        <w:spacing w:before="20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pBdr>
          <w:bottom w:val="single" w:color="E94560" w:sz="8" w:space="1"/>
        </w:pBdr>
        <w:spacing w:before="80" w:after="80"/>
      </w:pPr>
      <w:r>
        <w:t xml:space="preserve"/>
      </w:r>
    </w:p>
    <w:p>
      <w:pPr>
        <w:spacing w:before="6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ZULFR has achieved something rare in governance technology: a research-grade measurement institute with genuine intellectual credibility, peer-reviewed publications, live tooling, and a benchmark that publicly demonstrated the Governance-Alignment Gap across five frontier AI vendors. This is not a concept — it is an operating platform.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report establishes the baseline maturity assessment of ZULFR as of March 2026. Each future review should be measured against this document. Progress is tracked across four dimensions: Platform Completeness, Research Depth, Monetisation Readiness, and Market Positioning.</w:t>
      </w:r>
    </w:p>
    <w:p>
      <w:pPr>
        <w:spacing w:before="12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Overall Platform Score</w:t>
      </w:r>
    </w:p>
    <w:p>
      <w:pPr>
        <w:spacing w:before="4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 Notes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Platform Completeness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52 / 100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4 of 8 models live. Strong core; half the stack still FUTURE.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Research Depth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84 / 100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DOI publications, open data, benchmark study. Exceptional for Stage 1.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Monetisation Readiness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28 / 100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Email-only evaluation. No pricing page. No self-serve portal.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Market Positioning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71 / 100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Unique category. Strong narrative. Zero visible client social proof.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COMPOSITE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59 / 100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Strong intellectual foundation. Critical gap: revenue infrastructure.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composite score of 59/100 reflects a platform that is intellectually mature but commercially underdeveloped. The single most important action to close this gap is building a self-serve TRUE100 evaluation portal. Every other Horizon 1 action is secondary to this.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Model Inventory &amp; Stack Completeness</w:t>
      </w:r>
    </w:p>
    <w:p>
      <w:pPr>
        <w:pBdr>
          <w:bottom w:val="single" w:color="E94560" w:sz="8" w:space="1"/>
        </w:pBdr>
        <w:spacing w:before="80" w:after="80"/>
      </w:pPr>
      <w:r>
        <w:t xml:space="preserve"/>
      </w:r>
    </w:p>
    <w:p>
      <w:pPr>
        <w:spacing w:before="6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ZULFR is structured as an eight-model governance stack. Each layer governs a distinct domain of intelligence infrastructure. The stack has deliberate dependency logic: lower layers enable upper layers. This creates both a technical rationale and a natural upsell architecture — every client who buys one model is a candidate for the models above it.</w:t>
      </w:r>
    </w:p>
    <w:p>
      <w:pPr>
        <w:spacing w:before="10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2200"/>
        <w:gridCol w:w="920"/>
        <w:gridCol w:w="1440"/>
        <w:gridCol w:w="180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Governs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Readiness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Next Priority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7"/>
                <w:szCs w:val="17"/>
              </w:rPr>
              <w:t xml:space="preserve">DAIS-10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Data Governance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Schema, drift, pipelines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LIVE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v1.0 Published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Add certified report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7"/>
                <w:szCs w:val="17"/>
              </w:rPr>
              <w:t xml:space="preserve">DiGRs-10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Model Selection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ML selection logic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LIVE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v1.0 Draft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Launch self-serve audit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7"/>
                <w:szCs w:val="17"/>
              </w:rPr>
              <w:t xml:space="preserve">SIS-10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Functional Safety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Lives and assets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LIVE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v1.0 Draft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IEC 61508 alignment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7"/>
                <w:szCs w:val="17"/>
              </w:rPr>
              <w:t xml:space="preserve">TRUE100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AI Integrity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AI content governance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LIVE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v1.0 Published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Self-serve portal ASAP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7"/>
                <w:szCs w:val="17"/>
              </w:rPr>
              <w:t xml:space="preserve">BLOC-10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Cognition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Human-AI boundary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FUTURE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Concept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Paper first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7"/>
                <w:szCs w:val="17"/>
              </w:rPr>
              <w:t xml:space="preserve">KAD-10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Agents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Multi-agent failure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FUTURE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Concept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Paper first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7"/>
                <w:szCs w:val="17"/>
              </w:rPr>
              <w:t xml:space="preserve">CAF-10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Decisions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Org decision quality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FUTURE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Working paper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Formalise with DOI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7"/>
                <w:szCs w:val="17"/>
              </w:rPr>
              <w:t xml:space="preserve">KAST-10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Meta-Governance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All governance rules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FUTURE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Concept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Deploy last</w:t>
            </w:r>
          </w:p>
        </w:tc>
      </w:tr>
    </w:tbl>
    <w:p>
      <w:pPr>
        <w:spacing w:before="10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Stack Dependency &amp; Revenue Logic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four LIVE models are the commercial entry points. The four FUTURE models are the retention and expansion engine. Accelerating FUTURE models directly expands client lifetime value. A client who buys TRUE100 today is a five-model prospect over three years.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Strengths</w:t>
      </w:r>
    </w:p>
    <w:p>
      <w:pPr>
        <w:pBdr>
          <w:bottom w:val="single" w:color="E94560" w:sz="8" w:space="1"/>
        </w:pBdr>
        <w:spacing w:before="80" w:after="80"/>
      </w:pPr>
      <w:r>
        <w:t xml:space="preserve"/>
      </w:r>
    </w:p>
    <w:p>
      <w:pPr>
        <w:spacing w:before="6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3.1  Intellectual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Eight-model stack with coherent dependency logic — rare at this stage of a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black hole metaphor is intellectually rigorous and commercially memorable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Category creation (governance of governance via KAST-10) is a defensible long-term moat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3.2  Research Credibility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Three published papers with DOIs on Zenodo — externally citable and permanent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 Accountability League Season 1: cross-vendor benchmark, open dataset, reproducible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Governance-Alignment Gap (57.3 normalised points) is a named, quantified, publishable finding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five frontier AI vendors failed TRUE100 — positions ZULFR as the standard-setter, not a participant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3.3  Live Product Evidence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DAIS-10 live analysis app at zulfr.com/app — working, interactive, upload-capable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TRUE100 certified evaluation already operational (email-based)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Platform matrix with regulatory alignment (GDPR, EU AI Act, IEC 61508) demonstrates enterprise readiness</w:t>
      </w:r>
    </w:p>
    <w:p>
      <w:pPr>
        <w:spacing w:before="12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Critical Gaps</w:t>
      </w:r>
    </w:p>
    <w:p>
      <w:pPr>
        <w:pBdr>
          <w:bottom w:val="single" w:color="E94560" w:sz="8" w:space="1"/>
        </w:pBdr>
        <w:spacing w:before="80" w:after="80"/>
      </w:pPr>
      <w:r>
        <w:t xml:space="preserve"/>
      </w:r>
    </w:p>
    <w:p>
      <w:pPr>
        <w:spacing w:before="6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4.1  Monetisation Infrastructure  [CRITICAL]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is the single most important gap. ZULFR has world-class intellectual product and zero visible revenue infrastructure. The evaluation service runs through email. There is no pricing page, no self-serve checkout, and no API billing layer.</w:t>
      </w:r>
    </w:p>
    <w:p>
      <w:pPr>
        <w:spacing w:before="6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public pricing page for any model or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Certified evaluation is email-gated — high friction, low conversion, impossible to 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self-serve portal for TRUE100 despite it being the model with the most public proof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4.2  Platform Incompleteness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 of 8 models are FUTURE — the stack reads as half-built to enterprise buyers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Media section is completely empty despite the framework having rich visual language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Industry reach table on homepage is structurally present but has no data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4.3  Social Proof &amp; Distribution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visible client list, pilot organisation, or named adopter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newsletter, waitlist, or community mechanism to capture interested visitors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Season 2 benchmark is only ‘in planning’ with no committed date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Maturity Roadmap</w:t>
      </w:r>
    </w:p>
    <w:p>
      <w:pPr>
        <w:pBdr>
          <w:bottom w:val="single" w:color="E94560" w:sz="8" w:space="1"/>
        </w:pBdr>
        <w:spacing w:before="80" w:after="80"/>
      </w:pPr>
      <w:r>
        <w:t xml:space="preserve"/>
      </w:r>
    </w:p>
    <w:p>
      <w:pPr>
        <w:spacing w:before="6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following roadmap is structured across three horizons. Each horizon builds on the last.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Horizon 1  ·  Revenue Infrastructure  (0–3 months)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One goal: convert intellectual credibility into measurable revenue.</w:t>
      </w:r>
    </w:p>
    <w:p>
      <w:pPr>
        <w:spacing w:before="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TRUE100 Self-Serve Portal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Paid upload → score → certified report. Stripe-connected. No email required. Single most important build.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Pricing Page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Three tiers: individual report | bulk evaluation | enterprise license. Public pricing builds trust.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Fill Media Section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Framework architecture diagrams, benchmark visualisations, model explainer videos.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Add Email Capture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Newsletter or waitlist on homepage — captures visitors who aren’t ready to buy yet.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Horizon 2  ·  Platform Completeness  (3–9 months)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Goal: eliminate the FUTURE tag on at least two more models. Ship BLOC-10 and CAF-10.</w:t>
      </w:r>
    </w:p>
    <w:p>
      <w:pPr>
        <w:spacing w:before="6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Publish BLOC-10 working paper and launch framework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Formalise CAF-10 from working paper to published standard with DOI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Fill industry reach matrix with actual coverage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 Accountability League Season 2 with committed Q3 date and open-source models included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one named case study (even anonymised by sector)</w:t>
      </w:r>
    </w:p>
    <w:p>
      <w:pPr>
        <w:spacing w:before="10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Horizon 3  ·  Market Authority  (9–24 months)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Goal: become the cited reference standard for AI governance measurement.</w:t>
      </w:r>
    </w:p>
    <w:p>
      <w:pPr>
        <w:spacing w:before="6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KAD-10 and KAST-10 published and live — stack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API access layer for enterprise integration buyers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First enterprise licensing deal (financial services or aviation are natural early adopters)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ZULFR cited in an external regulatory consultation, standards body paper, or EU AI Act guidance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 Accountability League becomes an annual, citable industry benchmark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Maturity Tracking Metrics</w:t>
      </w:r>
    </w:p>
    <w:p>
      <w:pPr>
        <w:pBdr>
          <w:bottom w:val="single" w:color="E94560" w:sz="8" w:space="1"/>
        </w:pBdr>
        <w:spacing w:before="80" w:after="80"/>
      </w:pPr>
      <w:r>
        <w:t xml:space="preserve"/>
      </w:r>
    </w:p>
    <w:p>
      <w:pPr>
        <w:spacing w:before="6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These metrics define progress. Each quarterly review should update this table against the March 2026 baseline.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Baseline Mar 2026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Q3 2026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Q1 2027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Models LIVE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4 / 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6 / 8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8 / 8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Published DOIs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6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12+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Self-serve revenue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£0 (email only)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Portal live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Recurring MRR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Certified evaluations issued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0 (tracked)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10+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50+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Media assets on site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10+ images / 2 videos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Full media library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Industry matrix filled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0%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50%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Named social proof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 case study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3+ case studies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Season 2 benchmark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Planning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Published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Season 3 planned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Single Best Next Action</w:t>
      </w:r>
    </w:p>
    <w:p>
      <w:pPr>
        <w:pBdr>
          <w:bottom w:val="single" w:color="E94560" w:sz="8" w:space="1"/>
        </w:pBd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hd w:fill="1A1A2E" w:val="clear"/>
        <w:spacing w:before="100" w:after="100"/>
        <w:jc w:val="center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Build the TRUE100 Self-Serve Evaluation Portal</w:t>
      </w:r>
    </w:p>
    <w:p>
      <w:pPr>
        <w:spacing w:before="6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TRUE100 is ZULFR’s most proven model. The AI Accountability League benchmark provides independent, DOI-citable proof. A gold standard document scoring 90+ while five frontier AI models score 25–28 is a commercial argument that sells itself. The portal converts this proof into recurring revenue with zero manual intervention.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Why TRUE100 first: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Live DOI benchmark — no competitor can claim the same independently verified proof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Clear value proposition: submit a document, receive a governance score, get certified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Natural buyers exist today: regulatory teams, ESG officers, AI labs, media organisations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Report can be priced at £250–£1,500 per evaluation — minimal infrastructure cost to serve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Every TRUE100 client is a candidate for DiGRs-10, SIS-10, and KAST-10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Portal Architecture (proposed):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Document upload (PDF / DOCX)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Instant TRUE100 scoring — deterministic, version-controlled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Stripe payment gate — certified report released on confirmation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Signed PDF report: scores, dimension breakdown, remediation priorities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Optional: ALIGN100 add-on for full Governance-Alignment Gap analysis</w:t>
      </w:r>
    </w:p>
    <w:p>
      <w:pPr>
        <w:spacing w:before="100" w:after="80"/>
      </w:pPr>
      <w:r>
        <w:t xml:space="preserve"/>
      </w:r>
    </w:p>
    <w:p>
      <w:pPr>
        <w:pBdr>
          <w:bottom w:val="single" w:color="1A1A2E" w:sz="8" w:space="1"/>
        </w:pBdr>
        <w:spacing w:before="80" w:after="80"/>
      </w:pPr>
      <w:r>
        <w:t xml:space="preserve"/>
      </w:r>
    </w:p>
    <w:p>
      <w:pPr>
        <w:spacing w:before="60" w:after="80"/>
      </w:pPr>
      <w:r>
        <w:t xml:space="preserve"/>
      </w:r>
    </w:p>
    <w:p>
      <w:pPr>
        <w:spacing w:before="60" w:after="4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ZULFR  ·  A Measurement Institute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Measurement is our Business. Engineering &amp; Safety Cosmos.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4A4A6A"/>
          <w:sz w:val="18"/>
          <w:szCs w:val="18"/>
        </w:rPr>
        <w:t xml:space="preserve">zulfr.com  ·  info@zulfr.com  ·  Milton, Ontario, Canada  ·  ©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4560" w:sz="6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4A4A6A"/>
        <w:sz w:val="16"/>
        <w:szCs w:val="16"/>
      </w:rPr>
      <w:t xml:space="preserve">Confidential  |  Dr. Usman Zafar  |  A Measurement Institute</w:t>
    </w:r>
    <w:r>
      <w:rPr>
        <w:rFonts w:ascii="Arial" w:cs="Arial" w:eastAsia="Arial" w:hAnsi="Arial"/>
        <w:color w:val="4A4A6A"/>
        <w:sz w:val="16"/>
        <w:szCs w:val="16"/>
      </w:rPr>
      <w:t xml:space="preserve">	Page</w:t>
    </w:r>
    <w:r>
      <w:rPr>
        <w:rFonts w:ascii="Arial" w:cs="Arial" w:eastAsia="Arial" w:hAnsi="Arial"/>
        <w:color w:val="4A4A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ZULFR.COM</w:t>
    </w:r>
    <w:r>
      <w:rPr>
        <w:rFonts w:ascii="Arial" w:cs="Arial" w:eastAsia="Arial" w:hAnsi="Arial"/>
        <w:color w:val="4A4A6A"/>
        <w:sz w:val="17"/>
        <w:szCs w:val="17"/>
      </w:rPr>
      <w:t xml:space="preserve">	Website Maturity Analysis  |  March 2026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E945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2026-03-21T12:07:50.210Z</dcterms:created>
  <dcterms:modified xsi:type="dcterms:W3CDTF">2026-03-21T12:07:50.210Z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