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14</w:t>
      </w:r>
    </w:p>
    <w:p>
      <w:pPr/>
      <w:r>
        <w:t>Updated 3 October 2026. This cumulative handbook explains what we built, why each part exists, how to use it, and how it was checked. The system now includes validation, saved originals, three detection rules, investigations, local sign in, faithful reports and four focused workspaces. All 184 automated tests pass. Held-out evaluation, clean setup, demonstration material and final portfolio release remain planned.</w:t>
      </w:r>
    </w:p>
    <w:p>
      <w:pPr/>
      <w:r>
        <w:t>Read chapters 26 to 31 for Days 10 to 14. Chapter 29 is the current completion map; chapter 30 explains report exports and chapter 31 explains the new navigation. Earlier chapters preserve historical checkpoints. Chapter 28 explains account access. Chapter 31 supplies the current startup address and workflow. Both this file and its Markdown companion will continue to be updated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14</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14</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14 completes the focused interface/navigation improvement. Day 15 is proposed for held-out labeled scenario evaluation: define scoring, examine correct findings, false positives and misses, and document limitations honestly. Remaining work includes a fresh-setup rehearsal, final fixes, demonstration screenshots or video, an accurate case study and CV bullets, and final release acceptance. Public hosting and multiple roles are optional. Target completion remains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14</dc:title>
  <dc:subject>Architecture code reference operating guide and development plan</dc:subject>
  <dc:creator>SentinelLab project documentation</dc:creator>
  <cp:keywords>SentinelLab, cumulative handbook, Day 14,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