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2026 Quarterly Financial Report</w:t>
      </w:r>
    </w:p>
    <w:p>
      <w:r>
        <w:t>Reporting period: Q2 2026</w:t>
      </w:r>
    </w:p>
    <w:p>
      <w:r>
        <w:t>Falcon Ridge Trading LLC. Status: final, approved by the CFO on 14 July 2026. All amounts in AED.</w:t>
      </w:r>
    </w:p>
    <w:p>
      <w:pPr>
        <w:pStyle w:val="Heading2"/>
      </w:pPr>
      <w:r>
        <w:t>Income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Q2 2026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AED 4,830,000</w:t>
            </w:r>
          </w:p>
        </w:tc>
      </w:tr>
      <w:tr>
        <w:tc>
          <w:tcPr>
            <w:tcW w:type="dxa" w:w="4320"/>
          </w:tcPr>
          <w:p>
            <w:r>
              <w:t>Cost of goods sold</w:t>
            </w:r>
          </w:p>
        </w:tc>
        <w:tc>
          <w:tcPr>
            <w:tcW w:type="dxa" w:w="4320"/>
          </w:tcPr>
          <w:p>
            <w:r>
              <w:t>AED 2,946,300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AED 1,883,700</w:t>
            </w:r>
          </w:p>
        </w:tc>
      </w:tr>
      <w:tr>
        <w:tc>
          <w:tcPr>
            <w:tcW w:type="dxa" w:w="4320"/>
          </w:tcPr>
          <w:p>
            <w:r>
              <w:t>Salaries and benefits</w:t>
            </w:r>
          </w:p>
        </w:tc>
        <w:tc>
          <w:tcPr>
            <w:tcW w:type="dxa" w:w="4320"/>
          </w:tcPr>
          <w:p>
            <w:r>
              <w:t>AED 655,000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AED 240,000</w:t>
            </w:r>
          </w:p>
        </w:tc>
      </w:tr>
      <w:tr>
        <w:tc>
          <w:tcPr>
            <w:tcW w:type="dxa" w:w="4320"/>
          </w:tcPr>
          <w:p>
            <w:r>
              <w:t>Rent and facilities</w:t>
            </w:r>
          </w:p>
        </w:tc>
        <w:tc>
          <w:tcPr>
            <w:tcW w:type="dxa" w:w="4320"/>
          </w:tcPr>
          <w:p>
            <w:r>
              <w:t>AED 150,000</w:t>
            </w:r>
          </w:p>
        </w:tc>
      </w:tr>
      <w:tr>
        <w:tc>
          <w:tcPr>
            <w:tcW w:type="dxa" w:w="4320"/>
          </w:tcPr>
          <w:p>
            <w:r>
              <w:t>Other operating expenses</w:t>
            </w:r>
          </w:p>
        </w:tc>
        <w:tc>
          <w:tcPr>
            <w:tcW w:type="dxa" w:w="4320"/>
          </w:tcPr>
          <w:p>
            <w:r>
              <w:t>AED 110,000</w:t>
            </w:r>
          </w:p>
        </w:tc>
      </w:tr>
      <w:tr>
        <w:tc>
          <w:tcPr>
            <w:tcW w:type="dxa" w:w="4320"/>
          </w:tcPr>
          <w:p>
            <w:r>
              <w:t>Total operating expenses</w:t>
            </w:r>
          </w:p>
        </w:tc>
        <w:tc>
          <w:tcPr>
            <w:tcW w:type="dxa" w:w="4320"/>
          </w:tcPr>
          <w:p>
            <w:r>
              <w:t>AED 1,155,000</w:t>
            </w:r>
          </w:p>
        </w:tc>
      </w:tr>
      <w:tr>
        <w:tc>
          <w:tcPr>
            <w:tcW w:type="dxa" w:w="4320"/>
          </w:tcPr>
          <w:p>
            <w:r>
              <w:t>Operating profit</w:t>
            </w:r>
          </w:p>
        </w:tc>
        <w:tc>
          <w:tcPr>
            <w:tcW w:type="dxa" w:w="4320"/>
          </w:tcPr>
          <w:p>
            <w:r>
              <w:t>AED 828,700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AED 582,960</w:t>
            </w:r>
          </w:p>
        </w:tc>
      </w:tr>
    </w:tbl>
    <w:p>
      <w:pPr>
        <w:pStyle w:val="Heading2"/>
      </w:pPr>
      <w:r>
        <w:t>Budget and cash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Budgeted revenue</w:t>
            </w:r>
          </w:p>
        </w:tc>
        <w:tc>
          <w:tcPr>
            <w:tcW w:type="dxa" w:w="4320"/>
          </w:tcPr>
          <w:p>
            <w:r>
              <w:t>AED 4,600,000</w:t>
            </w:r>
          </w:p>
        </w:tc>
      </w:tr>
      <w:tr>
        <w:tc>
          <w:tcPr>
            <w:tcW w:type="dxa" w:w="4320"/>
          </w:tcPr>
          <w:p>
            <w:r>
              <w:t>Closing cash balance</w:t>
            </w:r>
          </w:p>
        </w:tc>
        <w:tc>
          <w:tcPr>
            <w:tcW w:type="dxa" w:w="4320"/>
          </w:tcPr>
          <w:p>
            <w:r>
              <w:t>AED 2,710,000</w:t>
            </w:r>
          </w:p>
        </w:tc>
      </w:tr>
    </w:tbl>
    <w:p>
      <w:pPr>
        <w:pStyle w:val="Heading2"/>
      </w:pPr>
      <w:r>
        <w:t>Management commentary</w:t>
      </w:r>
    </w:p>
    <w:p>
      <w:r>
        <w:t>Revenue grew on the back of the cold-chain pilot and the full-quarter effect of the distribution contract. The postponed brand refresh was executed, raising marketing spend.</w:t>
      </w:r>
    </w:p>
    <w:p>
      <w:r>
        <w:t>Cost of goods sold rose faster than revenue because of higher freight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