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 and Remote Work Policy 2026</w:t>
      </w:r>
    </w:p>
    <w:p>
      <w:r>
        <w:t>Effective date: 2026-03-01. Owner: Human Resources. This policy supersedes sections 4 and 6 of the Employee Handbook 2025.</w:t>
      </w:r>
    </w:p>
    <w:p>
      <w:pPr>
        <w:pStyle w:val="Heading2"/>
      </w:pPr>
      <w:r>
        <w:t>Annual leave</w:t>
      </w:r>
    </w:p>
    <w:p>
      <w:r>
        <w:t>Full-time employees are entitled to 25 working days of paid annual leave per calendar year.</w:t>
      </w:r>
    </w:p>
    <w:p>
      <w:r>
        <w:t>Up to 5 days of unused annual leave may be carried over to the following year and must be used by 31 March.</w:t>
      </w:r>
    </w:p>
    <w:p>
      <w:pPr>
        <w:pStyle w:val="Heading2"/>
      </w:pPr>
      <w:r>
        <w:t>Remote work</w:t>
      </w:r>
    </w:p>
    <w:p>
      <w:r>
        <w:t>Employees may work remotely up to 3 days per week, subject to team coverage rules.</w:t>
      </w:r>
    </w:p>
    <w:p>
      <w:pPr>
        <w:pStyle w:val="Heading2"/>
      </w:pPr>
      <w:r>
        <w:t>Sick leave</w:t>
      </w:r>
    </w:p>
    <w:p>
      <w:r>
        <w:t>Sick leave rules are unchanged from the Employee Handbook.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