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484292da3eae3c40e17607f92e23bf723b7ba09"/>
    <w:p>
      <w:pPr>
        <w:pStyle w:val="Heading1"/>
      </w:pPr>
      <w:r>
        <w:t xml:space="preserve">PISES New Building – Space Program (NET First) + Circulation Logic (Draft)</w:t>
      </w:r>
    </w:p>
    <w:p>
      <w:pPr>
        <w:pStyle w:val="FirstParagraph"/>
      </w:pPr>
      <w:r>
        <w:rPr>
          <w:i/>
          <w:iCs/>
        </w:rPr>
        <w:t xml:space="preserve">(Category A – Riyadh; Teaching-space minimums per TBC where stated; Support/SEN/Commons/Auditorium/Cafeteria etc. 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Non‑TBC planning assumptions</w:t>
      </w:r>
      <w:r>
        <w:rPr>
          <w:i/>
          <w:iCs/>
        </w:rPr>
        <w:t xml:space="preserve">.)</w:t>
      </w:r>
    </w:p>
    <w:p>
      <w:r>
        <w:pict>
          <v:rect style="width:0;height:1.5pt" o:hralign="center" o:hrstd="t" o:hr="t"/>
        </w:pict>
      </w:r>
    </w:p>
    <w:bookmarkStart w:id="20" w:name="how-to-use-this-table"/>
    <w:p>
      <w:pPr>
        <w:pStyle w:val="Heading2"/>
      </w:pPr>
      <w:r>
        <w:t xml:space="preserve">0) How to use this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(NET):</w:t>
      </w:r>
      <w:r>
        <w:t xml:space="preserve"> </w:t>
      </w:r>
      <w:r>
        <w:t xml:space="preserve">We list rooms</w:t>
      </w:r>
      <w:r>
        <w:t xml:space="preserve"> </w:t>
      </w:r>
      <w:r>
        <w:rPr>
          <w:b/>
          <w:bCs/>
        </w:rPr>
        <w:t xml:space="preserve">line-by-line</w:t>
      </w:r>
      <w:r>
        <w:t xml:space="preserve"> </w:t>
      </w:r>
      <w:r>
        <w:t xml:space="preserve">(qty × unit net area).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(GROSS):</w:t>
      </w:r>
      <w:r>
        <w:t xml:space="preserve"> </w:t>
      </w:r>
      <w:r>
        <w:t xml:space="preserve">We apply</w:t>
      </w:r>
      <w:r>
        <w:t xml:space="preserve"> </w:t>
      </w:r>
      <w:r>
        <w:rPr>
          <w:b/>
          <w:bCs/>
        </w:rPr>
        <w:t xml:space="preserve">Net→Gross factors</w:t>
      </w:r>
      <w:r>
        <w:t xml:space="preserve"> </w:t>
      </w:r>
      <w:r>
        <w:t xml:space="preserve">by category (academic/admin vs specialist high-services).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 (Circulation &amp; logistics):</w:t>
      </w:r>
      <w:r>
        <w:t xml:space="preserve"> </w:t>
      </w:r>
      <w:r>
        <w:t xml:space="preserve">We validate movement: entries, separation, vertical cores, peak loads.</w:t>
      </w:r>
    </w:p>
    <w:p>
      <w:pPr>
        <w:pStyle w:val="FirstParagraph"/>
      </w:pPr>
      <w:r>
        <w:rPr>
          <w:b/>
          <w:bCs/>
        </w:rPr>
        <w:t xml:space="preserve">Columns explained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Basis:</w:t>
      </w:r>
      <w:r>
        <w:t xml:space="preserve"> </w:t>
      </w:r>
      <w:r>
        <w:rPr>
          <w:rStyle w:val="VerbatimChar"/>
        </w:rPr>
        <w:t xml:space="preserve">TBC</w:t>
      </w:r>
      <w:r>
        <w:t xml:space="preserve"> </w:t>
      </w:r>
      <w:r>
        <w:t xml:space="preserve">(from English Manual) or</w:t>
      </w:r>
      <w:r>
        <w:t xml:space="preserve"> </w:t>
      </w:r>
      <w:r>
        <w:rPr>
          <w:rStyle w:val="VerbatimChar"/>
        </w:rPr>
        <w:t xml:space="preserve">Non‑TBC</w:t>
      </w:r>
      <w:r>
        <w:t xml:space="preserve"> </w:t>
      </w:r>
      <w:r>
        <w:t xml:space="preserve">(assumption/best practice).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Campus Split:</w:t>
      </w:r>
      <w:r>
        <w:t xml:space="preserve"> </w:t>
      </w:r>
      <w:r>
        <w:rPr>
          <w:rStyle w:val="VerbatimChar"/>
        </w:rPr>
        <w:t xml:space="preserve">Co‑ed</w:t>
      </w:r>
      <w:r>
        <w:t xml:space="preserve"> </w:t>
      </w:r>
      <w:r>
        <w:t xml:space="preserve">(Nursery–G1) vs</w:t>
      </w:r>
      <w:r>
        <w:t xml:space="preserve"> </w:t>
      </w:r>
      <w:r>
        <w:rPr>
          <w:rStyle w:val="VerbatimChar"/>
        </w:rPr>
        <w:t xml:space="preserve">Boys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Girls</w:t>
      </w:r>
      <w:r>
        <w:t xml:space="preserve"> </w:t>
      </w:r>
      <w:r>
        <w:t xml:space="preserve">(G2–G12) as per your rule.</w:t>
      </w:r>
    </w:p>
    <w:p>
      <w:r>
        <w:pict>
          <v:rect style="width:0;height:1.5pt" o:hralign="center" o:hrstd="t" o:hr="t"/>
        </w:pict>
      </w:r>
    </w:p>
    <w:bookmarkEnd w:id="20"/>
    <w:bookmarkStart w:id="21" w:name="X832a5bf4ce6593d0b5866a6149ae22b86cf129a"/>
    <w:p>
      <w:pPr>
        <w:pStyle w:val="Heading2"/>
      </w:pPr>
      <w:r>
        <w:t xml:space="preserve">1) Student population + classroom count (Target 7,000)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classrooms (with G2–G12 gender separation):</w:t>
      </w:r>
      <w:r>
        <w:t xml:space="preserve"> </w:t>
      </w:r>
      <w:r>
        <w:rPr>
          <w:b/>
          <w:bCs/>
        </w:rPr>
        <w:t xml:space="preserve">304 rooms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Co‑ed classrooms (Nursery–G1):</w:t>
      </w:r>
      <w:r>
        <w:t xml:space="preserve"> </w:t>
      </w:r>
      <w:r>
        <w:t xml:space="preserve">76 rooms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Boys classrooms (G2–G12):</w:t>
      </w:r>
      <w:r>
        <w:t xml:space="preserve"> </w:t>
      </w:r>
      <w:r>
        <w:t xml:space="preserve">~114 rooms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Girls classrooms (G2–G12):</w:t>
      </w:r>
      <w:r>
        <w:t xml:space="preserve"> </w:t>
      </w:r>
      <w:r>
        <w:t xml:space="preserve">~114 rooms</w:t>
      </w:r>
    </w:p>
    <w:p>
      <w:pPr>
        <w:pStyle w:val="FirstParagraph"/>
      </w:pPr>
      <w:r>
        <w:rPr>
          <w:i/>
          <w:iCs/>
        </w:rPr>
        <w:t xml:space="preserve">(Classroom sizing and caps are handled in the Teaching section below.)</w:t>
      </w:r>
    </w:p>
    <w:p>
      <w:r>
        <w:pict>
          <v:rect style="width:0;height:1.5pt" o:hralign="center" o:hrstd="t" o:hr="t"/>
        </w:pict>
      </w:r>
    </w:p>
    <w:bookmarkEnd w:id="21"/>
    <w:bookmarkStart w:id="25" w:name="teaching-spaces-by-stage-net-schedule"/>
    <w:p>
      <w:pPr>
        <w:pStyle w:val="Heading2"/>
      </w:pPr>
      <w:r>
        <w:t xml:space="preserve">2) TEACHING SPACES (by Stage) — NET schedule</w:t>
      </w:r>
    </w:p>
    <w:bookmarkStart w:id="22" w:name="early-years-nursery-reception-kg-coed"/>
    <w:p>
      <w:pPr>
        <w:pStyle w:val="Heading3"/>
      </w:pPr>
      <w:r>
        <w:t xml:space="preserve">2.1 Early Years (Nursery + Reception + KG) — Co‑ed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EY‑01</w:t>
            </w:r>
          </w:p>
        </w:tc>
        <w:tc>
          <w:tcPr/>
          <w:p>
            <w:pPr>
              <w:pStyle w:val="Compact"/>
            </w:pPr>
            <w:r>
              <w:t xml:space="preserve">Nursery Activity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405.0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1.8 m²/child ×</w:t>
            </w:r>
            <w:r>
              <w:t xml:space="preserve"> </w:t>
            </w: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EY‑02</w:t>
            </w:r>
          </w:p>
        </w:tc>
        <w:tc>
          <w:tcPr/>
          <w:p>
            <w:pPr>
              <w:pStyle w:val="Compact"/>
            </w:pPr>
            <w:r>
              <w:t xml:space="preserve">Nursery Bedroom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202.5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0.9 m²/child ×</w:t>
            </w:r>
            <w:r>
              <w:t xml:space="preserve"> </w:t>
            </w: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EY‑03</w:t>
            </w:r>
          </w:p>
        </w:tc>
        <w:tc>
          <w:tcPr/>
          <w:p>
            <w:pPr>
              <w:pStyle w:val="Compact"/>
            </w:pPr>
            <w:r>
              <w:t xml:space="preserve">Nursery Feeding Room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1.5 m² per 10 infants → (25 ÷10)≈3 ×1.5 = 4.5 m²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EY‑04</w:t>
            </w:r>
          </w:p>
        </w:tc>
        <w:tc>
          <w:tcPr/>
          <w:p>
            <w:pPr>
              <w:pStyle w:val="Compact"/>
            </w:pPr>
            <w:r>
              <w:t xml:space="preserve">Reception Classroom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1,250.0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2.5 m²/child ×</w:t>
            </w:r>
            <w:r>
              <w:t xml:space="preserve"> </w:t>
            </w: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EY‑05</w:t>
            </w:r>
          </w:p>
        </w:tc>
        <w:tc>
          <w:tcPr/>
          <w:p>
            <w:pPr>
              <w:pStyle w:val="Compact"/>
            </w:pPr>
            <w:r>
              <w:t xml:space="preserve">KG Classroom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1,625.0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2.5 m²/child ×</w:t>
            </w:r>
            <w:r>
              <w:t xml:space="preserve"> </w:t>
            </w: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EY‑06</w:t>
            </w:r>
          </w:p>
        </w:tc>
        <w:tc>
          <w:tcPr/>
          <w:p>
            <w:pPr>
              <w:pStyle w:val="Compact"/>
            </w:pPr>
            <w:r>
              <w:t xml:space="preserve">EY Outdoor court (per class)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(½ class area)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Outdoor court = ½ classroom area (site area).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EY‑07</w:t>
            </w:r>
          </w:p>
        </w:tc>
        <w:tc>
          <w:tcPr/>
          <w:p>
            <w:pPr>
              <w:pStyle w:val="Compact"/>
            </w:pPr>
            <w:r>
              <w:t xml:space="preserve">EY Toilets inside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One toilet inside each KG class (as per TBC kindergarten).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EY‑08</w:t>
            </w:r>
          </w:p>
        </w:tc>
        <w:tc>
          <w:tcPr/>
          <w:p>
            <w:pPr>
              <w:pStyle w:val="Compact"/>
            </w:pPr>
            <w:r>
              <w:t xml:space="preserve">EY Learning/Play commons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One per EY block (shared messy play/reading).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EY‑09</w:t>
            </w:r>
          </w:p>
        </w:tc>
        <w:tc>
          <w:tcPr/>
          <w:p>
            <w:pPr>
              <w:pStyle w:val="Compact"/>
            </w:pPr>
            <w:r>
              <w:t xml:space="preserve">EY Store (general)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Per EY block</w:t>
            </w:r>
          </w:p>
        </w:tc>
      </w:tr>
    </w:tbl>
    <w:bookmarkEnd w:id="22"/>
    <w:bookmarkStart w:id="23" w:name="grade-14-g1-coed-g2g4-separated-net"/>
    <w:p>
      <w:pPr>
        <w:pStyle w:val="Heading3"/>
      </w:pPr>
      <w:r>
        <w:t xml:space="preserve">2.2 Grade 1–4 (G1 co‑ed; G2–G4 separated) — NET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P‑01</w:t>
            </w:r>
          </w:p>
        </w:tc>
        <w:tc>
          <w:tcPr/>
          <w:p>
            <w:pPr>
              <w:pStyle w:val="Compact"/>
            </w:pPr>
            <w:r>
              <w:t xml:space="preserve">Grade‑1 Classroom (Co‑ed)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905.5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Classroom example net for 25 students.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P‑02</w:t>
            </w:r>
          </w:p>
        </w:tc>
        <w:tc>
          <w:tcPr/>
          <w:p>
            <w:pPr>
              <w:pStyle w:val="Compact"/>
            </w:pPr>
            <w:r>
              <w:t xml:space="preserve">Grade‑2 Classrooms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560.6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Split by gender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P‑03</w:t>
            </w:r>
          </w:p>
        </w:tc>
        <w:tc>
          <w:tcPr/>
          <w:p>
            <w:pPr>
              <w:pStyle w:val="Compact"/>
            </w:pPr>
            <w:r>
              <w:t xml:space="preserve">Grade‑2 Classrooms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474.3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Split by gender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P‑04</w:t>
            </w:r>
          </w:p>
        </w:tc>
        <w:tc>
          <w:tcPr/>
          <w:p>
            <w:pPr>
              <w:pStyle w:val="Compact"/>
            </w:pPr>
            <w:r>
              <w:t xml:space="preserve">Grade‑3 Classrooms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474.3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P‑05</w:t>
            </w:r>
          </w:p>
        </w:tc>
        <w:tc>
          <w:tcPr/>
          <w:p>
            <w:pPr>
              <w:pStyle w:val="Compact"/>
            </w:pPr>
            <w:r>
              <w:t xml:space="preserve">Grade‑3 Classrooms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474.3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P‑06</w:t>
            </w:r>
          </w:p>
        </w:tc>
        <w:tc>
          <w:tcPr/>
          <w:p>
            <w:pPr>
              <w:pStyle w:val="Compact"/>
            </w:pPr>
            <w:r>
              <w:t xml:space="preserve">Grade‑4 Classrooms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517.4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P‑07</w:t>
            </w:r>
          </w:p>
        </w:tc>
        <w:tc>
          <w:tcPr/>
          <w:p>
            <w:pPr>
              <w:pStyle w:val="Compact"/>
            </w:pPr>
            <w:r>
              <w:t xml:space="preserve">Grade‑4 Classrooms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517.4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P‑08</w:t>
            </w:r>
          </w:p>
        </w:tc>
        <w:tc>
          <w:tcPr/>
          <w:p>
            <w:pPr>
              <w:pStyle w:val="Compact"/>
            </w:pPr>
            <w:r>
              <w:t xml:space="preserve">Primary Multi‑purpose room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170.0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One per primary block (planning)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P‑09</w:t>
            </w:r>
          </w:p>
        </w:tc>
        <w:tc>
          <w:tcPr/>
          <w:p>
            <w:pPr>
              <w:pStyle w:val="Compact"/>
            </w:pPr>
            <w:r>
              <w:t xml:space="preserve">Primary LRC / Library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150.2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One per boys/girls primary wing (recommend).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P‑10</w:t>
            </w:r>
          </w:p>
        </w:tc>
        <w:tc>
          <w:tcPr/>
          <w:p>
            <w:pPr>
              <w:pStyle w:val="Compact"/>
            </w:pPr>
            <w:r>
              <w:t xml:space="preserve">Primary Art Atelier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167.6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Arts atelier (Elementary, Category A) example-based net</w:t>
            </w:r>
          </w:p>
        </w:tc>
      </w:tr>
    </w:tbl>
    <w:bookmarkEnd w:id="23"/>
    <w:bookmarkStart w:id="24" w:name="grade-512-separated-boysgirls-net"/>
    <w:p>
      <w:pPr>
        <w:pStyle w:val="Heading3"/>
      </w:pPr>
      <w:r>
        <w:t xml:space="preserve">2.3 Grade 5–12 (Separated Boys/Girls) — NET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S‑01</w:t>
            </w:r>
          </w:p>
        </w:tc>
        <w:tc>
          <w:tcPr/>
          <w:p>
            <w:pPr>
              <w:pStyle w:val="Compact"/>
            </w:pPr>
            <w:r>
              <w:t xml:space="preserve">Classrooms (Boys G5–G12)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3,406.5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25-student baseline classroom net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S‑02</w:t>
            </w:r>
          </w:p>
        </w:tc>
        <w:tc>
          <w:tcPr/>
          <w:p>
            <w:pPr>
              <w:pStyle w:val="Compact"/>
            </w:pPr>
            <w:r>
              <w:t xml:space="preserve">Classrooms (Girls G5–G12)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3,406.5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S‑03</w:t>
            </w:r>
          </w:p>
        </w:tc>
        <w:tc>
          <w:tcPr/>
          <w:p>
            <w:pPr>
              <w:pStyle w:val="Compact"/>
            </w:pPr>
            <w:r>
              <w:t xml:space="preserve">Intermediate LRC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S‑04</w:t>
            </w:r>
          </w:p>
        </w:tc>
        <w:tc>
          <w:tcPr/>
          <w:p>
            <w:pPr>
              <w:pStyle w:val="Compact"/>
            </w:pPr>
            <w:r>
              <w:t xml:space="preserve">Intermediate LRC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S‑05</w:t>
            </w:r>
          </w:p>
        </w:tc>
        <w:tc>
          <w:tcPr/>
          <w:p>
            <w:pPr>
              <w:pStyle w:val="Compact"/>
            </w:pPr>
            <w:r>
              <w:t xml:space="preserve">Secondary LRC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S‑06</w:t>
            </w:r>
          </w:p>
        </w:tc>
        <w:tc>
          <w:tcPr/>
          <w:p>
            <w:pPr>
              <w:pStyle w:val="Compact"/>
            </w:pPr>
            <w:r>
              <w:t xml:space="preserve">Secondary LRC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S‑07</w:t>
            </w:r>
          </w:p>
        </w:tc>
        <w:tc>
          <w:tcPr/>
          <w:p>
            <w:pPr>
              <w:pStyle w:val="Compact"/>
            </w:pPr>
            <w:r>
              <w:t xml:space="preserve">Multi‑purpose (Intermediate 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S‑08</w:t>
            </w:r>
          </w:p>
        </w:tc>
        <w:tc>
          <w:tcPr/>
          <w:p>
            <w:pPr>
              <w:pStyle w:val="Compact"/>
            </w:pPr>
            <w:r>
              <w:t xml:space="preserve">Multi‑purpose (Intermediate 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S‑09</w:t>
            </w:r>
          </w:p>
        </w:tc>
        <w:tc>
          <w:tcPr/>
          <w:p>
            <w:pPr>
              <w:pStyle w:val="Compact"/>
            </w:pPr>
            <w:r>
              <w:t xml:space="preserve">Multi‑purpose (Secondary 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S‑10</w:t>
            </w:r>
          </w:p>
        </w:tc>
        <w:tc>
          <w:tcPr/>
          <w:p>
            <w:pPr>
              <w:pStyle w:val="Compact"/>
            </w:pPr>
            <w:r>
              <w:t xml:space="preserve">Multi‑purpose (Secondary 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b444561cc92683117b1c5d009a8f71d0ab2ec6a"/>
    <w:p>
      <w:pPr>
        <w:pStyle w:val="Heading2"/>
      </w:pPr>
      <w:r>
        <w:t xml:space="preserve">3) LEARNING LABS, SPECIALIST ROOMS &amp; MAKER SPACES — NET schedule</w:t>
      </w:r>
    </w:p>
    <w:p>
      <w:pPr>
        <w:pStyle w:val="FirstParagraph"/>
      </w:pPr>
      <w:r>
        <w:rPr>
          <w:i/>
          <w:iCs/>
        </w:rPr>
        <w:t xml:space="preserve">(Science + ICT labs use TBC minimum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unit net areas</w:t>
      </w:r>
      <w:r>
        <w:rPr>
          <w:i/>
          <w:iCs/>
        </w:rPr>
        <w:t xml:space="preserve"> </w:t>
      </w:r>
      <w:r>
        <w:rPr>
          <w:i/>
          <w:iCs/>
        </w:rPr>
        <w:t xml:space="preserve">for Category A, capacity 25. Quantities are validated against classroom counts + timetable; where TBC does not mandate a ratio, the qty rule is marked Non‑TBC.)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L‑01</w:t>
            </w:r>
          </w:p>
        </w:tc>
        <w:tc>
          <w:tcPr/>
          <w:p>
            <w:pPr>
              <w:pStyle w:val="Compact"/>
            </w:pPr>
            <w:r>
              <w:t xml:space="preserve">General Science Lab – Primary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420.7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Category A (Elementary) example-based net; capacity 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L‑02</w:t>
            </w:r>
          </w:p>
        </w:tc>
        <w:tc>
          <w:tcPr/>
          <w:p>
            <w:pPr>
              <w:pStyle w:val="Compact"/>
            </w:pPr>
            <w:r>
              <w:t xml:space="preserve">General Science Lab – Primary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360.6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L‑03</w:t>
            </w:r>
          </w:p>
        </w:tc>
        <w:tc>
          <w:tcPr/>
          <w:p>
            <w:pPr>
              <w:pStyle w:val="Compact"/>
            </w:pPr>
            <w:r>
              <w:t xml:space="preserve">Science Lab – Intermediate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62.96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251.84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Category A (Intermediate) example-based net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L‑04</w:t>
            </w:r>
          </w:p>
        </w:tc>
        <w:tc>
          <w:tcPr/>
          <w:p>
            <w:pPr>
              <w:pStyle w:val="Compact"/>
            </w:pPr>
            <w:r>
              <w:t xml:space="preserve">Science Lab – Intermediate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62.96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188.88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L‑05</w:t>
            </w:r>
          </w:p>
        </w:tc>
        <w:tc>
          <w:tcPr/>
          <w:p>
            <w:pPr>
              <w:pStyle w:val="Compact"/>
            </w:pPr>
            <w:r>
              <w:t xml:space="preserve">Physics/Chem/Bio Labs – Secondary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419.4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Category A (Secondary) example-based net (subject labs)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L‑06</w:t>
            </w:r>
          </w:p>
        </w:tc>
        <w:tc>
          <w:tcPr/>
          <w:p>
            <w:pPr>
              <w:pStyle w:val="Compact"/>
            </w:pPr>
            <w:r>
              <w:t xml:space="preserve">Physics/Chem/Bio Labs – Secondary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419.4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L‑07</w:t>
            </w:r>
          </w:p>
        </w:tc>
        <w:tc>
          <w:tcPr/>
          <w:p>
            <w:pPr>
              <w:pStyle w:val="Compact"/>
            </w:pPr>
            <w:r>
              <w:t xml:space="preserve">Science Prep Room (per lab cluster)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Shared between 2–3 labs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L‑08</w:t>
            </w:r>
          </w:p>
        </w:tc>
        <w:tc>
          <w:tcPr/>
          <w:p>
            <w:pPr>
              <w:pStyle w:val="Compact"/>
            </w:pPr>
            <w:r>
              <w:t xml:space="preserve">Chemical Store (secondary; ventilated)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Boys + Girls; controlled access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ICT‑01</w:t>
            </w:r>
          </w:p>
        </w:tc>
        <w:tc>
          <w:tcPr/>
          <w:p>
            <w:pPr>
              <w:pStyle w:val="Compact"/>
            </w:pPr>
            <w:r>
              <w:t xml:space="preserve">Computer/Language Lab – Primary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180.3</w:t>
            </w:r>
          </w:p>
        </w:tc>
        <w:tc>
          <w:tcPr/>
          <w:p>
            <w:pPr>
              <w:pStyle w:val="Compact"/>
            </w:pPr>
            <w:r>
              <w:t xml:space="preserve">TBC (unit) / Non‑TBC (qty)</w:t>
            </w:r>
          </w:p>
        </w:tc>
        <w:tc>
          <w:tcPr/>
          <w:p>
            <w:pPr>
              <w:pStyle w:val="Compact"/>
            </w:pPr>
            <w:r>
              <w:t xml:space="preserve">Unit per TBC; qty planned per primary wing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ICT‑02</w:t>
            </w:r>
          </w:p>
        </w:tc>
        <w:tc>
          <w:tcPr/>
          <w:p>
            <w:pPr>
              <w:pStyle w:val="Compact"/>
            </w:pPr>
            <w:r>
              <w:t xml:space="preserve">Computer/Language Lab – Primary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180.3</w:t>
            </w:r>
          </w:p>
        </w:tc>
        <w:tc>
          <w:tcPr/>
          <w:p>
            <w:pPr>
              <w:pStyle w:val="Compact"/>
            </w:pPr>
            <w:r>
              <w:t xml:space="preserve">TBC (unit) / Non‑TBC (qty)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ICT‑03</w:t>
            </w:r>
          </w:p>
        </w:tc>
        <w:tc>
          <w:tcPr/>
          <w:p>
            <w:pPr>
              <w:pStyle w:val="Compact"/>
            </w:pPr>
            <w:r>
              <w:t xml:space="preserve">Computer/Language Lab – Secondary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349.5</w:t>
            </w:r>
          </w:p>
        </w:tc>
        <w:tc>
          <w:tcPr/>
          <w:p>
            <w:pPr>
              <w:pStyle w:val="Compact"/>
            </w:pPr>
            <w:r>
              <w:t xml:space="preserve">TBC (unit) / Non‑TBC (qty)</w:t>
            </w:r>
          </w:p>
        </w:tc>
        <w:tc>
          <w:tcPr/>
          <w:p>
            <w:pPr>
              <w:pStyle w:val="Compact"/>
            </w:pPr>
            <w:r>
              <w:t xml:space="preserve">Unit per TBC; qty planned per wing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ICT‑04</w:t>
            </w:r>
          </w:p>
        </w:tc>
        <w:tc>
          <w:tcPr/>
          <w:p>
            <w:pPr>
              <w:pStyle w:val="Compact"/>
            </w:pPr>
            <w:r>
              <w:t xml:space="preserve">Computer/Language Lab – Secondary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349.5</w:t>
            </w:r>
          </w:p>
        </w:tc>
        <w:tc>
          <w:tcPr/>
          <w:p>
            <w:pPr>
              <w:pStyle w:val="Compact"/>
            </w:pPr>
            <w:r>
              <w:t xml:space="preserve">TBC (unit) / Non‑TBC (qty)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MAK‑01</w:t>
            </w:r>
          </w:p>
        </w:tc>
        <w:tc>
          <w:tcPr/>
          <w:p>
            <w:pPr>
              <w:pStyle w:val="Compact"/>
            </w:pPr>
            <w:r>
              <w:t xml:space="preserve">Maker / Robotics Lab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One per boys/girls secondary (or shared via scheduling)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ART‑S1</w:t>
            </w:r>
          </w:p>
        </w:tc>
        <w:tc>
          <w:tcPr/>
          <w:p>
            <w:pPr>
              <w:pStyle w:val="Compact"/>
            </w:pPr>
            <w:r>
              <w:t xml:space="preserve">Art Studios (Secondary)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Larger than ateliers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MUS‑01</w:t>
            </w:r>
          </w:p>
        </w:tc>
        <w:tc>
          <w:tcPr/>
          <w:p>
            <w:pPr>
              <w:pStyle w:val="Compact"/>
            </w:pPr>
            <w:r>
              <w:t xml:space="preserve">Music / Drama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Coordinate with auditorium back-of-house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en-wellbeing-suite-net-schedule"/>
    <w:p>
      <w:pPr>
        <w:pStyle w:val="Heading2"/>
      </w:pPr>
      <w:r>
        <w:t xml:space="preserve">4) SEN &amp; WELLBEING SUITE — NET schedule</w:t>
      </w:r>
    </w:p>
    <w:p>
      <w:pPr>
        <w:pStyle w:val="FirstParagraph"/>
      </w:pPr>
      <w:r>
        <w:rPr>
          <w:b/>
          <w:bCs/>
        </w:rPr>
        <w:t xml:space="preserve">All SEN items are Non‑TBC</w:t>
      </w:r>
      <w:r>
        <w:t xml:space="preserve"> </w:t>
      </w:r>
      <w:r>
        <w:t xml:space="preserve">(explicitly tagged).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SEN‑01</w:t>
            </w:r>
          </w:p>
        </w:tc>
        <w:tc>
          <w:tcPr/>
          <w:p>
            <w:pPr>
              <w:pStyle w:val="Compact"/>
            </w:pPr>
            <w:r>
              <w:t xml:space="preserve">SEN Coordinator 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Boys + Girls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SEN‑02</w:t>
            </w:r>
          </w:p>
        </w:tc>
        <w:tc>
          <w:tcPr/>
          <w:p>
            <w:pPr>
              <w:pStyle w:val="Compact"/>
            </w:pPr>
            <w:r>
              <w:t xml:space="preserve">Resource Room (small group)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Distributed by stage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SEN‑03</w:t>
            </w:r>
          </w:p>
        </w:tc>
        <w:tc>
          <w:tcPr/>
          <w:p>
            <w:pPr>
              <w:pStyle w:val="Compact"/>
            </w:pPr>
            <w:r>
              <w:t xml:space="preserve">1:1 Assessment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Quiet testing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SEN‑04</w:t>
            </w:r>
          </w:p>
        </w:tc>
        <w:tc>
          <w:tcPr/>
          <w:p>
            <w:pPr>
              <w:pStyle w:val="Compact"/>
            </w:pPr>
            <w:r>
              <w:t xml:space="preserve">Speech &amp; Language Therapy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SEN‑05</w:t>
            </w:r>
          </w:p>
        </w:tc>
        <w:tc>
          <w:tcPr/>
          <w:p>
            <w:pPr>
              <w:pStyle w:val="Compact"/>
            </w:pPr>
            <w:r>
              <w:t xml:space="preserve">Occupational Therapy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SEN‑06</w:t>
            </w:r>
          </w:p>
        </w:tc>
        <w:tc>
          <w:tcPr/>
          <w:p>
            <w:pPr>
              <w:pStyle w:val="Compact"/>
            </w:pPr>
            <w:r>
              <w:t xml:space="preserve">Sensory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SEN‑07</w:t>
            </w:r>
          </w:p>
        </w:tc>
        <w:tc>
          <w:tcPr/>
          <w:p>
            <w:pPr>
              <w:pStyle w:val="Compact"/>
            </w:pPr>
            <w:r>
              <w:t xml:space="preserve">Counsellor 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SEN‑08</w:t>
            </w:r>
          </w:p>
        </w:tc>
        <w:tc>
          <w:tcPr/>
          <w:p>
            <w:pPr>
              <w:pStyle w:val="Compact"/>
            </w:pPr>
            <w:r>
              <w:t xml:space="preserve">SEN 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Wellbeing (non‑SEN):</w:t>
      </w:r>
      <w:r>
        <w:t xml:space="preserve"> </w:t>
      </w:r>
      <w:r>
        <w:t xml:space="preserve">| Line | Space | Qty | Unit Net (m²) | Total Net (m²) | Basis | Notes |</w:t>
      </w:r>
      <w:r>
        <w:t xml:space="preserve"> </w:t>
      </w:r>
      <w:r>
        <w:t xml:space="preserve">|—:|—|—:|—:|—:|—|—|</w:t>
      </w:r>
      <w:r>
        <w:t xml:space="preserve"> </w:t>
      </w:r>
      <w:r>
        <w:t xml:space="preserve">| WB‑01 | Clinic / Nurse Room (Boys) | 1 | 20 | 20 | Non‑TBC | Exam bed + handwash |</w:t>
      </w:r>
      <w:r>
        <w:t xml:space="preserve"> </w:t>
      </w:r>
      <w:r>
        <w:t xml:space="preserve">| WB‑02 | Clinic / Nurse Room (Girls) | 1 | 20 | 20 | Non‑TBC | Exam bed + handwash |</w:t>
      </w:r>
      <w:r>
        <w:t xml:space="preserve"> </w:t>
      </w:r>
      <w:r>
        <w:t xml:space="preserve">| WB‑05 | Treatment / Minor Procedures (Boys) | 1 | 12 | 12 | Non‑TBC | |</w:t>
      </w:r>
      <w:r>
        <w:t xml:space="preserve"> </w:t>
      </w:r>
      <w:r>
        <w:t xml:space="preserve">| WB‑06 | Treatment / Minor Procedures (Girls) | 1 | 12 | 12 | Non‑TBC | |</w:t>
      </w:r>
      <w:r>
        <w:t xml:space="preserve"> </w:t>
      </w:r>
      <w:r>
        <w:t xml:space="preserve">| WB‑07 | Clinic Waiting (controlled) | 2 | 12 | 24 | Non‑TBC | |</w:t>
      </w:r>
      <w:r>
        <w:t xml:space="preserve"> </w:t>
      </w:r>
      <w:r>
        <w:t xml:space="preserve">| WB‑08 | Medical Store | 2 | 6 | 12 | Non‑TBC | Lockable |</w:t>
      </w:r>
      <w:r>
        <w:t xml:space="preserve"> </w:t>
      </w:r>
      <w:r>
        <w:t xml:space="preserve">| WB‑09 | Accessible Clinic WC | 2 | 3.15 | 6.3 | Non‑TBC | Coordinate with toilet clusters |</w:t>
      </w:r>
    </w:p>
    <w:p>
      <w:pPr>
        <w:pStyle w:val="BodyText"/>
      </w:pPr>
      <w:r>
        <w:t xml:space="preserve">WB‑03 | Isolation Room (Boys) | 1 | 10 | 10 | Non‑TBC | |</w:t>
      </w:r>
      <w:r>
        <w:br/>
      </w:r>
      <w:r>
        <w:t xml:space="preserve">WB‑04 | Isolation Room (Girls) | 1 | 10 | 10 | Non‑TBC | |</w:t>
      </w:r>
    </w:p>
    <w:p>
      <w:r>
        <w:pict>
          <v:rect style="width:0;height:1.5pt" o:hralign="center" o:hrstd="t" o:hr="t"/>
        </w:pict>
      </w:r>
    </w:p>
    <w:bookmarkEnd w:id="27"/>
    <w:bookmarkStart w:id="28" w:name="X3972c3da4754017e921c7d482bd4454a05e8c6e"/>
    <w:p>
      <w:pPr>
        <w:pStyle w:val="Heading2"/>
      </w:pPr>
      <w:r>
        <w:t xml:space="preserve">5) ACADEMIC SUPPORT &amp; ADMINISTRATION — NET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ADM‑01</w:t>
            </w:r>
          </w:p>
        </w:tc>
        <w:tc>
          <w:tcPr/>
          <w:p>
            <w:pPr>
              <w:pStyle w:val="Compact"/>
            </w:pPr>
            <w:r>
              <w:t xml:space="preserve">Reception / Welcome Desk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Main + secondary entry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ADM‑02</w:t>
            </w:r>
          </w:p>
        </w:tc>
        <w:tc>
          <w:tcPr/>
          <w:p>
            <w:pPr>
              <w:pStyle w:val="Compact"/>
            </w:pPr>
            <w:r>
              <w:t xml:space="preserve">Principal 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ADM‑03</w:t>
            </w:r>
          </w:p>
        </w:tc>
        <w:tc>
          <w:tcPr/>
          <w:p>
            <w:pPr>
              <w:pStyle w:val="Compact"/>
            </w:pPr>
            <w:r>
              <w:t xml:space="preserve">Deputy/Vice Principal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ADM‑04</w:t>
            </w:r>
          </w:p>
        </w:tc>
        <w:tc>
          <w:tcPr/>
          <w:p>
            <w:pPr>
              <w:pStyle w:val="Compact"/>
            </w:pPr>
            <w:r>
              <w:t xml:space="preserve">Deputy/Vice Principal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ADM‑05</w:t>
            </w:r>
          </w:p>
        </w:tc>
        <w:tc>
          <w:tcPr/>
          <w:p>
            <w:pPr>
              <w:pStyle w:val="Compact"/>
            </w:pPr>
            <w:r>
              <w:t xml:space="preserve">Executive Assistants / Secretaries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ADM‑06</w:t>
            </w:r>
          </w:p>
        </w:tc>
        <w:tc>
          <w:tcPr/>
          <w:p>
            <w:pPr>
              <w:pStyle w:val="Compact"/>
            </w:pPr>
            <w:r>
              <w:t xml:space="preserve">Admissions Offices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ADM‑07</w:t>
            </w:r>
          </w:p>
        </w:tc>
        <w:tc>
          <w:tcPr/>
          <w:p>
            <w:pPr>
              <w:pStyle w:val="Compact"/>
            </w:pPr>
            <w:r>
              <w:t xml:space="preserve">Finance (Back office)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ADM‑08</w:t>
            </w:r>
          </w:p>
        </w:tc>
        <w:tc>
          <w:tcPr/>
          <w:p>
            <w:pPr>
              <w:pStyle w:val="Compact"/>
            </w:pPr>
            <w:r>
              <w:t xml:space="preserve">Cashier / Fee Collection (secure)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ADM‑09</w:t>
            </w:r>
          </w:p>
        </w:tc>
        <w:tc>
          <w:tcPr/>
          <w:p>
            <w:pPr>
              <w:pStyle w:val="Compact"/>
            </w:pPr>
            <w:r>
              <w:t xml:space="preserve">HR 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ADM‑10</w:t>
            </w:r>
          </w:p>
        </w:tc>
        <w:tc>
          <w:tcPr/>
          <w:p>
            <w:pPr>
              <w:pStyle w:val="Compact"/>
            </w:pPr>
            <w:r>
              <w:t xml:space="preserve">Meeting / Interview 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ADM‑11</w:t>
            </w:r>
          </w:p>
        </w:tc>
        <w:tc>
          <w:tcPr/>
          <w:p>
            <w:pPr>
              <w:pStyle w:val="Compact"/>
            </w:pPr>
            <w:r>
              <w:t xml:space="preserve">Board/SMC Meeting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ADM‑12</w:t>
            </w:r>
          </w:p>
        </w:tc>
        <w:tc>
          <w:tcPr/>
          <w:p>
            <w:pPr>
              <w:pStyle w:val="Compact"/>
            </w:pPr>
            <w:r>
              <w:t xml:space="preserve">Exam Cell / Assessment 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ADM‑13</w:t>
            </w:r>
          </w:p>
        </w:tc>
        <w:tc>
          <w:tcPr/>
          <w:p>
            <w:pPr>
              <w:pStyle w:val="Compact"/>
            </w:pPr>
            <w:r>
              <w:t xml:space="preserve">Records / Archive (secure)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ADM‑14</w:t>
            </w:r>
          </w:p>
        </w:tc>
        <w:tc>
          <w:tcPr/>
          <w:p>
            <w:pPr>
              <w:pStyle w:val="Compact"/>
            </w:pPr>
            <w:r>
              <w:t xml:space="preserve">HOD Offices (cluster)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ADM‑15</w:t>
            </w:r>
          </w:p>
        </w:tc>
        <w:tc>
          <w:tcPr/>
          <w:p>
            <w:pPr>
              <w:pStyle w:val="Compact"/>
            </w:pPr>
            <w:r>
              <w:t xml:space="preserve">School Store / Bookshop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Retail + text books + stationery (controlled access)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ADM‑16</w:t>
            </w:r>
          </w:p>
        </w:tc>
        <w:tc>
          <w:tcPr/>
          <w:p>
            <w:pPr>
              <w:pStyle w:val="Compact"/>
            </w:pPr>
            <w:r>
              <w:t xml:space="preserve">Uniform Shop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Can be adjacent to bookshop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taff-support-net-schedule"/>
    <w:p>
      <w:pPr>
        <w:pStyle w:val="Heading2"/>
      </w:pPr>
      <w:r>
        <w:t xml:space="preserve">6) STAFF SUPPORT — NET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ST‑01</w:t>
            </w:r>
          </w:p>
        </w:tc>
        <w:tc>
          <w:tcPr/>
          <w:p>
            <w:pPr>
              <w:pStyle w:val="Compact"/>
            </w:pPr>
            <w:r>
              <w:t xml:space="preserve">Staff Workroom (distributed)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~1 per academic block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ST‑02</w:t>
            </w:r>
          </w:p>
        </w:tc>
        <w:tc>
          <w:tcPr/>
          <w:p>
            <w:pPr>
              <w:pStyle w:val="Compact"/>
            </w:pPr>
            <w:r>
              <w:t xml:space="preserve">Staff Lounge (large)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Boys + Girls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ST‑03</w:t>
            </w:r>
          </w:p>
        </w:tc>
        <w:tc>
          <w:tcPr/>
          <w:p>
            <w:pPr>
              <w:pStyle w:val="Compact"/>
            </w:pPr>
            <w:r>
              <w:t xml:space="preserve">Staff Pantry / Tea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ST‑04</w:t>
            </w:r>
          </w:p>
        </w:tc>
        <w:tc>
          <w:tcPr/>
          <w:p>
            <w:pPr>
              <w:pStyle w:val="Compact"/>
            </w:pPr>
            <w:r>
              <w:t xml:space="preserve">Teacher Training / PD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ST‑05</w:t>
            </w:r>
          </w:p>
        </w:tc>
        <w:tc>
          <w:tcPr/>
          <w:p>
            <w:pPr>
              <w:pStyle w:val="Compact"/>
            </w:pPr>
            <w:r>
              <w:t xml:space="preserve">Staff lockers / changing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ST‑06</w:t>
            </w:r>
          </w:p>
        </w:tc>
        <w:tc>
          <w:tcPr/>
          <w:p>
            <w:pPr>
              <w:pStyle w:val="Compact"/>
            </w:pPr>
            <w:r>
              <w:t xml:space="preserve">Staff lockers / changing (F)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t-av-security-operations-net-schedule"/>
    <w:p>
      <w:pPr>
        <w:pStyle w:val="Heading2"/>
      </w:pPr>
      <w:r>
        <w:t xml:space="preserve">7) IT / AV / SECURITY / OPERATIONS — NET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IT‑01</w:t>
            </w:r>
          </w:p>
        </w:tc>
        <w:tc>
          <w:tcPr/>
          <w:p>
            <w:pPr>
              <w:pStyle w:val="Compact"/>
            </w:pPr>
            <w:r>
              <w:t xml:space="preserve">IT Office / Helpdesk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IT‑02</w:t>
            </w:r>
          </w:p>
        </w:tc>
        <w:tc>
          <w:tcPr/>
          <w:p>
            <w:pPr>
              <w:pStyle w:val="Compact"/>
            </w:pPr>
            <w:r>
              <w:t xml:space="preserve">Server Room / MDF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IT‑03</w:t>
            </w:r>
          </w:p>
        </w:tc>
        <w:tc>
          <w:tcPr/>
          <w:p>
            <w:pPr>
              <w:pStyle w:val="Compact"/>
            </w:pPr>
            <w:r>
              <w:t xml:space="preserve">IDF / Comms 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~per block/cluster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SEC‑01</w:t>
            </w:r>
          </w:p>
        </w:tc>
        <w:tc>
          <w:tcPr/>
          <w:p>
            <w:pPr>
              <w:pStyle w:val="Compact"/>
            </w:pPr>
            <w:r>
              <w:t xml:space="preserve">Main Security Control (CCTV)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SEC‑02</w:t>
            </w:r>
          </w:p>
        </w:tc>
        <w:tc>
          <w:tcPr/>
          <w:p>
            <w:pPr>
              <w:pStyle w:val="Compact"/>
            </w:pPr>
            <w:r>
              <w:t xml:space="preserve">Wing Security Room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SEC‑03</w:t>
            </w:r>
          </w:p>
        </w:tc>
        <w:tc>
          <w:tcPr/>
          <w:p>
            <w:pPr>
              <w:pStyle w:val="Compact"/>
            </w:pPr>
            <w:r>
              <w:t xml:space="preserve">Wing Security Room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SEC‑04</w:t>
            </w:r>
          </w:p>
        </w:tc>
        <w:tc>
          <w:tcPr/>
          <w:p>
            <w:pPr>
              <w:pStyle w:val="Compact"/>
            </w:pPr>
            <w:r>
              <w:t xml:space="preserve">Gatehouses / Guard 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OPS‑01</w:t>
            </w:r>
          </w:p>
        </w:tc>
        <w:tc>
          <w:tcPr/>
          <w:p>
            <w:pPr>
              <w:pStyle w:val="Compact"/>
            </w:pPr>
            <w:r>
              <w:t xml:space="preserve">Maintenance Workshop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OPS‑02</w:t>
            </w:r>
          </w:p>
        </w:tc>
        <w:tc>
          <w:tcPr/>
          <w:p>
            <w:pPr>
              <w:pStyle w:val="Compact"/>
            </w:pPr>
            <w:r>
              <w:t xml:space="preserve">Maintenance Workshop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OPS‑03</w:t>
            </w:r>
          </w:p>
        </w:tc>
        <w:tc>
          <w:tcPr/>
          <w:p>
            <w:pPr>
              <w:pStyle w:val="Compact"/>
            </w:pPr>
            <w:r>
              <w:t xml:space="preserve">Central Stores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OPS‑04</w:t>
            </w:r>
          </w:p>
        </w:tc>
        <w:tc>
          <w:tcPr/>
          <w:p>
            <w:pPr>
              <w:pStyle w:val="Compact"/>
            </w:pPr>
            <w:r>
              <w:t xml:space="preserve">Central Stores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OPS‑05</w:t>
            </w:r>
          </w:p>
        </w:tc>
        <w:tc>
          <w:tcPr/>
          <w:p>
            <w:pPr>
              <w:pStyle w:val="Compact"/>
            </w:pPr>
            <w:r>
              <w:t xml:space="preserve">Janitor Closets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OPS‑06</w:t>
            </w:r>
          </w:p>
        </w:tc>
        <w:tc>
          <w:tcPr/>
          <w:p>
            <w:pPr>
              <w:pStyle w:val="Compact"/>
            </w:pPr>
            <w:r>
              <w:t xml:space="preserve">Receiving / delivery holding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OPS‑07</w:t>
            </w:r>
          </w:p>
        </w:tc>
        <w:tc>
          <w:tcPr/>
          <w:p>
            <w:pPr>
              <w:pStyle w:val="Compact"/>
            </w:pPr>
            <w:r>
              <w:t xml:space="preserve">Waste holding (internal)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SAF‑01</w:t>
            </w:r>
          </w:p>
        </w:tc>
        <w:tc>
          <w:tcPr/>
          <w:p>
            <w:pPr>
              <w:pStyle w:val="Compact"/>
            </w:pPr>
            <w:r>
              <w:t xml:space="preserve">Fire Command Center / Civil Defense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Near main entry; coordinate with fire alarm panel &amp; access control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TRN‑01</w:t>
            </w:r>
          </w:p>
        </w:tc>
        <w:tc>
          <w:tcPr/>
          <w:p>
            <w:pPr>
              <w:pStyle w:val="Compact"/>
            </w:pPr>
            <w:r>
              <w:t xml:space="preserve">Transport Office (Routes, buses, permits)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Near arrival/departure zone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TRN‑02</w:t>
            </w:r>
          </w:p>
        </w:tc>
        <w:tc>
          <w:tcPr/>
          <w:p>
            <w:pPr>
              <w:pStyle w:val="Compact"/>
            </w:pPr>
            <w:r>
              <w:t xml:space="preserve">Driver Lounge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Seating + rest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TRN‑03</w:t>
            </w:r>
          </w:p>
        </w:tc>
        <w:tc>
          <w:tcPr/>
          <w:p>
            <w:pPr>
              <w:pStyle w:val="Compact"/>
            </w:pPr>
            <w:r>
              <w:t xml:space="preserve">Driver Toilets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Male/female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383b81fc2b27fb56e81399bb45b5416f757fa9c"/>
    <w:p>
      <w:pPr>
        <w:pStyle w:val="Heading2"/>
      </w:pPr>
      <w:r>
        <w:t xml:space="preserve">8) FOOD SERVICES — NET schedule (Cafeteria / Canteen)</w:t>
      </w:r>
    </w:p>
    <w:p>
      <w:pPr>
        <w:pStyle w:val="FirstParagraph"/>
      </w:pPr>
      <w:r>
        <w:rPr>
          <w:i/>
          <w:iCs/>
        </w:rPr>
        <w:t xml:space="preserve">(Non‑TBC; the major driver is whether you run multi‑shift dining.)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F‑01</w:t>
            </w:r>
          </w:p>
        </w:tc>
        <w:tc>
          <w:tcPr/>
          <w:p>
            <w:pPr>
              <w:pStyle w:val="Compact"/>
            </w:pPr>
            <w:r>
              <w:t xml:space="preserve">Dining Hall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Multi‑shift assumption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F‑02</w:t>
            </w:r>
          </w:p>
        </w:tc>
        <w:tc>
          <w:tcPr/>
          <w:p>
            <w:pPr>
              <w:pStyle w:val="Compact"/>
            </w:pPr>
            <w:r>
              <w:t xml:space="preserve">Dining Hall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F‑03</w:t>
            </w:r>
          </w:p>
        </w:tc>
        <w:tc>
          <w:tcPr/>
          <w:p>
            <w:pPr>
              <w:pStyle w:val="Compact"/>
            </w:pPr>
            <w:r>
              <w:t xml:space="preserve">Servery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F‑04</w:t>
            </w:r>
          </w:p>
        </w:tc>
        <w:tc>
          <w:tcPr/>
          <w:p>
            <w:pPr>
              <w:pStyle w:val="Compact"/>
            </w:pPr>
            <w:r>
              <w:t xml:space="preserve">Servery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F‑05</w:t>
            </w:r>
          </w:p>
        </w:tc>
        <w:tc>
          <w:tcPr/>
          <w:p>
            <w:pPr>
              <w:pStyle w:val="Compact"/>
            </w:pPr>
            <w:r>
              <w:t xml:space="preserve">Kitchen / Prep / Wash‑up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Can be centralised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F‑06</w:t>
            </w:r>
          </w:p>
        </w:tc>
        <w:tc>
          <w:tcPr/>
          <w:p>
            <w:pPr>
              <w:pStyle w:val="Compact"/>
            </w:pPr>
            <w:r>
              <w:t xml:space="preserve">Dry store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F‑07</w:t>
            </w:r>
          </w:p>
        </w:tc>
        <w:tc>
          <w:tcPr/>
          <w:p>
            <w:pPr>
              <w:pStyle w:val="Compact"/>
            </w:pPr>
            <w:r>
              <w:t xml:space="preserve">Cold 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F‑08</w:t>
            </w:r>
          </w:p>
        </w:tc>
        <w:tc>
          <w:tcPr/>
          <w:p>
            <w:pPr>
              <w:pStyle w:val="Compact"/>
            </w:pPr>
            <w:r>
              <w:t xml:space="preserve">Catering staff room/lockers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F‑09</w:t>
            </w:r>
          </w:p>
        </w:tc>
        <w:tc>
          <w:tcPr/>
          <w:p>
            <w:pPr>
              <w:pStyle w:val="Compact"/>
            </w:pPr>
            <w:r>
              <w:t xml:space="preserve">Food waste holding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sports-pe-net-site-schedule"/>
    <w:p>
      <w:pPr>
        <w:pStyle w:val="Heading2"/>
      </w:pPr>
      <w:r>
        <w:t xml:space="preserve">9) SPORTS &amp; PE — NET + Site schedule</w:t>
      </w:r>
    </w:p>
    <w:bookmarkStart w:id="32" w:name="indoor-covered-pe-net"/>
    <w:p>
      <w:pPr>
        <w:pStyle w:val="Heading3"/>
      </w:pPr>
      <w:r>
        <w:t xml:space="preserve">9.1 Indoor / covered PE (NET)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SP‑01</w:t>
            </w:r>
          </w:p>
        </w:tc>
        <w:tc>
          <w:tcPr/>
          <w:p>
            <w:pPr>
              <w:pStyle w:val="Compact"/>
            </w:pPr>
            <w:r>
              <w:t xml:space="preserve">Covered Multi‑purpose Sports Hall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PE + events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SP‑02</w:t>
            </w:r>
          </w:p>
        </w:tc>
        <w:tc>
          <w:tcPr/>
          <w:p>
            <w:pPr>
              <w:pStyle w:val="Compact"/>
            </w:pPr>
            <w:r>
              <w:t xml:space="preserve">Covered Multi‑purpose Sports Hall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SP‑03</w:t>
            </w:r>
          </w:p>
        </w:tc>
        <w:tc>
          <w:tcPr/>
          <w:p>
            <w:pPr>
              <w:pStyle w:val="Compact"/>
            </w:pPr>
            <w:r>
              <w:t xml:space="preserve">Changing + showers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SP‑04</w:t>
            </w:r>
          </w:p>
        </w:tc>
        <w:tc>
          <w:tcPr/>
          <w:p>
            <w:pPr>
              <w:pStyle w:val="Compact"/>
            </w:pPr>
            <w:r>
              <w:t xml:space="preserve">Changing + showers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SP‑05</w:t>
            </w:r>
          </w:p>
        </w:tc>
        <w:tc>
          <w:tcPr/>
          <w:p>
            <w:pPr>
              <w:pStyle w:val="Compact"/>
            </w:pPr>
            <w:r>
              <w:t xml:space="preserve">Sports 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SP‑06</w:t>
            </w:r>
          </w:p>
        </w:tc>
        <w:tc>
          <w:tcPr/>
          <w:p>
            <w:pPr>
              <w:pStyle w:val="Compact"/>
            </w:pPr>
            <w:r>
              <w:t xml:space="preserve">PE staff 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SP‑07</w:t>
            </w:r>
          </w:p>
        </w:tc>
        <w:tc>
          <w:tcPr/>
          <w:p>
            <w:pPr>
              <w:pStyle w:val="Compact"/>
            </w:pPr>
            <w:r>
              <w:t xml:space="preserve">Sports first‑aid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swimming-pool-net-site"/>
    <w:p>
      <w:pPr>
        <w:pStyle w:val="Heading3"/>
      </w:pPr>
      <w:r>
        <w:t xml:space="preserve">9.2 Swimming pool (NET + Site)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SW‑01</w:t>
            </w:r>
          </w:p>
        </w:tc>
        <w:tc>
          <w:tcPr/>
          <w:p>
            <w:pPr>
              <w:pStyle w:val="Compact"/>
            </w:pPr>
            <w:r>
              <w:t xml:space="preserve">Swimming Pool Hall (25m x 12.5m water)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Includes pool surround, deck, lifeguard point (net)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SW‑02</w:t>
            </w:r>
          </w:p>
        </w:tc>
        <w:tc>
          <w:tcPr/>
          <w:p>
            <w:pPr>
              <w:pStyle w:val="Compact"/>
            </w:pPr>
            <w:r>
              <w:t xml:space="preserve">Pool Plant / Filtration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High‑services (grossing higher)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SW‑03</w:t>
            </w:r>
          </w:p>
        </w:tc>
        <w:tc>
          <w:tcPr/>
          <w:p>
            <w:pPr>
              <w:pStyle w:val="Compact"/>
            </w:pPr>
            <w:r>
              <w:t xml:space="preserve">Pool Changing + showers (Boys)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SW‑04</w:t>
            </w:r>
          </w:p>
        </w:tc>
        <w:tc>
          <w:tcPr/>
          <w:p>
            <w:pPr>
              <w:pStyle w:val="Compact"/>
            </w:pPr>
            <w:r>
              <w:t xml:space="preserve">Pool Changing + showers (Girls)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SW‑05</w:t>
            </w:r>
          </w:p>
        </w:tc>
        <w:tc>
          <w:tcPr/>
          <w:p>
            <w:pPr>
              <w:pStyle w:val="Compact"/>
            </w:pPr>
            <w:r>
              <w:t xml:space="preserve">Pool Store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SW‑06</w:t>
            </w:r>
          </w:p>
        </w:tc>
        <w:tc>
          <w:tcPr/>
          <w:p>
            <w:pPr>
              <w:pStyle w:val="Compact"/>
            </w:pPr>
            <w:r>
              <w:t xml:space="preserve">Pool First‑aid / Lifeguard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outdoor-sports-site-area"/>
    <w:p>
      <w:pPr>
        <w:pStyle w:val="Heading3"/>
      </w:pPr>
      <w:r>
        <w:t xml:space="preserve">9.3 Outdoor sports (SITE AREA)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Suggested Area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OUT‑01</w:t>
            </w:r>
          </w:p>
        </w:tc>
        <w:tc>
          <w:tcPr/>
          <w:p>
            <w:pPr>
              <w:pStyle w:val="Compact"/>
            </w:pPr>
            <w:r>
              <w:t xml:space="preserve">Outdoor pitch 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m²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Elementary minimum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OUT‑02</w:t>
            </w:r>
          </w:p>
        </w:tc>
        <w:tc>
          <w:tcPr/>
          <w:p>
            <w:pPr>
              <w:pStyle w:val="Compact"/>
            </w:pPr>
            <w:r>
              <w:t xml:space="preserve">Outdoor court 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m²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Secondary minimum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OUT‑03</w:t>
            </w:r>
          </w:p>
        </w:tc>
        <w:tc>
          <w:tcPr/>
          <w:p>
            <w:pPr>
              <w:pStyle w:val="Compact"/>
            </w:pPr>
            <w:r>
              <w:t xml:space="preserve">Football field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~7,000–8,000 m²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If desired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OUT‑04</w:t>
            </w:r>
          </w:p>
        </w:tc>
        <w:tc>
          <w:tcPr/>
          <w:p>
            <w:pPr>
              <w:pStyle w:val="Compact"/>
            </w:pPr>
            <w:r>
              <w:t xml:space="preserve">Multi‑sport courts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~420–500 m² each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Split/schedule boys vs girls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OUT‑05</w:t>
            </w:r>
          </w:p>
        </w:tc>
        <w:tc>
          <w:tcPr/>
          <w:p>
            <w:pPr>
              <w:pStyle w:val="Compact"/>
            </w:pPr>
            <w:r>
              <w:t xml:space="preserve">Shaded PE courts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~420 m² each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Riyadh climate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fc7f1ac6051bfae1172831c05543c19c3232c29"/>
    <w:p>
      <w:pPr>
        <w:pStyle w:val="Heading2"/>
      </w:pPr>
      <w:r>
        <w:t xml:space="preserve">10) EXAMS, AUDITORIUM, ATRIUM/COMMONS — NET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267"/>
        <w:gridCol w:w="1267"/>
        <w:gridCol w:w="1267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Net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Net (m²)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EX‑01</w:t>
            </w:r>
          </w:p>
        </w:tc>
        <w:tc>
          <w:tcPr/>
          <w:p>
            <w:pPr>
              <w:pStyle w:val="Compact"/>
            </w:pPr>
            <w:r>
              <w:t xml:space="preserve">Main Exam Hall (~300 candidates)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Adjustable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EX‑02</w:t>
            </w:r>
          </w:p>
        </w:tc>
        <w:tc>
          <w:tcPr/>
          <w:p>
            <w:pPr>
              <w:pStyle w:val="Compact"/>
            </w:pPr>
            <w:r>
              <w:t xml:space="preserve">Exam store (secure)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EX‑03</w:t>
            </w:r>
          </w:p>
        </w:tc>
        <w:tc>
          <w:tcPr/>
          <w:p>
            <w:pPr>
              <w:pStyle w:val="Compact"/>
            </w:pPr>
            <w:r>
              <w:t xml:space="preserve">Reprographics / printing (secure)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EX‑04</w:t>
            </w:r>
          </w:p>
        </w:tc>
        <w:tc>
          <w:tcPr/>
          <w:p>
            <w:pPr>
              <w:pStyle w:val="Compact"/>
            </w:pPr>
            <w:r>
              <w:t xml:space="preserve">Candidate holding 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Boys + Girls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AUD‑01</w:t>
            </w:r>
          </w:p>
        </w:tc>
        <w:tc>
          <w:tcPr/>
          <w:p>
            <w:pPr>
              <w:pStyle w:val="Compact"/>
            </w:pPr>
            <w:r>
              <w:t xml:space="preserve">Auditorium (300 seats) seating bowl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AUD‑02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AUD‑03</w:t>
            </w:r>
          </w:p>
        </w:tc>
        <w:tc>
          <w:tcPr/>
          <w:p>
            <w:pPr>
              <w:pStyle w:val="Compact"/>
            </w:pPr>
            <w:r>
              <w:t xml:space="preserve">Backstage / green 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AUD‑04</w:t>
            </w:r>
          </w:p>
        </w:tc>
        <w:tc>
          <w:tcPr/>
          <w:p>
            <w:pPr>
              <w:pStyle w:val="Compact"/>
            </w:pPr>
            <w:r>
              <w:t xml:space="preserve">Lobby / foyer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ATR‑01</w:t>
            </w:r>
          </w:p>
        </w:tc>
        <w:tc>
          <w:tcPr/>
          <w:p>
            <w:pPr>
              <w:pStyle w:val="Compact"/>
            </w:pPr>
            <w:r>
              <w:t xml:space="preserve">Atrium / Learning Commons (2,000)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Informal seating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ATR‑02</w:t>
            </w:r>
          </w:p>
        </w:tc>
        <w:tc>
          <w:tcPr/>
          <w:p>
            <w:pPr>
              <w:pStyle w:val="Compact"/>
            </w:pPr>
            <w:r>
              <w:t xml:space="preserve">Breakout rooms (glass)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ATR‑03</w:t>
            </w:r>
          </w:p>
        </w:tc>
        <w:tc>
          <w:tcPr/>
          <w:p>
            <w:pPr>
              <w:pStyle w:val="Compact"/>
            </w:pPr>
            <w:r>
              <w:t xml:space="preserve">Seminar 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Non‑TBC</w:t>
            </w:r>
          </w:p>
        </w:tc>
        <w:tc>
          <w:tcPr/>
          <w:p>
            <w:pPr>
              <w:pStyle w:val="Compact"/>
            </w:pPr>
            <w:r>
              <w:t xml:space="preserve">Clubs/project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what-might-still-be-missing-checklist"/>
    <w:p>
      <w:pPr>
        <w:pStyle w:val="Heading2"/>
      </w:pPr>
      <w:r>
        <w:t xml:space="preserve">11) What might still be missing (Checklist)</w:t>
      </w:r>
    </w:p>
    <w:p>
      <w:pPr>
        <w:pStyle w:val="FirstParagraph"/>
      </w:pPr>
      <w:r>
        <w:rPr>
          <w:b/>
          <w:bCs/>
        </w:rPr>
        <w:t xml:space="preserve">Included per your instruction (now added to NET schedule):</w:t>
      </w:r>
      <w:r>
        <w:t xml:space="preserve"> </w:t>
      </w:r>
      <w:r>
        <w:t xml:space="preserve">- ✅ School store / bookshop</w:t>
      </w:r>
      <w:r>
        <w:t xml:space="preserve"> </w:t>
      </w:r>
      <w:r>
        <w:t xml:space="preserve">- ✅ Uniform shop</w:t>
      </w:r>
      <w:r>
        <w:t xml:space="preserve"> </w:t>
      </w:r>
      <w:r>
        <w:t xml:space="preserve">- ✅ Transport office + driver lounge/toilets</w:t>
      </w:r>
      <w:r>
        <w:t xml:space="preserve"> </w:t>
      </w:r>
      <w:r>
        <w:t xml:space="preserve">- ✅ Science prep rooms + chemical store (secondary)</w:t>
      </w:r>
      <w:r>
        <w:t xml:space="preserve"> </w:t>
      </w:r>
      <w:r>
        <w:t xml:space="preserve">- ✅ Fire command center</w:t>
      </w:r>
      <w:r>
        <w:t xml:space="preserve"> </w:t>
      </w:r>
      <w:r>
        <w:t xml:space="preserve">- ✅ Swimming pool</w:t>
      </w:r>
      <w:r>
        <w:t xml:space="preserve"> </w:t>
      </w:r>
      <w:r>
        <w:t xml:space="preserve">- ✅ Expanded clinic (if not already)</w:t>
      </w:r>
    </w:p>
    <w:p>
      <w:r>
        <w:pict>
          <v:rect style="width:0;height:1.5pt" o:hralign="center" o:hrstd="t" o:hr="t"/>
        </w:pict>
      </w:r>
    </w:p>
    <w:bookmarkEnd w:id="37"/>
    <w:bookmarkStart w:id="41" w:name="X4efaac0d9e6e65594da276bceb52322ef82837b"/>
    <w:p>
      <w:pPr>
        <w:pStyle w:val="Heading2"/>
      </w:pPr>
      <w:r>
        <w:t xml:space="preserve">12) Circulation Logic (for the final combined table)</w:t>
      </w:r>
    </w:p>
    <w:bookmarkStart w:id="38" w:name="campus-zoning"/>
    <w:p>
      <w:pPr>
        <w:pStyle w:val="Heading3"/>
      </w:pPr>
      <w:r>
        <w:t xml:space="preserve">12.1 Campus zoning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Zone A (Co‑ed):</w:t>
      </w:r>
      <w:r>
        <w:t xml:space="preserve"> </w:t>
      </w:r>
      <w:r>
        <w:t xml:space="preserve">Nursery–G1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Zone B (Girls):</w:t>
      </w:r>
      <w:r>
        <w:t xml:space="preserve"> </w:t>
      </w:r>
      <w:r>
        <w:t xml:space="preserve">G2–G12 + girls specialist rooms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Zone C (Boys):</w:t>
      </w:r>
      <w:r>
        <w:t xml:space="preserve"> </w:t>
      </w:r>
      <w:r>
        <w:t xml:space="preserve">G2–G12 + boys specialist rooms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 / controlled:</w:t>
      </w:r>
      <w:r>
        <w:t xml:space="preserve"> </w:t>
      </w:r>
      <w:r>
        <w:t xml:space="preserve">Auditorium, atrium/commons, central admin (if chosen), central kitchen (if chosen)</w:t>
      </w:r>
    </w:p>
    <w:bookmarkEnd w:id="38"/>
    <w:bookmarkStart w:id="39" w:name="separation-rules"/>
    <w:p>
      <w:pPr>
        <w:pStyle w:val="Heading3"/>
      </w:pPr>
      <w:r>
        <w:t xml:space="preserve">12.2 Separation rules</w:t>
      </w:r>
    </w:p>
    <w:p>
      <w:pPr>
        <w:pStyle w:val="Compact"/>
        <w:numPr>
          <w:ilvl w:val="0"/>
          <w:numId w:val="1004"/>
        </w:numPr>
      </w:pPr>
      <w:r>
        <w:t xml:space="preserve">Separate</w:t>
      </w:r>
      <w:r>
        <w:t xml:space="preserve"> </w:t>
      </w:r>
      <w:r>
        <w:rPr>
          <w:b/>
          <w:bCs/>
        </w:rPr>
        <w:t xml:space="preserve">student entries</w:t>
      </w:r>
      <w:r>
        <w:t xml:space="preserve"> </w:t>
      </w:r>
      <w:r>
        <w:t xml:space="preserve">for Boys/Girls (G2–G12)</w:t>
      </w:r>
    </w:p>
    <w:p>
      <w:pPr>
        <w:pStyle w:val="Compact"/>
        <w:numPr>
          <w:ilvl w:val="0"/>
          <w:numId w:val="1004"/>
        </w:numPr>
      </w:pPr>
      <w:r>
        <w:t xml:space="preserve">Shared spaces use</w:t>
      </w:r>
      <w:r>
        <w:t xml:space="preserve"> </w:t>
      </w:r>
      <w:r>
        <w:rPr>
          <w:b/>
          <w:bCs/>
        </w:rPr>
        <w:t xml:space="preserve">timetable separation</w:t>
      </w:r>
      <w:r>
        <w:t xml:space="preserve"> </w:t>
      </w:r>
      <w:r>
        <w:t xml:space="preserve">or controlled access routes</w:t>
      </w:r>
    </w:p>
    <w:bookmarkEnd w:id="39"/>
    <w:bookmarkStart w:id="40" w:name="peak-movement-checks-to-be-calculated"/>
    <w:p>
      <w:pPr>
        <w:pStyle w:val="Heading3"/>
      </w:pPr>
      <w:r>
        <w:t xml:space="preserve">12.3 Peak movement checks (to be calculated)</w:t>
      </w:r>
    </w:p>
    <w:p>
      <w:pPr>
        <w:pStyle w:val="FirstParagraph"/>
      </w:pPr>
      <w:r>
        <w:t xml:space="preserve">We will compute:</w:t>
      </w:r>
      <w:r>
        <w:t xml:space="preserve"> </w:t>
      </w:r>
      <w:r>
        <w:t xml:space="preserve">- Students per zone</w:t>
      </w:r>
      <w:r>
        <w:t xml:space="preserve"> </w:t>
      </w:r>
      <w:r>
        <w:t xml:space="preserve">- Stair/core counts per block</w:t>
      </w:r>
      <w:r>
        <w:t xml:space="preserve"> </w:t>
      </w:r>
      <w:r>
        <w:t xml:space="preserve">- Corridor widths for peaks</w:t>
      </w:r>
      <w:r>
        <w:t xml:space="preserve"> </w:t>
      </w:r>
      <w:r>
        <w:t xml:space="preserve">- Lunch shifts &amp; queuing area</w:t>
      </w:r>
      <w:r>
        <w:t xml:space="preserve"> </w:t>
      </w:r>
      <w:r>
        <w:t xml:space="preserve">- Arrival/departure bus flow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ext-step"/>
    <w:p>
      <w:pPr>
        <w:pStyle w:val="Heading2"/>
      </w:pPr>
      <w:r>
        <w:t xml:space="preserve">13) Next step</w:t>
      </w:r>
    </w:p>
    <w:p>
      <w:pPr>
        <w:pStyle w:val="Compact"/>
        <w:numPr>
          <w:ilvl w:val="0"/>
          <w:numId w:val="1005"/>
        </w:numPr>
      </w:pPr>
      <w:r>
        <w:t xml:space="preserve">Convert all former</w:t>
      </w:r>
      <w:r>
        <w:t xml:space="preserve"> </w:t>
      </w:r>
      <w:r>
        <w:rPr>
          <w:rStyle w:val="VerbatimChar"/>
        </w:rPr>
        <w:t xml:space="preserve">TBD</w:t>
      </w:r>
      <w:r>
        <w:t xml:space="preserve"> </w:t>
      </w:r>
      <w:r>
        <w:t xml:space="preserve">items into fixed</w:t>
      </w:r>
      <w:r>
        <w:t xml:space="preserve"> </w:t>
      </w:r>
      <w:r>
        <w:rPr>
          <w:b/>
          <w:bCs/>
        </w:rPr>
        <w:t xml:space="preserve">unit net areas</w:t>
      </w:r>
      <w:r>
        <w:t xml:space="preserve"> </w:t>
      </w:r>
      <w:r>
        <w:t xml:space="preserve">(DONE for EY + Labs + Ateliers).</w:t>
      </w:r>
    </w:p>
    <w:p>
      <w:pPr>
        <w:pStyle w:val="Compact"/>
        <w:numPr>
          <w:ilvl w:val="0"/>
          <w:numId w:val="1005"/>
        </w:numPr>
      </w:pPr>
      <w:r>
        <w:t xml:space="preserve">Produce the</w:t>
      </w:r>
      <w:r>
        <w:t xml:space="preserve"> </w:t>
      </w:r>
      <w:r>
        <w:rPr>
          <w:b/>
          <w:bCs/>
        </w:rPr>
        <w:t xml:space="preserve">Final Master Table</w:t>
      </w:r>
      <w:r>
        <w:t xml:space="preserve"> </w:t>
      </w:r>
      <w:r>
        <w:t xml:space="preserve">(NET + GROSS) and a short</w:t>
      </w:r>
      <w:r>
        <w:t xml:space="preserve"> </w:t>
      </w:r>
      <w:r>
        <w:rPr>
          <w:b/>
          <w:bCs/>
        </w:rPr>
        <w:t xml:space="preserve">circulation summary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5" w:name="X33a95608ea4e1c026ed7d12613be62135fe7e89"/>
    <w:p>
      <w:pPr>
        <w:pStyle w:val="Heading2"/>
      </w:pPr>
      <w:r>
        <w:t xml:space="preserve">14) Working area totals (NET → GROSS) — Target 7,000 students</w:t>
      </w:r>
    </w:p>
    <w:p>
      <w:pPr>
        <w:pStyle w:val="FirstParagraph"/>
      </w:pPr>
      <w:r>
        <w:rPr>
          <w:i/>
          <w:iCs/>
        </w:rPr>
        <w:t xml:space="preserve">(These totals use the room schedule above; any future changes in qty (labs, ateliers, multipurpose rooms, dining strategy) will update the totals.)</w:t>
      </w:r>
    </w:p>
    <w:bookmarkStart w:id="43" w:name="net-totals-working"/>
    <w:p>
      <w:pPr>
        <w:pStyle w:val="Heading3"/>
      </w:pPr>
      <w:r>
        <w:t xml:space="preserve">14.1 NET totals (working)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Teaching (EY + Primary + Secondary): ~15,720 m² 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Labs + ICT + Specialist teaching rooms: ~3,832 m² 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 + Wellbeing: ~736 m² 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Admin: ~672 m² 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Staff support: ~950 m² 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IT/Security/Ops: ~641 m² 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Food services: ~3,380 m² 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Sports (incl. pool suite): ~3,981 m² 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Exams + Auditorium + Atrium/Commons: ~4,070 m² NET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Total NET (working) ≈ 33,983 m²</w:t>
      </w:r>
    </w:p>
    <w:bookmarkEnd w:id="43"/>
    <w:bookmarkStart w:id="44" w:name="grossing-planning"/>
    <w:p>
      <w:pPr>
        <w:pStyle w:val="Heading3"/>
      </w:pPr>
      <w:r>
        <w:t xml:space="preserve">14.2 Grossing (planning)</w:t>
      </w:r>
    </w:p>
    <w:p>
      <w:pPr>
        <w:pStyle w:val="FirstParagraph"/>
      </w:pPr>
      <w:r>
        <w:t xml:space="preserve">Use grossing multipliers by category: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Academic/Admin/Staff/SEN:</w:t>
      </w:r>
      <w:r>
        <w:t xml:space="preserve"> </w:t>
      </w:r>
      <w:r>
        <w:t xml:space="preserve">×</w:t>
      </w:r>
      <w:r>
        <w:t xml:space="preserve"> </w:t>
      </w:r>
      <w:r>
        <w:rPr>
          <w:b/>
          <w:bCs/>
        </w:rPr>
        <w:t xml:space="preserve">1.45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High‑services (Labs, Food, Sports, Auditorium/Atrium):</w:t>
      </w:r>
      <w:r>
        <w:t xml:space="preserve"> </w:t>
      </w:r>
      <w:r>
        <w:t xml:space="preserve">×</w:t>
      </w:r>
      <w:r>
        <w:t xml:space="preserve"> </w:t>
      </w:r>
      <w:r>
        <w:rPr>
          <w:b/>
          <w:bCs/>
        </w:rPr>
        <w:t xml:space="preserve">1.65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Ops/Back‑of‑house (workshops/stores):</w:t>
      </w:r>
      <w:r>
        <w:t xml:space="preserve"> </w:t>
      </w:r>
      <w:r>
        <w:t xml:space="preserve">×</w:t>
      </w:r>
      <w:r>
        <w:t xml:space="preserve"> </w:t>
      </w:r>
      <w:r>
        <w:rPr>
          <w:b/>
          <w:bCs/>
        </w:rPr>
        <w:t xml:space="preserve">1.55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Total GROSS / BUA (working) ≈ 52,400 m²</w:t>
      </w:r>
    </w:p>
    <w:p>
      <w:pPr>
        <w:pStyle w:val="BodyText"/>
      </w:pPr>
      <w:r>
        <w:t xml:space="preserve">*(This BUA excludes external site items: outdoor pitches/courts, shaded play areas, drop‑off loops, parking, and perimeter security.)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2026-02-12T21:38:00Z</dcterms:created>
  <dcterms:modified xsi:type="dcterms:W3CDTF">2026-02-12T21:38:00Z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