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ses-new-campus-al-safa"/>
    <w:p>
      <w:pPr>
        <w:pStyle w:val="Heading1"/>
      </w:pPr>
      <w:r>
        <w:t xml:space="preserve">PISES NEW CAMPUS – AL SAFA</w:t>
      </w:r>
    </w:p>
    <w:bookmarkStart w:id="20" w:name="executive-development-presentation"/>
    <w:p>
      <w:pPr>
        <w:pStyle w:val="Heading2"/>
      </w:pPr>
      <w:r>
        <w:t xml:space="preserve">EXECUTIVE DEVELOPMENT PRESENTATION</w:t>
      </w:r>
    </w:p>
    <w:p>
      <w:pPr>
        <w:pStyle w:val="FirstParagraph"/>
      </w:pPr>
      <w:r>
        <w:t xml:space="preserve">Capacity Target: 7,000 Students</w:t>
      </w:r>
      <w:r>
        <w:br/>
      </w:r>
      <w:r>
        <w:t xml:space="preserve">Plot Area: 25,000 sqm</w:t>
      </w:r>
      <w:r>
        <w:br/>
      </w:r>
      <w:r>
        <w:t xml:space="preserve">Configuration: 3 Floors + 1 Basement</w:t>
      </w:r>
      <w:r>
        <w:br/>
      </w:r>
      <w:r>
        <w:t xml:space="preserve">Projected GBA: ~60,000 sqm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he-strategic-context"/>
    <w:p>
      <w:pPr>
        <w:pStyle w:val="Heading1"/>
      </w:pPr>
      <w:r>
        <w:t xml:space="preserve">1. THE STRATEGIC CONTEXT</w:t>
      </w:r>
    </w:p>
    <w:p>
      <w:pPr>
        <w:pStyle w:val="FirstParagraph"/>
      </w:pPr>
      <w:r>
        <w:t xml:space="preserve">PISES requires a purpose-built, regulation-compliant campus capable of serving 7,000 students within Riyadh’s urban constraints.</w:t>
      </w:r>
    </w:p>
    <w:p>
      <w:pPr>
        <w:pStyle w:val="BodyText"/>
      </w:pPr>
      <w:r>
        <w:t xml:space="preserve">This development is designed to:</w:t>
      </w:r>
      <w:r>
        <w:t xml:space="preserve"> </w:t>
      </w:r>
      <w:r>
        <w:t xml:space="preserve">• Eliminate long-term capacity pressure</w:t>
      </w:r>
      <w:r>
        <w:br/>
      </w:r>
      <w:r>
        <w:t xml:space="preserve">• Replace fragmented expansion strategy</w:t>
      </w:r>
      <w:r>
        <w:br/>
      </w:r>
      <w:r>
        <w:t xml:space="preserve">• Deliver full academic ecosystem</w:t>
      </w:r>
      <w:r>
        <w:br/>
      </w:r>
      <w:r>
        <w:t xml:space="preserve">• Align with TBC Category A standards</w:t>
      </w:r>
      <w:r>
        <w:br/>
      </w:r>
      <w:r>
        <w:t xml:space="preserve">• Create a 30+ year institutional asset</w:t>
      </w:r>
    </w:p>
    <w:p>
      <w:r>
        <w:pict>
          <v:rect style="width:0;height:1.5pt" o:hralign="center" o:hrstd="t" o:hr="t"/>
        </w:pict>
      </w:r>
    </w:p>
    <w:bookmarkEnd w:id="22"/>
    <w:bookmarkStart w:id="25" w:name="classroom-needs-the-basis"/>
    <w:p>
      <w:pPr>
        <w:pStyle w:val="Heading1"/>
      </w:pPr>
      <w:r>
        <w:t xml:space="preserve">2. CLASSROOM NEEDS – THE BASIS</w:t>
      </w:r>
    </w:p>
    <w:bookmarkStart w:id="23" w:name="regulatory-basis"/>
    <w:p>
      <w:pPr>
        <w:pStyle w:val="Heading2"/>
      </w:pPr>
      <w:r>
        <w:t xml:space="preserve">Regulatory Basis</w:t>
      </w:r>
    </w:p>
    <w:p>
      <w:pPr>
        <w:pStyle w:val="FirstParagraph"/>
      </w:pPr>
      <w:r>
        <w:t xml:space="preserve">• TBC Category A – Maximum 25 students per classroom</w:t>
      </w:r>
      <w:r>
        <w:br/>
      </w:r>
      <w:r>
        <w:t xml:space="preserve">• Planning model used: 22 students average</w:t>
      </w:r>
      <w:r>
        <w:br/>
      </w:r>
      <w:r>
        <w:t xml:space="preserve">• Net classroom area benchmarked to TBC requirements</w:t>
      </w:r>
    </w:p>
    <w:bookmarkEnd w:id="23"/>
    <w:bookmarkStart w:id="24" w:name="X256be05a5a88f19d95ed52ad9ff75882a7111b0"/>
    <w:p>
      <w:pPr>
        <w:pStyle w:val="Heading2"/>
      </w:pPr>
      <w:r>
        <w:t xml:space="preserve">Projected Classroom Requirement (7,000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Classrooms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Years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 Secondary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 Secondary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Standard Classrooms: 317</w:t>
      </w:r>
    </w:p>
    <w:p>
      <w:pPr>
        <w:pStyle w:val="BodyText"/>
      </w:pPr>
      <w:r>
        <w:t xml:space="preserve">Net Classroom Area ≈ 22,700 sqm</w:t>
      </w:r>
    </w:p>
    <w:p>
      <w:pPr>
        <w:pStyle w:val="BodyText"/>
      </w:pPr>
      <w:r>
        <w:t xml:space="preserve">This forms the academic backbone of the campus.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pecialist-academic-requirements"/>
    <w:p>
      <w:pPr>
        <w:pStyle w:val="Heading1"/>
      </w:pPr>
      <w:r>
        <w:t xml:space="preserve">3. SPECIALIST ACADEMIC REQUIREMENTS</w:t>
      </w:r>
    </w:p>
    <w:p>
      <w:pPr>
        <w:pStyle w:val="FirstParagraph"/>
      </w:pPr>
      <w:r>
        <w:t xml:space="preserve">A 7,000-student school cannot operate on classrooms alone.</w:t>
      </w:r>
    </w:p>
    <w:bookmarkStart w:id="26" w:name="required-facilities"/>
    <w:p>
      <w:pPr>
        <w:pStyle w:val="Heading2"/>
      </w:pPr>
      <w:r>
        <w:t xml:space="preserve">Required Facilities</w:t>
      </w:r>
    </w:p>
    <w:p>
      <w:pPr>
        <w:pStyle w:val="FirstParagraph"/>
      </w:pPr>
      <w:r>
        <w:t xml:space="preserve">• 18 Science Laboratories</w:t>
      </w:r>
      <w:r>
        <w:br/>
      </w:r>
      <w:r>
        <w:t xml:space="preserve">• 13 ICT / Robotics Labs</w:t>
      </w:r>
      <w:r>
        <w:br/>
      </w:r>
      <w:r>
        <w:t xml:space="preserve">• 2 Main Libraries + Digital Research Rooms</w:t>
      </w:r>
      <w:r>
        <w:br/>
      </w:r>
      <w:r>
        <w:t xml:space="preserve">• 8 Art Studios</w:t>
      </w:r>
      <w:r>
        <w:br/>
      </w:r>
      <w:r>
        <w:t xml:space="preserve">• 6 Music Rooms + Practice Pods</w:t>
      </w:r>
      <w:r>
        <w:br/>
      </w:r>
      <w:r>
        <w:t xml:space="preserve">• 1 Auditorium (1,000–1,200 capacity)</w:t>
      </w:r>
      <w:r>
        <w:br/>
      </w:r>
      <w:r>
        <w:t xml:space="preserve">• 1 Indoor Sports Hall</w:t>
      </w:r>
      <w:r>
        <w:br/>
      </w:r>
      <w:r>
        <w:t xml:space="preserve">• Staff academic work hubs</w:t>
      </w:r>
    </w:p>
    <w:p>
      <w:pPr>
        <w:pStyle w:val="BodyText"/>
      </w:pPr>
      <w:r>
        <w:t xml:space="preserve">Total Specialist Net Area ≈ 10,580 sqm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en-wellbeing-framework"/>
    <w:p>
      <w:pPr>
        <w:pStyle w:val="Heading1"/>
      </w:pPr>
      <w:r>
        <w:t xml:space="preserve">4. SEN &amp; WELLBEING FRAMEWORK</w:t>
      </w:r>
    </w:p>
    <w:p>
      <w:pPr>
        <w:pStyle w:val="FirstParagraph"/>
      </w:pPr>
      <w:r>
        <w:t xml:space="preserve">Inclusion capacity planned for 8–12% of student body.</w:t>
      </w:r>
    </w:p>
    <w:p>
      <w:pPr>
        <w:pStyle w:val="BodyText"/>
      </w:pPr>
      <w:r>
        <w:t xml:space="preserve">Includes:</w:t>
      </w:r>
      <w:r>
        <w:t xml:space="preserve"> </w:t>
      </w:r>
      <w:r>
        <w:t xml:space="preserve">• SEN resource rooms</w:t>
      </w:r>
      <w:r>
        <w:br/>
      </w:r>
      <w:r>
        <w:t xml:space="preserve">• Therapy &amp; counselling rooms</w:t>
      </w:r>
      <w:r>
        <w:br/>
      </w:r>
      <w:r>
        <w:t xml:space="preserve">• Sensory regulation spaces</w:t>
      </w:r>
      <w:r>
        <w:br/>
      </w:r>
      <w:r>
        <w:t xml:space="preserve">• Student wellbeing hubs (per wing)</w:t>
      </w:r>
      <w:r>
        <w:br/>
      </w:r>
      <w:r>
        <w:t xml:space="preserve">• Medical clinics</w:t>
      </w:r>
    </w:p>
    <w:p>
      <w:pPr>
        <w:pStyle w:val="BodyText"/>
      </w:pPr>
      <w:r>
        <w:t xml:space="preserve">Total SEN &amp; Wellbeing Net Area ≈ 1,274 sqm</w:t>
      </w:r>
    </w:p>
    <w:p>
      <w:r>
        <w:pict>
          <v:rect style="width:0;height:1.5pt" o:hralign="center" o:hrstd="t" o:hr="t"/>
        </w:pict>
      </w:r>
    </w:p>
    <w:bookmarkEnd w:id="28"/>
    <w:bookmarkStart w:id="29" w:name="total-net-academic-area"/>
    <w:p>
      <w:pPr>
        <w:pStyle w:val="Heading1"/>
      </w:pPr>
      <w:r>
        <w:t xml:space="preserve">5. TOTAL NET ACADEMIC AREA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Net Area (sqm)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Classrooms</w:t>
            </w:r>
          </w:p>
        </w:tc>
        <w:tc>
          <w:tcPr/>
          <w:p>
            <w:pPr>
              <w:pStyle w:val="Compact"/>
            </w:pPr>
            <w:r>
              <w:t xml:space="preserve">22,700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Specialist Spaces</w:t>
            </w:r>
          </w:p>
        </w:tc>
        <w:tc>
          <w:tcPr/>
          <w:p>
            <w:pPr>
              <w:pStyle w:val="Compact"/>
            </w:pPr>
            <w:r>
              <w:t xml:space="preserve">10,580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 &amp; Wellbeing</w:t>
            </w:r>
          </w:p>
        </w:tc>
        <w:tc>
          <w:tcPr/>
          <w:p>
            <w:pPr>
              <w:pStyle w:val="Compact"/>
            </w:pPr>
            <w:r>
              <w:t xml:space="preserve">1,274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Academic Net Area ≈ 34,554 sqm</w:t>
      </w:r>
    </w:p>
    <w:p>
      <w:r>
        <w:pict>
          <v:rect style="width:0;height:1.5pt" o:hralign="center" o:hrstd="t" o:hr="t"/>
        </w:pict>
      </w:r>
    </w:p>
    <w:bookmarkEnd w:id="29"/>
    <w:bookmarkStart w:id="30" w:name="net-to-gross-total-building-area"/>
    <w:p>
      <w:pPr>
        <w:pStyle w:val="Heading1"/>
      </w:pPr>
      <w:r>
        <w:t xml:space="preserve">6. NET-TO-GROSS &amp; TOTAL BUILDING AREA</w:t>
      </w:r>
    </w:p>
    <w:p>
      <w:pPr>
        <w:pStyle w:val="FirstParagraph"/>
      </w:pPr>
      <w:r>
        <w:t xml:space="preserve">Planning Efficiency Factor: 1.45</w:t>
      </w:r>
    </w:p>
    <w:p>
      <w:pPr>
        <w:pStyle w:val="BodyText"/>
      </w:pPr>
      <w:r>
        <w:t xml:space="preserve">Academic Gross Area ≈ 50,000–52,000 sqm</w:t>
      </w:r>
      <w:r>
        <w:t xml:space="preserve"> </w:t>
      </w:r>
      <w:r>
        <w:t xml:space="preserve">Additional Support Gross (Admin, cafeteria, plant, prayer, storage) ≈ 9,000 sqm</w:t>
      </w:r>
    </w:p>
    <w:p>
      <w:pPr>
        <w:pStyle w:val="BodyText"/>
      </w:pPr>
      <w:r>
        <w:rPr>
          <w:b/>
          <w:bCs/>
        </w:rPr>
        <w:t xml:space="preserve">Total Projected Gross Built-Up Area ≈ 59,000–61,000 sqm</w:t>
      </w:r>
    </w:p>
    <w:p>
      <w:pPr>
        <w:pStyle w:val="BodyText"/>
      </w:pPr>
      <w:r>
        <w:t xml:space="preserve">Target Planning Value: ~60,000 sqm</w:t>
      </w:r>
    </w:p>
    <w:p>
      <w:r>
        <w:pict>
          <v:rect style="width:0;height:1.5pt" o:hralign="center" o:hrstd="t" o:hr="t"/>
        </w:pict>
      </w:r>
    </w:p>
    <w:bookmarkEnd w:id="30"/>
    <w:bookmarkStart w:id="31" w:name="site-coverage-strategy"/>
    <w:p>
      <w:pPr>
        <w:pStyle w:val="Heading1"/>
      </w:pPr>
      <w:r>
        <w:t xml:space="preserve">7. SITE &amp; COVERAGE STRATEGY</w:t>
      </w:r>
    </w:p>
    <w:p>
      <w:pPr>
        <w:pStyle w:val="FirstParagraph"/>
      </w:pPr>
      <w:r>
        <w:t xml:space="preserve">Plot Size: 25,000 sqm</w:t>
      </w:r>
      <w:r>
        <w:t xml:space="preserve"> </w:t>
      </w:r>
      <w:r>
        <w:t xml:space="preserve">Target Building Footprint: ≤ 17,500 sqm</w:t>
      </w:r>
      <w:r>
        <w:t xml:space="preserve"> </w:t>
      </w:r>
      <w:r>
        <w:t xml:space="preserve">Coverage Ratio: 65–72%</w:t>
      </w:r>
    </w:p>
    <w:p>
      <w:pPr>
        <w:pStyle w:val="BodyText"/>
      </w:pPr>
      <w:r>
        <w:t xml:space="preserve">Remaining Site Allocated To:</w:t>
      </w:r>
      <w:r>
        <w:t xml:space="preserve"> </w:t>
      </w:r>
      <w:r>
        <w:t xml:space="preserve">• Multi-use football field</w:t>
      </w:r>
      <w:r>
        <w:br/>
      </w:r>
      <w:r>
        <w:t xml:space="preserve">• Outdoor courts</w:t>
      </w:r>
      <w:r>
        <w:br/>
      </w:r>
      <w:r>
        <w:t xml:space="preserve">• Early years play zones</w:t>
      </w:r>
      <w:r>
        <w:br/>
      </w:r>
      <w:r>
        <w:t xml:space="preserve">• Emergency assembly areas</w:t>
      </w:r>
      <w:r>
        <w:br/>
      </w:r>
      <w:r>
        <w:t xml:space="preserve">• Drop-off loops</w:t>
      </w:r>
      <w:r>
        <w:br/>
      </w:r>
      <w:r>
        <w:t xml:space="preserve">• Landscape buffers</w:t>
      </w:r>
    </w:p>
    <w:p>
      <w:pPr>
        <w:pStyle w:val="BodyText"/>
      </w:pPr>
      <w:r>
        <w:t xml:space="preserve">Basement required for parking + plant.</w:t>
      </w:r>
    </w:p>
    <w:p>
      <w:r>
        <w:pict>
          <v:rect style="width:0;height:1.5pt" o:hralign="center" o:hrstd="t" o:hr="t"/>
        </w:pict>
      </w:r>
    </w:p>
    <w:bookmarkEnd w:id="31"/>
    <w:bookmarkStart w:id="32" w:name="parking-traffic-model"/>
    <w:p>
      <w:pPr>
        <w:pStyle w:val="Heading1"/>
      </w:pPr>
      <w:r>
        <w:t xml:space="preserve">8. PARKING &amp; TRAFFIC MODEL</w:t>
      </w:r>
    </w:p>
    <w:p>
      <w:pPr>
        <w:pStyle w:val="FirstParagraph"/>
      </w:pPr>
      <w:r>
        <w:t xml:space="preserve">Estimated Staff: 600–750</w:t>
      </w:r>
      <w:r>
        <w:br/>
      </w:r>
      <w:r>
        <w:t xml:space="preserve">Required Parking: 750–800 spaces</w:t>
      </w:r>
    </w:p>
    <w:p>
      <w:pPr>
        <w:pStyle w:val="BodyText"/>
      </w:pPr>
      <w:r>
        <w:t xml:space="preserve">Parking Strategy:</w:t>
      </w:r>
      <w:r>
        <w:t xml:space="preserve"> </w:t>
      </w:r>
      <w:r>
        <w:t xml:space="preserve">• Basement majority</w:t>
      </w:r>
      <w:r>
        <w:br/>
      </w:r>
      <w:r>
        <w:t xml:space="preserve">• Limited surface visitor parking</w:t>
      </w:r>
    </w:p>
    <w:p>
      <w:pPr>
        <w:pStyle w:val="BodyText"/>
      </w:pPr>
      <w:r>
        <w:t xml:space="preserve">Bus Strategy:</w:t>
      </w:r>
      <w:r>
        <w:t xml:space="preserve"> </w:t>
      </w:r>
      <w:r>
        <w:t xml:space="preserve">• 35–45% bus usage</w:t>
      </w:r>
      <w:r>
        <w:br/>
      </w:r>
      <w:r>
        <w:t xml:space="preserve">• ~70 buses (staggered model)</w:t>
      </w:r>
    </w:p>
    <w:p>
      <w:pPr>
        <w:pStyle w:val="BodyText"/>
      </w:pPr>
      <w:r>
        <w:t xml:space="preserve">Traffic separation required for:</w:t>
      </w:r>
      <w:r>
        <w:t xml:space="preserve"> </w:t>
      </w:r>
      <w:r>
        <w:t xml:space="preserve">• Primary</w:t>
      </w:r>
      <w:r>
        <w:br/>
      </w:r>
      <w:r>
        <w:t xml:space="preserve">• Boys Secondary</w:t>
      </w:r>
      <w:r>
        <w:br/>
      </w:r>
      <w:r>
        <w:t xml:space="preserve">• Girls Secondary</w:t>
      </w:r>
      <w:r>
        <w:br/>
      </w:r>
      <w:r>
        <w:t xml:space="preserve">• Service access</w:t>
      </w:r>
    </w:p>
    <w:p>
      <w:r>
        <w:pict>
          <v:rect style="width:0;height:1.5pt" o:hralign="center" o:hrstd="t" o:hr="t"/>
        </w:pict>
      </w:r>
    </w:p>
    <w:bookmarkEnd w:id="32"/>
    <w:bookmarkStart w:id="34" w:name="high-level-cost-estimate"/>
    <w:p>
      <w:pPr>
        <w:pStyle w:val="Heading1"/>
      </w:pPr>
      <w:r>
        <w:t xml:space="preserve">9. HIGH-LEVEL COST ESTIMATE</w:t>
      </w:r>
    </w:p>
    <w:p>
      <w:pPr>
        <w:pStyle w:val="FirstParagraph"/>
      </w:pPr>
      <w:r>
        <w:t xml:space="preserve">Projected GBA: ~60,000 sqm</w:t>
      </w:r>
    </w:p>
    <w:p>
      <w:pPr>
        <w:pStyle w:val="BodyText"/>
      </w:pPr>
      <w:r>
        <w:t xml:space="preserve">Riyadh Education Build Cost Benchmark:</w:t>
      </w:r>
      <w:r>
        <w:t xml:space="preserve"> </w:t>
      </w:r>
      <w:r>
        <w:t xml:space="preserve">SAR 3,000 – 4,500 per sqm (mid specification)</w:t>
      </w:r>
    </w:p>
    <w:bookmarkStart w:id="33" w:name="estimated-construction-cost-range"/>
    <w:p>
      <w:pPr>
        <w:pStyle w:val="Heading2"/>
      </w:pPr>
      <w:r>
        <w:t xml:space="preserve">Estimated Construction Cost Range:</w:t>
      </w:r>
    </w:p>
    <w:p>
      <w:pPr>
        <w:pStyle w:val="FirstParagraph"/>
      </w:pPr>
      <w:r>
        <w:t xml:space="preserve">Low Range: 60,000 × 3,000 = SAR 180M</w:t>
      </w:r>
      <w:r>
        <w:br/>
      </w:r>
      <w:r>
        <w:t xml:space="preserve">Mid Range: 60,000 × 3,750 ≈ SAR 225M</w:t>
      </w:r>
      <w:r>
        <w:br/>
      </w:r>
      <w:r>
        <w:t xml:space="preserve">Upper Range: 60,000 × 4,500 = SAR 270M</w:t>
      </w:r>
    </w:p>
    <w:p>
      <w:pPr>
        <w:pStyle w:val="BodyText"/>
      </w:pPr>
      <w:r>
        <w:t xml:space="preserve">Excludes:</w:t>
      </w:r>
      <w:r>
        <w:t xml:space="preserve"> </w:t>
      </w:r>
      <w:r>
        <w:t xml:space="preserve">• Land cost</w:t>
      </w:r>
      <w:r>
        <w:br/>
      </w:r>
      <w:r>
        <w:t xml:space="preserve">• Financing cost</w:t>
      </w:r>
      <w:r>
        <w:br/>
      </w:r>
      <w:r>
        <w:t xml:space="preserve">• External consultant fees</w:t>
      </w:r>
    </w:p>
    <w:p>
      <w:pPr>
        <w:pStyle w:val="BodyText"/>
      </w:pPr>
      <w:r>
        <w:t xml:space="preserve">Basement parking and auditorium are major cost drivers.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development-stages"/>
    <w:p>
      <w:pPr>
        <w:pStyle w:val="Heading1"/>
      </w:pPr>
      <w:r>
        <w:t xml:space="preserve">10. DEVELOPMENT STAGES</w:t>
      </w:r>
    </w:p>
    <w:bookmarkStart w:id="35" w:name="stage-1-concept-validation-34-months"/>
    <w:p>
      <w:pPr>
        <w:pStyle w:val="Heading2"/>
      </w:pPr>
      <w:r>
        <w:t xml:space="preserve">Stage 1 – Concept Validation (3–4 months)</w:t>
      </w:r>
    </w:p>
    <w:p>
      <w:pPr>
        <w:pStyle w:val="FirstParagraph"/>
      </w:pPr>
      <w:r>
        <w:t xml:space="preserve">• Architect appointment</w:t>
      </w:r>
      <w:r>
        <w:br/>
      </w:r>
      <w:r>
        <w:t xml:space="preserve">• Traffic modelling study</w:t>
      </w:r>
      <w:r>
        <w:br/>
      </w:r>
      <w:r>
        <w:t xml:space="preserve">• Fire consultant modelling</w:t>
      </w:r>
      <w:r>
        <w:br/>
      </w:r>
      <w:r>
        <w:t xml:space="preserve">• Concept freeze</w:t>
      </w:r>
    </w:p>
    <w:bookmarkEnd w:id="35"/>
    <w:bookmarkStart w:id="36" w:name="stage-2-detailed-design-68-months"/>
    <w:p>
      <w:pPr>
        <w:pStyle w:val="Heading2"/>
      </w:pPr>
      <w:r>
        <w:t xml:space="preserve">Stage 2 – Detailed Design (6–8 months)</w:t>
      </w:r>
    </w:p>
    <w:p>
      <w:pPr>
        <w:pStyle w:val="FirstParagraph"/>
      </w:pPr>
      <w:r>
        <w:t xml:space="preserve">• Full architectural design</w:t>
      </w:r>
      <w:r>
        <w:br/>
      </w:r>
      <w:r>
        <w:t xml:space="preserve">• Structural &amp; MEP design</w:t>
      </w:r>
      <w:r>
        <w:br/>
      </w:r>
      <w:r>
        <w:t xml:space="preserve">• Authority submissions</w:t>
      </w:r>
      <w:r>
        <w:br/>
      </w:r>
      <w:r>
        <w:t xml:space="preserve">• Tender documentation</w:t>
      </w:r>
    </w:p>
    <w:bookmarkEnd w:id="36"/>
    <w:bookmarkStart w:id="37" w:name="stage-3-tender-award-34-months"/>
    <w:p>
      <w:pPr>
        <w:pStyle w:val="Heading2"/>
      </w:pPr>
      <w:r>
        <w:t xml:space="preserve">Stage 3 – Tender &amp; Award (3–4 months)</w:t>
      </w:r>
    </w:p>
    <w:p>
      <w:pPr>
        <w:pStyle w:val="FirstParagraph"/>
      </w:pPr>
      <w:r>
        <w:t xml:space="preserve">• Contractor prequalification</w:t>
      </w:r>
      <w:r>
        <w:br/>
      </w:r>
      <w:r>
        <w:t xml:space="preserve">• Tender issue &amp; evaluation</w:t>
      </w:r>
      <w:r>
        <w:br/>
      </w:r>
      <w:r>
        <w:t xml:space="preserve">• Award &amp; mobilization</w:t>
      </w:r>
    </w:p>
    <w:bookmarkEnd w:id="37"/>
    <w:bookmarkStart w:id="38" w:name="stage-4-construction-1824-months"/>
    <w:p>
      <w:pPr>
        <w:pStyle w:val="Heading2"/>
      </w:pPr>
      <w:r>
        <w:t xml:space="preserve">Stage 4 – Construction (18–24 months)</w:t>
      </w:r>
    </w:p>
    <w:p>
      <w:pPr>
        <w:pStyle w:val="FirstParagraph"/>
      </w:pPr>
      <w:r>
        <w:t xml:space="preserve">• Basement works</w:t>
      </w:r>
      <w:r>
        <w:br/>
      </w:r>
      <w:r>
        <w:t xml:space="preserve">• Superstructure</w:t>
      </w:r>
      <w:r>
        <w:br/>
      </w:r>
      <w:r>
        <w:t xml:space="preserve">• Envelope &amp; MEP</w:t>
      </w:r>
      <w:r>
        <w:br/>
      </w:r>
      <w:r>
        <w:t xml:space="preserve">• Fit-out &amp; commissioning</w:t>
      </w:r>
    </w:p>
    <w:p>
      <w:pPr>
        <w:pStyle w:val="BodyText"/>
      </w:pPr>
      <w:r>
        <w:t xml:space="preserve">Total Project Duration (Realistic): 30–36 months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optional-phasing-strategy"/>
    <w:p>
      <w:pPr>
        <w:pStyle w:val="Heading1"/>
      </w:pPr>
      <w:r>
        <w:t xml:space="preserve">11. OPTIONAL PHASING STRATEGY</w:t>
      </w:r>
    </w:p>
    <w:p>
      <w:pPr>
        <w:pStyle w:val="FirstParagraph"/>
      </w:pPr>
      <w:r>
        <w:t xml:space="preserve">If required:</w:t>
      </w:r>
    </w:p>
    <w:p>
      <w:pPr>
        <w:pStyle w:val="BodyText"/>
      </w:pPr>
      <w:r>
        <w:t xml:space="preserve">Phase 1: 5,500–6,000 student capacity</w:t>
      </w:r>
      <w:r>
        <w:br/>
      </w:r>
      <w:r>
        <w:t xml:space="preserve">Phase 2: Expansion to 7,000</w:t>
      </w:r>
    </w:p>
    <w:p>
      <w:pPr>
        <w:pStyle w:val="BodyText"/>
      </w:pPr>
      <w:r>
        <w:t xml:space="preserve">Core infrastructure sized for full 7,000 from day one.</w:t>
      </w:r>
    </w:p>
    <w:p>
      <w:r>
        <w:pict>
          <v:rect style="width:0;height:1.5pt" o:hralign="center" o:hrstd="t" o:hr="t"/>
        </w:pict>
      </w:r>
    </w:p>
    <w:bookmarkEnd w:id="40"/>
    <w:bookmarkStart w:id="41" w:name="key-decisions-required"/>
    <w:p>
      <w:pPr>
        <w:pStyle w:val="Heading1"/>
      </w:pPr>
      <w:r>
        <w:t xml:space="preserve">12. KEY DECISIONS REQUIRED</w:t>
      </w:r>
    </w:p>
    <w:p>
      <w:pPr>
        <w:pStyle w:val="FirstParagraph"/>
      </w:pPr>
      <w:r>
        <w:t xml:space="preserve">SMC / Embassy must confirm:</w:t>
      </w:r>
      <w:r>
        <w:t xml:space="preserve"> </w:t>
      </w:r>
      <w:r>
        <w:t xml:space="preserve">• Target capacity fixed at 7,000?</w:t>
      </w:r>
      <w:r>
        <w:br/>
      </w:r>
      <w:r>
        <w:t xml:space="preserve">• Single-phase vs phased build?</w:t>
      </w:r>
      <w:r>
        <w:br/>
      </w:r>
      <w:r>
        <w:t xml:space="preserve">• Budget ceiling?</w:t>
      </w:r>
      <w:r>
        <w:br/>
      </w:r>
      <w:r>
        <w:t xml:space="preserve">• Architect RFP authorization?</w:t>
      </w:r>
      <w:r>
        <w:br/>
      </w:r>
      <w:r>
        <w:t xml:space="preserve">• Traffic &amp; fire study commissioning?</w:t>
      </w:r>
    </w:p>
    <w:p>
      <w:r>
        <w:pict>
          <v:rect style="width:0;height:1.5pt" o:hralign="center" o:hrstd="t" o:hr="t"/>
        </w:pict>
      </w:r>
    </w:p>
    <w:bookmarkEnd w:id="41"/>
    <w:bookmarkStart w:id="42" w:name="conclusion"/>
    <w:p>
      <w:pPr>
        <w:pStyle w:val="Heading1"/>
      </w:pPr>
      <w:r>
        <w:t xml:space="preserve">13. CONCLUSION</w:t>
      </w:r>
    </w:p>
    <w:p>
      <w:pPr>
        <w:pStyle w:val="FirstParagraph"/>
      </w:pPr>
      <w:r>
        <w:t xml:space="preserve">The 7,000-student campus is technically feasible on 25,000 sqm.</w:t>
      </w:r>
    </w:p>
    <w:p>
      <w:pPr>
        <w:pStyle w:val="BodyText"/>
      </w:pPr>
      <w:r>
        <w:t xml:space="preserve">Feasibility depends on:</w:t>
      </w:r>
      <w:r>
        <w:t xml:space="preserve"> </w:t>
      </w:r>
      <w:r>
        <w:t xml:space="preserve">• Controlled footprint</w:t>
      </w:r>
      <w:r>
        <w:br/>
      </w:r>
      <w:r>
        <w:t xml:space="preserve">• Basement parking implementation</w:t>
      </w:r>
      <w:r>
        <w:br/>
      </w:r>
      <w:r>
        <w:t xml:space="preserve">• Efficient circulation design</w:t>
      </w:r>
      <w:r>
        <w:br/>
      </w:r>
      <w:r>
        <w:t xml:space="preserve">• Compact external sports model</w:t>
      </w:r>
    </w:p>
    <w:p>
      <w:pPr>
        <w:pStyle w:val="BodyText"/>
      </w:pPr>
      <w:r>
        <w:t xml:space="preserve">This development establishes:</w:t>
      </w:r>
      <w:r>
        <w:t xml:space="preserve"> </w:t>
      </w:r>
      <w:r>
        <w:t xml:space="preserve">• Institutional stability</w:t>
      </w:r>
      <w:r>
        <w:br/>
      </w:r>
      <w:r>
        <w:t xml:space="preserve">• Regulatory compliance</w:t>
      </w:r>
      <w:r>
        <w:br/>
      </w:r>
      <w:r>
        <w:t xml:space="preserve">• Long-term academic infrastructure</w:t>
      </w:r>
      <w:r>
        <w:br/>
      </w:r>
      <w:r>
        <w:t xml:space="preserve">• A 30+ year strategic educational asset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2"/>
    <w:bookmarkStart w:id="54" w:name="X7c6653ee57ed18e4009798cc678f83c6368b220"/>
    <w:p>
      <w:pPr>
        <w:pStyle w:val="Heading1"/>
      </w:pPr>
      <w:r>
        <w:t xml:space="preserve">OPTIONAL SLIDE – CONSTRUCTION COST STRUCTURE EXPLAINED</w:t>
      </w:r>
    </w:p>
    <w:bookmarkStart w:id="47" w:name="what-is-included-in-each-cost-layer"/>
    <w:p>
      <w:pPr>
        <w:pStyle w:val="Heading2"/>
      </w:pPr>
      <w:r>
        <w:t xml:space="preserve">What is Included in Each Cost Layer?</w:t>
      </w:r>
    </w:p>
    <w:bookmarkStart w:id="43" w:name="core-shell-cs"/>
    <w:p>
      <w:pPr>
        <w:pStyle w:val="Heading3"/>
      </w:pPr>
      <w:r>
        <w:t xml:space="preserve">1. Core &amp; Shell (C&amp;S)</w:t>
      </w:r>
    </w:p>
    <w:p>
      <w:pPr>
        <w:pStyle w:val="FirstParagraph"/>
      </w:pPr>
      <w:r>
        <w:t xml:space="preserve">Includes:</w:t>
      </w:r>
      <w:r>
        <w:t xml:space="preserve"> </w:t>
      </w:r>
      <w:r>
        <w:t xml:space="preserve">• Foundations &amp; structural frame</w:t>
      </w:r>
      <w:r>
        <w:br/>
      </w:r>
      <w:r>
        <w:t xml:space="preserve">• Slabs, beams, columns</w:t>
      </w:r>
      <w:r>
        <w:br/>
      </w:r>
      <w:r>
        <w:t xml:space="preserve">• Roof structure &amp; waterproofing</w:t>
      </w:r>
      <w:r>
        <w:br/>
      </w:r>
      <w:r>
        <w:t xml:space="preserve">• External walls &amp; façade</w:t>
      </w:r>
      <w:r>
        <w:br/>
      </w:r>
      <w:r>
        <w:t xml:space="preserve">• Windows &amp; external doors</w:t>
      </w:r>
      <w:r>
        <w:br/>
      </w:r>
      <w:r>
        <w:t xml:space="preserve">• Stair cores &amp; lift shafts</w:t>
      </w:r>
      <w:r>
        <w:br/>
      </w:r>
      <w:r>
        <w:t xml:space="preserve">• Main utility rooms &amp; vertical shafts</w:t>
      </w:r>
    </w:p>
    <w:p>
      <w:pPr>
        <w:pStyle w:val="BodyText"/>
      </w:pPr>
      <w:r>
        <w:t xml:space="preserve">This stage delivers a weather-tight structural building.</w:t>
      </w:r>
    </w:p>
    <w:p>
      <w:r>
        <w:pict>
          <v:rect style="width:0;height:1.5pt" o:hralign="center" o:hrstd="t" o:hr="t"/>
        </w:pict>
      </w:r>
    </w:p>
    <w:bookmarkEnd w:id="43"/>
    <w:bookmarkStart w:id="44" w:name="first-fix-hidden-services"/>
    <w:p>
      <w:pPr>
        <w:pStyle w:val="Heading3"/>
      </w:pPr>
      <w:r>
        <w:t xml:space="preserve">2. First Fix (Hidden Services)</w:t>
      </w:r>
    </w:p>
    <w:p>
      <w:pPr>
        <w:pStyle w:val="FirstParagraph"/>
      </w:pPr>
      <w:r>
        <w:t xml:space="preserve">Includes:</w:t>
      </w:r>
      <w:r>
        <w:t xml:space="preserve"> </w:t>
      </w:r>
      <w:r>
        <w:t xml:space="preserve">• Electrical conduits &amp; cabling infrastructure</w:t>
      </w:r>
      <w:r>
        <w:br/>
      </w:r>
      <w:r>
        <w:t xml:space="preserve">• AC ducting &amp; chilled water piping</w:t>
      </w:r>
      <w:r>
        <w:br/>
      </w:r>
      <w:r>
        <w:t xml:space="preserve">• Plumbing pipework</w:t>
      </w:r>
      <w:r>
        <w:br/>
      </w:r>
      <w:r>
        <w:t xml:space="preserve">• Fire sprinkler network</w:t>
      </w:r>
      <w:r>
        <w:br/>
      </w:r>
      <w:r>
        <w:t xml:space="preserve">• Data cabling pathways</w:t>
      </w:r>
    </w:p>
    <w:p>
      <w:pPr>
        <w:pStyle w:val="BodyText"/>
      </w:pPr>
      <w:r>
        <w:t xml:space="preserve">Services are concealed before wall &amp; ceiling closure.</w:t>
      </w:r>
    </w:p>
    <w:p>
      <w:r>
        <w:pict>
          <v:rect style="width:0;height:1.5pt" o:hralign="center" o:hrstd="t" o:hr="t"/>
        </w:pict>
      </w:r>
    </w:p>
    <w:bookmarkEnd w:id="44"/>
    <w:bookmarkStart w:id="45" w:name="second-fix-visible-fit-out"/>
    <w:p>
      <w:pPr>
        <w:pStyle w:val="Heading3"/>
      </w:pPr>
      <w:r>
        <w:t xml:space="preserve">3. Second Fix (Visible Fit-Out)</w:t>
      </w:r>
    </w:p>
    <w:p>
      <w:pPr>
        <w:pStyle w:val="FirstParagraph"/>
      </w:pPr>
      <w:r>
        <w:t xml:space="preserve">Includes:</w:t>
      </w:r>
      <w:r>
        <w:t xml:space="preserve"> </w:t>
      </w:r>
      <w:r>
        <w:t xml:space="preserve">• Light fixtures, switches, sockets</w:t>
      </w:r>
      <w:r>
        <w:br/>
      </w:r>
      <w:r>
        <w:t xml:space="preserve">• AC diffusers &amp; FCUs</w:t>
      </w:r>
      <w:r>
        <w:br/>
      </w:r>
      <w:r>
        <w:t xml:space="preserve">• Plumbing fixtures (WC, basins)</w:t>
      </w:r>
      <w:r>
        <w:br/>
      </w:r>
      <w:r>
        <w:t xml:space="preserve">• Internal doors &amp; joinery</w:t>
      </w:r>
      <w:r>
        <w:br/>
      </w:r>
      <w:r>
        <w:t xml:space="preserve">• Floor finishes &amp; ceiling systems</w:t>
      </w:r>
    </w:p>
    <w:p>
      <w:pPr>
        <w:pStyle w:val="BodyText"/>
      </w:pPr>
      <w:r>
        <w:t xml:space="preserve">Rooms become operational at this stage.</w:t>
      </w:r>
    </w:p>
    <w:p>
      <w:r>
        <w:pict>
          <v:rect style="width:0;height:1.5pt" o:hralign="center" o:hrstd="t" o:hr="t"/>
        </w:pict>
      </w:r>
    </w:p>
    <w:bookmarkEnd w:id="45"/>
    <w:bookmarkStart w:id="46" w:name="third-fix-specialist-fit-out"/>
    <w:p>
      <w:pPr>
        <w:pStyle w:val="Heading3"/>
      </w:pPr>
      <w:r>
        <w:t xml:space="preserve">4. Third Fix / Specialist Fit-Out</w:t>
      </w:r>
    </w:p>
    <w:p>
      <w:pPr>
        <w:pStyle w:val="FirstParagraph"/>
      </w:pPr>
      <w:r>
        <w:t xml:space="preserve">Includes:</w:t>
      </w:r>
      <w:r>
        <w:t xml:space="preserve"> </w:t>
      </w:r>
      <w:r>
        <w:t xml:space="preserve">• Smart boards &amp; AV systems</w:t>
      </w:r>
      <w:r>
        <w:br/>
      </w:r>
      <w:r>
        <w:t xml:space="preserve">• Lab benches &amp; fume hoods</w:t>
      </w:r>
      <w:r>
        <w:br/>
      </w:r>
      <w:r>
        <w:t xml:space="preserve">• Library shelving</w:t>
      </w:r>
      <w:r>
        <w:br/>
      </w:r>
      <w:r>
        <w:t xml:space="preserve">• Auditorium seating &amp; stage systems</w:t>
      </w:r>
      <w:r>
        <w:br/>
      </w:r>
      <w:r>
        <w:t xml:space="preserve">• Furniture</w:t>
      </w:r>
    </w:p>
    <w:p>
      <w:pPr>
        <w:pStyle w:val="BodyText"/>
      </w:pPr>
      <w:r>
        <w:t xml:space="preserve">This layer drives variability in final cost.</w:t>
      </w:r>
    </w:p>
    <w:p>
      <w:pPr>
        <w:pStyle w:val="BodyText"/>
      </w:pPr>
      <w:r>
        <w:t xml:space="preserve">=============================================================</w:t>
      </w:r>
      <w:r>
        <w:t xml:space="preserve"> </w:t>
      </w:r>
      <w:r>
        <w:t xml:space="preserve">OPTIONAL SLIDE – COST ESTIMATE BY ROOM TYPE</w:t>
      </w:r>
      <w:r>
        <w:t xml:space="preserve"> </w:t>
      </w:r>
      <w:r>
        <w:t xml:space="preserve">=============================================================</w:t>
      </w:r>
    </w:p>
    <w:p>
      <w:pPr>
        <w:pStyle w:val="BodyText"/>
      </w:pPr>
      <w:r>
        <w:t xml:space="preserve">(All figures indicative – Riyadh 2026 mid-spec benchmark)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tandard-classroom-75-sqm-secondary"/>
    <w:p>
      <w:pPr>
        <w:pStyle w:val="Heading2"/>
      </w:pPr>
      <w:r>
        <w:t xml:space="preserve">1. STANDARD CLASSROOM (75 sqm – Secondary)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Estimated Cost (SAR)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&amp; Shell</w:t>
            </w:r>
          </w:p>
        </w:tc>
        <w:tc>
          <w:tcPr/>
          <w:p>
            <w:pPr>
              <w:pStyle w:val="Compact"/>
            </w:pPr>
            <w:r>
              <w:t xml:space="preserve">120,000 – 150,000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Fix</w:t>
            </w:r>
          </w:p>
        </w:tc>
        <w:tc>
          <w:tcPr/>
          <w:p>
            <w:pPr>
              <w:pStyle w:val="Compact"/>
            </w:pPr>
            <w:r>
              <w:t xml:space="preserve">35,000 – 45,000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Fix &amp; Finishes</w:t>
            </w:r>
          </w:p>
        </w:tc>
        <w:tc>
          <w:tcPr/>
          <w:p>
            <w:pPr>
              <w:pStyle w:val="Compact"/>
            </w:pPr>
            <w:r>
              <w:t xml:space="preserve">55,000 – 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 Fix (AV + Furniture)</w:t>
            </w:r>
          </w:p>
        </w:tc>
        <w:tc>
          <w:tcPr/>
          <w:p>
            <w:pPr>
              <w:pStyle w:val="Compact"/>
            </w:pPr>
            <w:r>
              <w:t xml:space="preserve">30,000 – 45,000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Classroom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240,000 – 315,000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science-laboratory-100-sqm"/>
    <w:p>
      <w:pPr>
        <w:pStyle w:val="Heading2"/>
      </w:pPr>
      <w:r>
        <w:t xml:space="preserve">2. SCIENCE LABORATORY (100 sqm)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Estimated Cost (SAR)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&amp; Shell</w:t>
            </w:r>
          </w:p>
        </w:tc>
        <w:tc>
          <w:tcPr/>
          <w:p>
            <w:pPr>
              <w:pStyle w:val="Compact"/>
            </w:pPr>
            <w:r>
              <w:t xml:space="preserve">170,000 – 200,000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Fix (Heavy MEP)</w:t>
            </w:r>
          </w:p>
        </w:tc>
        <w:tc>
          <w:tcPr/>
          <w:p>
            <w:pPr>
              <w:pStyle w:val="Compact"/>
            </w:pPr>
            <w:r>
              <w:t xml:space="preserve">75,000 – 95,000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Fix</w:t>
            </w:r>
          </w:p>
        </w:tc>
        <w:tc>
          <w:tcPr/>
          <w:p>
            <w:pPr>
              <w:pStyle w:val="Compact"/>
            </w:pPr>
            <w:r>
              <w:t xml:space="preserve">100,000 – 130,000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 Fix (Benches + Equipment)</w:t>
            </w:r>
          </w:p>
        </w:tc>
        <w:tc>
          <w:tcPr/>
          <w:p>
            <w:pPr>
              <w:pStyle w:val="Compact"/>
            </w:pPr>
            <w:r>
              <w:t xml:space="preserve">130,000 – 180,000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475,000 – 605,000</w:t>
            </w:r>
          </w:p>
        </w:tc>
      </w:tr>
    </w:tbl>
    <w:p>
      <w:pPr>
        <w:pStyle w:val="BodyText"/>
      </w:pPr>
      <w:r>
        <w:t xml:space="preserve">Labs cost approximately 2x standard classroom due to MEP intensity.</w:t>
      </w:r>
    </w:p>
    <w:p>
      <w:r>
        <w:pict>
          <v:rect style="width:0;height:1.5pt" o:hralign="center" o:hrstd="t" o:hr="t"/>
        </w:pict>
      </w:r>
    </w:p>
    <w:bookmarkEnd w:id="49"/>
    <w:bookmarkStart w:id="50" w:name="ict-robotics-lab-80-sqm"/>
    <w:p>
      <w:pPr>
        <w:pStyle w:val="Heading2"/>
      </w:pPr>
      <w:r>
        <w:t xml:space="preserve">3. ICT / ROBOTICS LAB (80 sqm)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Estimated Cost (SAR)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&amp; Shell</w:t>
            </w:r>
          </w:p>
        </w:tc>
        <w:tc>
          <w:tcPr/>
          <w:p>
            <w:pPr>
              <w:pStyle w:val="Compact"/>
            </w:pPr>
            <w:r>
              <w:t xml:space="preserve">135,000 – 160,000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Fix</w:t>
            </w:r>
          </w:p>
        </w:tc>
        <w:tc>
          <w:tcPr/>
          <w:p>
            <w:pPr>
              <w:pStyle w:val="Compact"/>
            </w:pPr>
            <w:r>
              <w:t xml:space="preserve">50,000 – 65,000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Fix</w:t>
            </w:r>
          </w:p>
        </w:tc>
        <w:tc>
          <w:tcPr/>
          <w:p>
            <w:pPr>
              <w:pStyle w:val="Compact"/>
            </w:pPr>
            <w:r>
              <w:t xml:space="preserve">65,000 – 85,000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 Fix (IT + Furniture)</w:t>
            </w:r>
          </w:p>
        </w:tc>
        <w:tc>
          <w:tcPr/>
          <w:p>
            <w:pPr>
              <w:pStyle w:val="Compact"/>
            </w:pPr>
            <w:r>
              <w:t xml:space="preserve">70,000 – 110,000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ICT 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320,000 – 420,000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auditorium-1200-sqm"/>
    <w:p>
      <w:pPr>
        <w:pStyle w:val="Heading2"/>
      </w:pPr>
      <w:r>
        <w:t xml:space="preserve">4. AUDITORIUM (1,200 sqm)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Estimated Cost (SAR)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&amp; Shell</w:t>
            </w:r>
          </w:p>
        </w:tc>
        <w:tc>
          <w:tcPr/>
          <w:p>
            <w:pPr>
              <w:pStyle w:val="Compact"/>
            </w:pPr>
            <w:r>
              <w:t xml:space="preserve">3.0 – 3.5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MEP Systems</w:t>
            </w:r>
          </w:p>
        </w:tc>
        <w:tc>
          <w:tcPr/>
          <w:p>
            <w:pPr>
              <w:pStyle w:val="Compact"/>
            </w:pPr>
            <w:r>
              <w:t xml:space="preserve">1.2 – 1.5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Seating &amp; Acoustics</w:t>
            </w:r>
          </w:p>
        </w:tc>
        <w:tc>
          <w:tcPr/>
          <w:p>
            <w:pPr>
              <w:pStyle w:val="Compact"/>
            </w:pPr>
            <w:r>
              <w:t xml:space="preserve">2.0 – 3.0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&amp; AV Systems</w:t>
            </w:r>
          </w:p>
        </w:tc>
        <w:tc>
          <w:tcPr/>
          <w:p>
            <w:pPr>
              <w:pStyle w:val="Compact"/>
            </w:pPr>
            <w:r>
              <w:t xml:space="preserve">1.5 – 2.0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Auditorium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 – 10 M SAR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indoor-sports-hall-1200-sqm"/>
    <w:p>
      <w:pPr>
        <w:pStyle w:val="Heading2"/>
      </w:pPr>
      <w:r>
        <w:t xml:space="preserve">5. INDOOR SPORTS HALL (1,200 sqm)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Estimated Cost (SAR)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&amp; Shell</w:t>
            </w:r>
          </w:p>
        </w:tc>
        <w:tc>
          <w:tcPr/>
          <w:p>
            <w:pPr>
              <w:pStyle w:val="Compact"/>
            </w:pPr>
            <w:r>
              <w:t xml:space="preserve">2.5 – 3.0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MEP &amp; Ventilation</w:t>
            </w:r>
          </w:p>
        </w:tc>
        <w:tc>
          <w:tcPr/>
          <w:p>
            <w:pPr>
              <w:pStyle w:val="Compact"/>
            </w:pPr>
            <w:r>
              <w:t xml:space="preserve">1.0 – 1.3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 Flooring</w:t>
            </w:r>
          </w:p>
        </w:tc>
        <w:tc>
          <w:tcPr/>
          <w:p>
            <w:pPr>
              <w:pStyle w:val="Compact"/>
            </w:pPr>
            <w:r>
              <w:t xml:space="preserve">0.8 – 1.2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&amp; Storage</w:t>
            </w:r>
          </w:p>
        </w:tc>
        <w:tc>
          <w:tcPr/>
          <w:p>
            <w:pPr>
              <w:pStyle w:val="Compact"/>
            </w:pPr>
            <w:r>
              <w:t xml:space="preserve">0.7 – 1.0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Sports Hall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 – 6.5 M SAR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cost-summary-per-sqm-reference"/>
    <w:p>
      <w:pPr>
        <w:pStyle w:val="Heading2"/>
      </w:pPr>
      <w:r>
        <w:t xml:space="preserve">COST SUMMARY PER SQM (REFERENCE)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SAR / sqm (Indicative)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&amp; Shell</w:t>
            </w:r>
          </w:p>
        </w:tc>
        <w:tc>
          <w:tcPr/>
          <w:p>
            <w:pPr>
              <w:pStyle w:val="Compact"/>
            </w:pPr>
            <w:r>
              <w:t xml:space="preserve">1,600 – 2,100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Fix</w:t>
            </w:r>
          </w:p>
        </w:tc>
        <w:tc>
          <w:tcPr/>
          <w:p>
            <w:pPr>
              <w:pStyle w:val="Compact"/>
            </w:pPr>
            <w:r>
              <w:t xml:space="preserve">500 – 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Fix</w:t>
            </w:r>
          </w:p>
        </w:tc>
        <w:tc>
          <w:tcPr/>
          <w:p>
            <w:pPr>
              <w:pStyle w:val="Compact"/>
            </w:pPr>
            <w:r>
              <w:t xml:space="preserve">700 – 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 Fix</w:t>
            </w:r>
          </w:p>
        </w:tc>
        <w:tc>
          <w:tcPr/>
          <w:p>
            <w:pPr>
              <w:pStyle w:val="Compact"/>
            </w:pPr>
            <w:r>
              <w:t xml:space="preserve">400 – 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Mid-Spec Range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3,200 – 4,500 SAR / sqm</w:t>
            </w:r>
          </w:p>
        </w:tc>
      </w:tr>
    </w:tbl>
    <w:p>
      <w:pPr>
        <w:pStyle w:val="BodyText"/>
      </w:pPr>
      <w:r>
        <w:t xml:space="preserve">Applied to ~60,000 sqm GBA:</w:t>
      </w:r>
    </w:p>
    <w:p>
      <w:pPr>
        <w:pStyle w:val="BodyText"/>
      </w:pPr>
      <w:r>
        <w:t xml:space="preserve">Low Range ≈ SAR 180M</w:t>
      </w:r>
      <w:r>
        <w:br/>
      </w:r>
      <w:r>
        <w:t xml:space="preserve">Mid Range ≈ SAR 225M</w:t>
      </w:r>
      <w:r>
        <w:br/>
      </w:r>
      <w:r>
        <w:t xml:space="preserve">Upper Range ≈ SAR 270M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</w:t>
      </w:r>
      <w:r>
        <w:t xml:space="preserve"> </w:t>
      </w:r>
      <w:r>
        <w:t xml:space="preserve">OPTIONAL SLIDE – PROJECT TIMELINE &amp; STAGES</w:t>
      </w:r>
      <w:r>
        <w:t xml:space="preserve"> </w:t>
      </w:r>
      <w:r>
        <w:t xml:space="preserve">=============================================================</w:t>
      </w:r>
    </w:p>
    <w:p>
      <w:pPr>
        <w:pStyle w:val="BodyText"/>
      </w:pPr>
      <w:r>
        <w:t xml:space="preserve">Total Estimated Duration: 30–36 Months</w:t>
      </w:r>
    </w:p>
    <w:p>
      <w:pPr>
        <w:pStyle w:val="BodyText"/>
      </w:pPr>
      <w:r>
        <w:t xml:space="preserve">STAGE 1 – Concept &amp; Validation (0–4 Months)</w:t>
      </w:r>
      <w:r>
        <w:t xml:space="preserve"> </w:t>
      </w:r>
      <w:r>
        <w:t xml:space="preserve">• Architect appointment</w:t>
      </w:r>
      <w:r>
        <w:br/>
      </w:r>
      <w:r>
        <w:t xml:space="preserve">• Traffic &amp; fire modelling</w:t>
      </w:r>
      <w:r>
        <w:br/>
      </w:r>
      <w:r>
        <w:t xml:space="preserve">• Concept design freeze</w:t>
      </w:r>
      <w:r>
        <w:br/>
      </w:r>
      <w:r>
        <w:t xml:space="preserve">• Budget validation</w:t>
      </w:r>
      <w:r>
        <w:br/>
      </w:r>
      <w:r>
        <w:t xml:space="preserve">• Authority pre-consultation</w:t>
      </w:r>
    </w:p>
    <w:p>
      <w:pPr>
        <w:pStyle w:val="BodyText"/>
      </w:pPr>
      <w:r>
        <w:t xml:space="preserve">STAGE 2 – Detailed Design &amp; Approvals (5–12 Months)</w:t>
      </w:r>
      <w:r>
        <w:t xml:space="preserve"> </w:t>
      </w:r>
      <w:r>
        <w:t xml:space="preserve">• Full architectural &amp; engineering design</w:t>
      </w:r>
      <w:r>
        <w:br/>
      </w:r>
      <w:r>
        <w:t xml:space="preserve">• Structural &amp; MEP coordination</w:t>
      </w:r>
      <w:r>
        <w:br/>
      </w:r>
      <w:r>
        <w:t xml:space="preserve">• Cost plan refinement</w:t>
      </w:r>
      <w:r>
        <w:br/>
      </w:r>
      <w:r>
        <w:t xml:space="preserve">• Authority submissions &amp; approvals</w:t>
      </w:r>
      <w:r>
        <w:br/>
      </w:r>
      <w:r>
        <w:t xml:space="preserve">• Tender documentation preparation</w:t>
      </w:r>
    </w:p>
    <w:p>
      <w:pPr>
        <w:pStyle w:val="BodyText"/>
      </w:pPr>
      <w:r>
        <w:t xml:space="preserve">STAGE 3 – Tender &amp; Award (13–16 Months)</w:t>
      </w:r>
      <w:r>
        <w:t xml:space="preserve"> </w:t>
      </w:r>
      <w:r>
        <w:t xml:space="preserve">• Contractor prequalification</w:t>
      </w:r>
      <w:r>
        <w:br/>
      </w:r>
      <w:r>
        <w:t xml:space="preserve">• Tender issue</w:t>
      </w:r>
      <w:r>
        <w:br/>
      </w:r>
      <w:r>
        <w:t xml:space="preserve">• Technical &amp; financial evaluation</w:t>
      </w:r>
      <w:r>
        <w:br/>
      </w:r>
      <w:r>
        <w:t xml:space="preserve">• Contract award &amp; mobilization</w:t>
      </w:r>
    </w:p>
    <w:p>
      <w:pPr>
        <w:pStyle w:val="BodyText"/>
      </w:pPr>
      <w:r>
        <w:t xml:space="preserve">STAGE 4 – Construction (17–36 Months)</w:t>
      </w:r>
      <w:r>
        <w:t xml:space="preserve"> </w:t>
      </w:r>
      <w:r>
        <w:t xml:space="preserve">• Basement works (Months 17–22)</w:t>
      </w:r>
      <w:r>
        <w:br/>
      </w:r>
      <w:r>
        <w:t xml:space="preserve">• Superstructure (Months 20–28)</w:t>
      </w:r>
      <w:r>
        <w:br/>
      </w:r>
      <w:r>
        <w:t xml:space="preserve">• Envelope &amp; MEP installation (Months 24–32)</w:t>
      </w:r>
      <w:r>
        <w:br/>
      </w:r>
      <w:r>
        <w:t xml:space="preserve">• Internal fit-out (Months 28–35)</w:t>
      </w:r>
      <w:r>
        <w:br/>
      </w:r>
      <w:r>
        <w:t xml:space="preserve">• Testing &amp; commissioning (Months 34–36)</w:t>
      </w:r>
    </w:p>
    <w:p>
      <w:pPr>
        <w:pStyle w:val="BodyText"/>
      </w:pPr>
      <w:r>
        <w:t xml:space="preserve">Target Opening: Month 36</w:t>
      </w:r>
    </w:p>
    <w:p>
      <w:pPr>
        <w:pStyle w:val="BodyText"/>
      </w:pPr>
      <w:r>
        <w:t xml:space="preserve">=============================================================</w:t>
      </w:r>
      <w:r>
        <w:t xml:space="preserve"> </w:t>
      </w:r>
      <w:r>
        <w:t xml:space="preserve">OPTIONAL SLIDE – FINANCING DRAW-DOWN MODEL</w:t>
      </w:r>
      <w:r>
        <w:t xml:space="preserve"> </w:t>
      </w:r>
      <w:r>
        <w:t xml:space="preserve">=============================================================</w:t>
      </w:r>
    </w:p>
    <w:p>
      <w:pPr>
        <w:pStyle w:val="BodyText"/>
      </w:pPr>
      <w:r>
        <w:t xml:space="preserve">Assumed Project Value (Mid Case): SAR 225M</w:t>
      </w:r>
      <w:r>
        <w:br/>
      </w:r>
      <w:r>
        <w:t xml:space="preserve">Construction Period: 24 Months</w:t>
      </w:r>
      <w:r>
        <w:br/>
      </w:r>
      <w:r>
        <w:t xml:space="preserve">Design &amp; Preconstruction: 12 Months</w:t>
      </w:r>
    </w:p>
    <w:p>
      <w:pPr>
        <w:pStyle w:val="BodyText"/>
      </w:pPr>
      <w:r>
        <w:t xml:space="preserve">Typical Drawdown Distribution (Education Build Model)</w:t>
      </w:r>
    </w:p>
    <w:p>
      <w:pPr>
        <w:pStyle w:val="BodyText"/>
      </w:pPr>
      <w:r>
        <w:t xml:space="preserve">Year 1 (Design &amp; Early Works) – 10–15%</w:t>
      </w:r>
      <w:r>
        <w:t xml:space="preserve"> </w:t>
      </w:r>
      <w:r>
        <w:t xml:space="preserve">≈ SAR 22M – 34M</w:t>
      </w:r>
    </w:p>
    <w:p>
      <w:pPr>
        <w:pStyle w:val="BodyText"/>
      </w:pPr>
      <w:r>
        <w:t xml:space="preserve">Year 2 (Basement + Structure Peak) – 35–40%</w:t>
      </w:r>
      <w:r>
        <w:t xml:space="preserve"> </w:t>
      </w:r>
      <w:r>
        <w:t xml:space="preserve">≈ SAR 79M – 90M</w:t>
      </w:r>
    </w:p>
    <w:p>
      <w:pPr>
        <w:pStyle w:val="BodyText"/>
      </w:pPr>
      <w:r>
        <w:t xml:space="preserve">Year 3 (Fit-Out &amp; Completion) – 40–45%</w:t>
      </w:r>
      <w:r>
        <w:t xml:space="preserve"> </w:t>
      </w:r>
      <w:r>
        <w:t xml:space="preserve">≈ SAR 90M – 101M</w:t>
      </w:r>
    </w:p>
    <w:p>
      <w:pPr>
        <w:pStyle w:val="BodyText"/>
      </w:pPr>
      <w:r>
        <w:t xml:space="preserve">Retention / Final Payments – 5%</w:t>
      </w:r>
      <w:r>
        <w:t xml:space="preserve"> </w:t>
      </w:r>
      <w:r>
        <w:t xml:space="preserve">≈ SAR 11M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Cashflow Curve Characteristics</w:t>
            </w:r>
          </w:p>
        </w:tc>
      </w:tr>
    </w:tbl>
    <w:p>
      <w:pPr>
        <w:pStyle w:val="BodyText"/>
      </w:pPr>
      <w:r>
        <w:t xml:space="preserve">• Low initial burn during design</w:t>
      </w:r>
      <w:r>
        <w:br/>
      </w:r>
      <w:r>
        <w:t xml:space="preserve">• Sharp increase during structural phase</w:t>
      </w:r>
      <w:r>
        <w:br/>
      </w:r>
      <w:r>
        <w:t xml:space="preserve">• Highest monthly burn during MEP &amp; fit-out overlap</w:t>
      </w:r>
      <w:r>
        <w:br/>
      </w:r>
      <w:r>
        <w:t xml:space="preserve">• Final taper during commissioning</w:t>
      </w:r>
    </w:p>
    <w:p>
      <w:pPr>
        <w:pStyle w:val="BodyText"/>
      </w:pPr>
      <w:r>
        <w:t xml:space="preserve">Peak Monthly Burn (Estimated):</w:t>
      </w:r>
      <w:r>
        <w:t xml:space="preserve"> </w:t>
      </w:r>
      <w:r>
        <w:t xml:space="preserve">SAR 12M – 15M per month during peak construction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FINANCING OPTIONS</w:t>
            </w:r>
          </w:p>
        </w:tc>
      </w:tr>
    </w:tbl>
    <w:p>
      <w:pPr>
        <w:pStyle w:val="BodyText"/>
      </w:pPr>
      <w:r>
        <w:t xml:space="preserve">Option A – Full Capital Funding (SMC/Embassy Backed)</w:t>
      </w:r>
      <w:r>
        <w:t xml:space="preserve"> </w:t>
      </w:r>
      <w:r>
        <w:t xml:space="preserve">Option B – Bank Project Financing (Construction Loan)</w:t>
      </w:r>
      <w:r>
        <w:t xml:space="preserve"> </w:t>
      </w:r>
      <w:r>
        <w:t xml:space="preserve">Option C – Phased Funding (6,000 → 7,000 expansion)</w:t>
      </w:r>
      <w:r>
        <w:t xml:space="preserve"> </w:t>
      </w:r>
      <w:r>
        <w:t xml:space="preserve">Option D – Hybrid Lease-Back Structure</w:t>
      </w:r>
    </w:p>
    <w:p>
      <w:pPr>
        <w:pStyle w:val="BodyText"/>
      </w:pPr>
      <w:r>
        <w:t xml:space="preserve">Debt servicing stress depends on:</w:t>
      </w:r>
      <w:r>
        <w:t xml:space="preserve"> </w:t>
      </w:r>
      <w:r>
        <w:t xml:space="preserve">• Tuition revenue projections</w:t>
      </w:r>
      <w:r>
        <w:br/>
      </w:r>
      <w:r>
        <w:t xml:space="preserve">• Phasing model</w:t>
      </w:r>
      <w:r>
        <w:br/>
      </w:r>
      <w:r>
        <w:t xml:space="preserve">• Interest rate environment</w:t>
      </w:r>
    </w:p>
    <w:p>
      <w:pPr>
        <w:pStyle w:val="BodyText"/>
      </w:pPr>
      <w:r>
        <w:t xml:space="preserve">=============================================================</w:t>
      </w:r>
      <w:r>
        <w:t xml:space="preserve"> </w:t>
      </w:r>
      <w:r>
        <w:t xml:space="preserve">END OF EXECUTIVE PRESENTATION</w:t>
      </w:r>
      <w:r>
        <w:t xml:space="preserve"> </w:t>
      </w:r>
      <w:r>
        <w:t xml:space="preserve">————————————————————-</w:t>
      </w:r>
      <w:r>
        <w:t xml:space="preserve"> </w:t>
      </w:r>
      <w:r>
        <w:t xml:space="preserve">————————————————————-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2026-02-12T23:25:28Z</dcterms:created>
  <dcterms:modified xsi:type="dcterms:W3CDTF">2026-02-12T23:25:28Z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