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ises-new-campus-basis-of-design-bod"/>
    <w:p>
      <w:pPr>
        <w:pStyle w:val="Heading1"/>
      </w:pPr>
      <w:r>
        <w:t xml:space="preserve">PISES New Campus – Basis of Design (BoD)</w:t>
      </w:r>
    </w:p>
    <w:bookmarkStart w:id="20" w:name="Xaf51a4afbfbe21eb48147df224b324599c630ff"/>
    <w:p>
      <w:pPr>
        <w:pStyle w:val="Heading2"/>
      </w:pPr>
      <w:r>
        <w:t xml:space="preserve">Version 0.4 – Integrated Site Feasibility + Cost + Code Framework</w:t>
      </w:r>
    </w:p>
    <w:p>
      <w:r>
        <w:pict>
          <v:rect style="width:0;height:1.5pt" o:hralign="center" o:hrstd="t" o:hr="t"/>
        </w:pict>
      </w:r>
    </w:p>
    <w:bookmarkEnd w:id="20"/>
    <w:bookmarkEnd w:id="21"/>
    <w:bookmarkStart w:id="27" w:name="document-control"/>
    <w:p>
      <w:pPr>
        <w:pStyle w:val="Heading1"/>
      </w:pPr>
      <w:r>
        <w:t xml:space="preserve">00. Document Control</w:t>
      </w:r>
    </w:p>
    <w:bookmarkStart w:id="22" w:name="purpose-of-document"/>
    <w:p>
      <w:pPr>
        <w:pStyle w:val="Heading2"/>
      </w:pPr>
      <w:r>
        <w:t xml:space="preserve">0.1 Purpose of Document</w:t>
      </w:r>
    </w:p>
    <w:p>
      <w:pPr>
        <w:pStyle w:val="FirstParagraph"/>
      </w:pPr>
      <w:r>
        <w:t xml:space="preserve">This Basis of Design (BoD) establishes the governing technical, spatial, regulatory, and cost framework for the proposed PISES New Campus located on the Al Safa plot (25,000 m²) in Riyadh, Kingdom of Saudi Arabia.</w:t>
      </w:r>
    </w:p>
    <w:p>
      <w:pPr>
        <w:pStyle w:val="BodyText"/>
      </w:pPr>
      <w:r>
        <w:t xml:space="preserve">The BoD serves the following purposes:</w:t>
      </w:r>
    </w:p>
    <w:p>
      <w:pPr>
        <w:pStyle w:val="BodyText"/>
      </w:pPr>
      <w:r>
        <w:t xml:space="preserve">• Define the planning logic for a 7,000-student campus structured across Primary, Boys, Girls, and Shared facilities.</w:t>
      </w:r>
      <w:r>
        <w:br/>
      </w:r>
      <w:r>
        <w:t xml:space="preserve">• Document all assumptions related to capacity, classroom sizing, circulation, site utilization, and zoning.</w:t>
      </w:r>
      <w:r>
        <w:br/>
      </w:r>
      <w:r>
        <w:t xml:space="preserve">• Establish the code compliance framework under applicable Saudi Building Code (SBC) requirements and referenced international standards.</w:t>
      </w:r>
      <w:r>
        <w:br/>
      </w:r>
      <w:r>
        <w:t xml:space="preserve">• Define the NET-to-GROSS methodology and resulting Built-Up Area (BUA).</w:t>
      </w:r>
      <w:r>
        <w:br/>
      </w:r>
      <w:r>
        <w:t xml:space="preserve">• Provide a structured cost planning and BOQ framework (Core &amp; Shell, First Fix, Second Fix, Third Fix).</w:t>
      </w:r>
      <w:r>
        <w:br/>
      </w:r>
      <w:r>
        <w:t xml:space="preserve">• Enable consultants to proceed with schematic design aligned with SMC-approved parameters.</w:t>
      </w:r>
      <w:r>
        <w:br/>
      </w:r>
      <w:r>
        <w:t xml:space="preserve">• Provide a defensible baseline for authority submissions, funding review, and contractor engagement.</w:t>
      </w:r>
    </w:p>
    <w:p>
      <w:pPr>
        <w:pStyle w:val="BodyText"/>
      </w:pPr>
      <w:r>
        <w:t xml:space="preserve">This document is not a detailed design submission. It is a controlled strategic document that defines boundaries within which design consultants shall operate.</w:t>
      </w:r>
    </w:p>
    <w:p>
      <w:r>
        <w:pict>
          <v:rect style="width:0;height:1.5pt" o:hralign="center" o:hrstd="t" o:hr="t"/>
        </w:pict>
      </w:r>
    </w:p>
    <w:bookmarkEnd w:id="22"/>
    <w:bookmarkStart w:id="23" w:name="project-overview"/>
    <w:p>
      <w:pPr>
        <w:pStyle w:val="Heading2"/>
      </w:pPr>
      <w:r>
        <w:t xml:space="preserve">0.2 Project Overview</w:t>
      </w:r>
    </w:p>
    <w:p>
      <w:pPr>
        <w:pStyle w:val="FirstParagraph"/>
      </w:pPr>
      <w:r>
        <w:t xml:space="preserve">The proposed development consists of a purpose-built educational campus designed to accommodate approximately 7,000 students.</w:t>
      </w:r>
    </w:p>
    <w:p>
      <w:pPr>
        <w:pStyle w:val="BodyText"/>
      </w:pPr>
      <w:r>
        <w:t xml:space="preserve">Key parameters:</w:t>
      </w:r>
    </w:p>
    <w:p>
      <w:pPr>
        <w:pStyle w:val="BodyText"/>
      </w:pPr>
      <w:r>
        <w:t xml:space="preserve">• Plot Area: 25,000 m²</w:t>
      </w:r>
      <w:r>
        <w:br/>
      </w:r>
      <w:r>
        <w:t xml:space="preserve">• Configuration: 3 floors above grade + 1 basement</w:t>
      </w:r>
      <w:r>
        <w:br/>
      </w:r>
      <w:r>
        <w:t xml:space="preserve">• Educational Structure:</w:t>
      </w:r>
      <w:r>
        <w:t xml:space="preserve"> </w:t>
      </w:r>
      <w:r>
        <w:t xml:space="preserve">- Primary (Nursery–Grade 4, including Daycare)</w:t>
      </w:r>
      <w:r>
        <w:t xml:space="preserve"> </w:t>
      </w:r>
      <w:r>
        <w:t xml:space="preserve">- Boys Wing (Grades 2–12)</w:t>
      </w:r>
      <w:r>
        <w:t xml:space="preserve"> </w:t>
      </w:r>
      <w:r>
        <w:t xml:space="preserve">- Girls Wing (Grades 2–12)</w:t>
      </w:r>
      <w:r>
        <w:t xml:space="preserve"> </w:t>
      </w:r>
      <w:r>
        <w:t xml:space="preserve">- Shared Facilities (Administration, Sports, Auditorium, Dining, Library)</w:t>
      </w:r>
      <w:r>
        <w:t xml:space="preserve"> </w:t>
      </w:r>
      <w:r>
        <w:t xml:space="preserve">• Planning Model: NET-first calculation with category-based grossing factors</w:t>
      </w:r>
      <w:r>
        <w:br/>
      </w:r>
      <w:r>
        <w:t xml:space="preserve">• HVAC Strategy: Central Chilled Water system (baseline) with VRF alternative option</w:t>
      </w:r>
      <w:r>
        <w:br/>
      </w:r>
      <w:r>
        <w:t xml:space="preserve">• Finish Level: Mid institutional standard</w:t>
      </w:r>
      <w:r>
        <w:br/>
      </w:r>
      <w:r>
        <w:t xml:space="preserve">• ICT: Included in main contract delivery</w:t>
      </w:r>
      <w:r>
        <w:br/>
      </w:r>
      <w:r>
        <w:t xml:space="preserve">• Auditorium AV: Included as specialist line item</w:t>
      </w:r>
      <w:r>
        <w:br/>
      </w:r>
      <w:r>
        <w:t xml:space="preserve">• Kitchen Equipment: Optional package</w:t>
      </w:r>
    </w:p>
    <w:p>
      <w:pPr>
        <w:pStyle w:val="BodyText"/>
      </w:pPr>
      <w:r>
        <w:t xml:space="preserve">The campus is designed as a compact, high-efficiency urban institutional model due to site constraints.</w:t>
      </w:r>
    </w:p>
    <w:p>
      <w:r>
        <w:pict>
          <v:rect style="width:0;height:1.5pt" o:hralign="center" o:hrstd="t" o:hr="t"/>
        </w:pict>
      </w:r>
    </w:p>
    <w:bookmarkEnd w:id="23"/>
    <w:bookmarkStart w:id="24" w:name="definitions-abbreviations"/>
    <w:p>
      <w:pPr>
        <w:pStyle w:val="Heading2"/>
      </w:pPr>
      <w:r>
        <w:t xml:space="preserve">0.3 Definitions &amp; Abbreviations</w:t>
      </w:r>
    </w:p>
    <w:p>
      <w:pPr>
        <w:pStyle w:val="FirstParagraph"/>
      </w:pPr>
      <w:r>
        <w:t xml:space="preserve">BoD – Basis of Design</w:t>
      </w:r>
      <w:r>
        <w:br/>
      </w:r>
      <w:r>
        <w:t xml:space="preserve">BUA – Built-Up Area (Gross Floor Area)</w:t>
      </w:r>
      <w:r>
        <w:br/>
      </w:r>
      <w:r>
        <w:t xml:space="preserve">NET Area – Usable internal room area excluding walls and circulation</w:t>
      </w:r>
      <w:r>
        <w:br/>
      </w:r>
      <w:r>
        <w:t xml:space="preserve">GROSS Area – Total constructed area including structure, circulation, services</w:t>
      </w:r>
      <w:r>
        <w:br/>
      </w:r>
      <w:r>
        <w:t xml:space="preserve">C&amp;S – Core &amp; Shell</w:t>
      </w:r>
      <w:r>
        <w:br/>
      </w:r>
      <w:r>
        <w:t xml:space="preserve">1st Fix – Rough-in building services installation</w:t>
      </w:r>
      <w:r>
        <w:br/>
      </w:r>
      <w:r>
        <w:t xml:space="preserve">2nd Fix – Visible fittings and final service connections</w:t>
      </w:r>
      <w:r>
        <w:br/>
      </w:r>
      <w:r>
        <w:t xml:space="preserve">3rd Fix – FF&amp;E, specialist equipment, commissioning</w:t>
      </w:r>
      <w:r>
        <w:br/>
      </w:r>
      <w:r>
        <w:t xml:space="preserve">SBC – Saudi Building Code</w:t>
      </w:r>
      <w:r>
        <w:br/>
      </w:r>
      <w:r>
        <w:t xml:space="preserve">TBC – Tatweer Buildings Company</w:t>
      </w:r>
      <w:r>
        <w:br/>
      </w:r>
      <w:r>
        <w:t xml:space="preserve">SEN – Special Educational Needs</w:t>
      </w:r>
      <w:r>
        <w:br/>
      </w:r>
      <w:r>
        <w:t xml:space="preserve">SMC – School Management Committee</w:t>
      </w:r>
      <w:r>
        <w:br/>
      </w:r>
      <w:r>
        <w:t xml:space="preserve">HVAC – Heating, Ventilation &amp; Air Conditioning</w:t>
      </w:r>
      <w:r>
        <w:br/>
      </w:r>
      <w:r>
        <w:t xml:space="preserve">CHW – Chilled Water System</w:t>
      </w:r>
      <w:r>
        <w:br/>
      </w:r>
      <w:r>
        <w:t xml:space="preserve">VRF – Variable Refrigerant Flow</w:t>
      </w:r>
      <w:r>
        <w:br/>
      </w:r>
      <w:r>
        <w:t xml:space="preserve">ELV – Extra Low Voltage Systems</w:t>
      </w:r>
      <w:r>
        <w:br/>
      </w:r>
      <w:r>
        <w:t xml:space="preserve">FF&amp;E – Furniture, Fixtures &amp; Equipment</w:t>
      </w:r>
    </w:p>
    <w:p>
      <w:r>
        <w:pict>
          <v:rect style="width:0;height:1.5pt" o:hralign="center" o:hrstd="t" o:hr="t"/>
        </w:pict>
      </w:r>
    </w:p>
    <w:bookmarkEnd w:id="24"/>
    <w:bookmarkStart w:id="25" w:name="document-governance-approvals"/>
    <w:p>
      <w:pPr>
        <w:pStyle w:val="Heading2"/>
      </w:pPr>
      <w:r>
        <w:t xml:space="preserve">0.4 Document Governance &amp; Approvals</w:t>
      </w:r>
    </w:p>
    <w:p>
      <w:pPr>
        <w:pStyle w:val="FirstParagraph"/>
      </w:pPr>
      <w:r>
        <w:t xml:space="preserve">This BoD is issued under the authority of the School Management Committee (SMC).</w:t>
      </w:r>
    </w:p>
    <w:p>
      <w:pPr>
        <w:pStyle w:val="BodyText"/>
      </w:pPr>
      <w:r>
        <w:t xml:space="preserve">Approval hierarchy:</w:t>
      </w:r>
    </w:p>
    <w:p>
      <w:pPr>
        <w:pStyle w:val="Compact"/>
        <w:numPr>
          <w:ilvl w:val="0"/>
          <w:numId w:val="1001"/>
        </w:numPr>
      </w:pPr>
      <w:r>
        <w:t xml:space="preserve">Technical Review – Appointed Planning / Engineering Advisor</w:t>
      </w:r>
      <w:r>
        <w:br/>
      </w:r>
    </w:p>
    <w:p>
      <w:pPr>
        <w:pStyle w:val="Compact"/>
        <w:numPr>
          <w:ilvl w:val="0"/>
          <w:numId w:val="1001"/>
        </w:numPr>
      </w:pPr>
      <w:r>
        <w:t xml:space="preserve">Financial Review – SMC Finance Subcommittee</w:t>
      </w:r>
      <w:r>
        <w:br/>
      </w:r>
    </w:p>
    <w:p>
      <w:pPr>
        <w:pStyle w:val="Compact"/>
        <w:numPr>
          <w:ilvl w:val="0"/>
          <w:numId w:val="1001"/>
        </w:numPr>
      </w:pPr>
      <w:r>
        <w:t xml:space="preserve">Governance Approval – SMC Chair &amp; Executive Committee</w:t>
      </w:r>
      <w:r>
        <w:br/>
      </w:r>
    </w:p>
    <w:p>
      <w:pPr>
        <w:pStyle w:val="Compact"/>
        <w:numPr>
          <w:ilvl w:val="0"/>
          <w:numId w:val="1001"/>
        </w:numPr>
      </w:pPr>
      <w:r>
        <w:t xml:space="preserve">Embassy Oversight (if applicable under governance framework)</w:t>
      </w:r>
    </w:p>
    <w:p>
      <w:pPr>
        <w:pStyle w:val="FirstParagraph"/>
      </w:pPr>
      <w:r>
        <w:t xml:space="preserve">Any modification to capacity, area standards, cost assumptions, or site strategy shall require formal revision control.</w:t>
      </w:r>
    </w:p>
    <w:p>
      <w:pPr>
        <w:pStyle w:val="BodyText"/>
      </w:pPr>
      <w:r>
        <w:t xml:space="preserve">Design consultants shall not deviate from parameters stated herein without written SMC approval.</w:t>
      </w:r>
    </w:p>
    <w:p>
      <w:r>
        <w:pict>
          <v:rect style="width:0;height:1.5pt" o:hralign="center" o:hrstd="t" o:hr="t"/>
        </w:pict>
      </w:r>
    </w:p>
    <w:bookmarkEnd w:id="25"/>
    <w:bookmarkStart w:id="26" w:name="revision-history"/>
    <w:p>
      <w:pPr>
        <w:pStyle w:val="Heading2"/>
      </w:pPr>
      <w:r>
        <w:t xml:space="preserve">0.5 Revision History</w:t>
      </w:r>
    </w:p>
    <w:p>
      <w:pPr>
        <w:pStyle w:val="FirstParagraph"/>
      </w:pPr>
      <w:r>
        <w:t xml:space="preserve">Version 0.1 – Initial NET-first space program draft</w:t>
      </w:r>
      <w:r>
        <w:br/>
      </w:r>
      <w:r>
        <w:t xml:space="preserve">Version 0.2 – Inclusion of cost framework and fix-stage definitions</w:t>
      </w:r>
      <w:r>
        <w:br/>
      </w:r>
      <w:r>
        <w:t xml:space="preserve">Version 0.3 – Integration of site feasibility and density assessment</w:t>
      </w:r>
      <w:r>
        <w:br/>
      </w:r>
      <w:r>
        <w:t xml:space="preserve">Version 0.4 – Consolidated governance, cost, site, and code structure</w:t>
      </w:r>
    </w:p>
    <w:p>
      <w:pPr>
        <w:pStyle w:val="BodyText"/>
      </w:pPr>
      <w:r>
        <w:t xml:space="preserve">All future revisions shall document:</w:t>
      </w:r>
      <w:r>
        <w:t xml:space="preserve"> </w:t>
      </w:r>
      <w:r>
        <w:t xml:space="preserve">• Section modified</w:t>
      </w:r>
      <w:r>
        <w:br/>
      </w:r>
      <w:r>
        <w:t xml:space="preserve">• Nature of change</w:t>
      </w:r>
      <w:r>
        <w:br/>
      </w:r>
      <w:r>
        <w:t xml:space="preserve">• Reason for change</w:t>
      </w:r>
      <w:r>
        <w:br/>
      </w:r>
      <w:r>
        <w:t xml:space="preserve">• Approval authority</w:t>
      </w:r>
    </w:p>
    <w:p>
      <w:r>
        <w:pict>
          <v:rect style="width:0;height:1.5pt" o:hralign="center" o:hrstd="t" o:hr="t"/>
        </w:pict>
      </w:r>
    </w:p>
    <w:bookmarkEnd w:id="26"/>
    <w:bookmarkEnd w:id="27"/>
    <w:bookmarkStart w:id="34" w:name="project-summary"/>
    <w:p>
      <w:pPr>
        <w:pStyle w:val="Heading1"/>
      </w:pPr>
      <w:r>
        <w:t xml:space="preserve">01. Project Summary</w:t>
      </w:r>
    </w:p>
    <w:bookmarkStart w:id="28" w:name="site-description-al-safa-plot-25000-m²"/>
    <w:p>
      <w:pPr>
        <w:pStyle w:val="Heading2"/>
      </w:pPr>
      <w:r>
        <w:t xml:space="preserve">1.1 Site Description – Al Safa Plot (25,000 m²)</w:t>
      </w:r>
    </w:p>
    <w:p>
      <w:pPr>
        <w:pStyle w:val="FirstParagraph"/>
      </w:pPr>
      <w:r>
        <w:t xml:space="preserve">The proposed campus is located on a 25,000 m² urban plot in Al Safa, Riyadh. The site is assumed to be a rectangular institutional parcel subject to municipal zoning controls, Civil Defense requirements, and Tatweer Buildings Company (TBC) Category A standards applicable to major cities.</w:t>
      </w:r>
    </w:p>
    <w:p>
      <w:pPr>
        <w:pStyle w:val="BodyText"/>
      </w:pPr>
      <w:r>
        <w:t xml:space="preserve">Key site characteristics (planning assumptions at BoD stage):</w:t>
      </w:r>
    </w:p>
    <w:p>
      <w:pPr>
        <w:pStyle w:val="BodyText"/>
      </w:pPr>
      <w:r>
        <w:t xml:space="preserve">• Total Plot Area: 25,000 m²</w:t>
      </w:r>
      <w:r>
        <w:br/>
      </w:r>
      <w:r>
        <w:t xml:space="preserve">• Urban context with surrounding vehicular access</w:t>
      </w:r>
      <w:r>
        <w:br/>
      </w:r>
      <w:r>
        <w:t xml:space="preserve">• High-density educational model required</w:t>
      </w:r>
      <w:r>
        <w:br/>
      </w:r>
      <w:r>
        <w:t xml:space="preserve">• Fire tender access required along building perimeter</w:t>
      </w:r>
      <w:r>
        <w:br/>
      </w:r>
      <w:r>
        <w:t xml:space="preserve">• Separate vehicular segregation for buses and private vehicles</w:t>
      </w:r>
    </w:p>
    <w:p>
      <w:pPr>
        <w:pStyle w:val="BodyText"/>
      </w:pPr>
      <w:r>
        <w:t xml:space="preserve">Due to the constrained plot size relative to target capacity (7,000 students), the campus is designed as a compact vertical institutional model.</w:t>
      </w:r>
    </w:p>
    <w:p>
      <w:r>
        <w:pict>
          <v:rect style="width:0;height:1.5pt" o:hralign="center" o:hrstd="t" o:hr="t"/>
        </w:pict>
      </w:r>
    </w:p>
    <w:bookmarkEnd w:id="28"/>
    <w:bookmarkStart w:id="29" w:name="target-capacity-7000-students"/>
    <w:p>
      <w:pPr>
        <w:pStyle w:val="Heading2"/>
      </w:pPr>
      <w:r>
        <w:t xml:space="preserve">1.2 Target Capacity – 7,000 Students</w:t>
      </w:r>
    </w:p>
    <w:p>
      <w:pPr>
        <w:pStyle w:val="FirstParagraph"/>
      </w:pPr>
      <w:r>
        <w:t xml:space="preserve">The campus is planned to accommodate approximately 7,000 students.</w:t>
      </w:r>
    </w:p>
    <w:p>
      <w:pPr>
        <w:pStyle w:val="BodyText"/>
      </w:pPr>
      <w:r>
        <w:t xml:space="preserve">The student distribution model at this stage follows the existing institutional distribution logic (normal distribution basis). Updated enrollment projections will be incorporated upon formal approval by SMC.</w:t>
      </w:r>
    </w:p>
    <w:p>
      <w:pPr>
        <w:pStyle w:val="BodyText"/>
      </w:pPr>
      <w:r>
        <w:t xml:space="preserve">Capacity planning assumptions:</w:t>
      </w:r>
    </w:p>
    <w:p>
      <w:pPr>
        <w:pStyle w:val="BodyText"/>
      </w:pPr>
      <w:r>
        <w:t xml:space="preserve">• Maximum students per classroom: 25 (TBC baseline)</w:t>
      </w:r>
      <w:r>
        <w:br/>
      </w:r>
      <w:r>
        <w:t xml:space="preserve">• Gender separation applied from Grade 2 onwards</w:t>
      </w:r>
      <w:r>
        <w:br/>
      </w:r>
      <w:r>
        <w:t xml:space="preserve">• Co-education model for Nursery–Grade 1</w:t>
      </w:r>
      <w:r>
        <w:br/>
      </w:r>
      <w:r>
        <w:t xml:space="preserve">• Classroom counts scaled proportionally from baseline distribution</w:t>
      </w:r>
    </w:p>
    <w:p>
      <w:pPr>
        <w:pStyle w:val="BodyText"/>
      </w:pPr>
      <w:r>
        <w:t xml:space="preserve">Estimated classroom count (7,000 student model): ~304 classrooms.</w:t>
      </w:r>
    </w:p>
    <w:p>
      <w:r>
        <w:pict>
          <v:rect style="width:0;height:1.5pt" o:hralign="center" o:hrstd="t" o:hr="t"/>
        </w:pict>
      </w:r>
    </w:p>
    <w:bookmarkEnd w:id="29"/>
    <w:bookmarkStart w:id="30" w:name="educational-structure"/>
    <w:p>
      <w:pPr>
        <w:pStyle w:val="Heading2"/>
      </w:pPr>
      <w:r>
        <w:t xml:space="preserve">1.3 Educational Structure</w:t>
      </w:r>
    </w:p>
    <w:p>
      <w:pPr>
        <w:pStyle w:val="FirstParagraph"/>
      </w:pPr>
      <w:r>
        <w:t xml:space="preserve">The campus is structured into four operational zones:</w:t>
      </w:r>
    </w:p>
    <w:p>
      <w:pPr>
        <w:pStyle w:val="Compact"/>
        <w:numPr>
          <w:ilvl w:val="0"/>
          <w:numId w:val="1002"/>
        </w:numPr>
      </w:pPr>
      <w:r>
        <w:t xml:space="preserve">Primary Zone</w:t>
      </w:r>
    </w:p>
    <w:p>
      <w:pPr>
        <w:pStyle w:val="Compact"/>
        <w:numPr>
          <w:ilvl w:val="1"/>
          <w:numId w:val="1003"/>
        </w:numPr>
      </w:pPr>
      <w:r>
        <w:t xml:space="preserve">Nursery</w:t>
      </w:r>
      <w:r>
        <w:br/>
      </w:r>
    </w:p>
    <w:p>
      <w:pPr>
        <w:pStyle w:val="Compact"/>
        <w:numPr>
          <w:ilvl w:val="1"/>
          <w:numId w:val="1003"/>
        </w:numPr>
      </w:pPr>
      <w:r>
        <w:t xml:space="preserve">Kindergarten</w:t>
      </w:r>
      <w:r>
        <w:br/>
      </w:r>
    </w:p>
    <w:p>
      <w:pPr>
        <w:pStyle w:val="Compact"/>
        <w:numPr>
          <w:ilvl w:val="1"/>
          <w:numId w:val="1003"/>
        </w:numPr>
      </w:pPr>
      <w:r>
        <w:t xml:space="preserve">Grades 1–4</w:t>
      </w:r>
      <w:r>
        <w:br/>
      </w:r>
    </w:p>
    <w:p>
      <w:pPr>
        <w:pStyle w:val="Compact"/>
        <w:numPr>
          <w:ilvl w:val="1"/>
          <w:numId w:val="1003"/>
        </w:numPr>
      </w:pPr>
      <w:r>
        <w:t xml:space="preserve">Daycare</w:t>
      </w:r>
    </w:p>
    <w:p>
      <w:pPr>
        <w:pStyle w:val="Compact"/>
        <w:numPr>
          <w:ilvl w:val="0"/>
          <w:numId w:val="1002"/>
        </w:numPr>
      </w:pPr>
      <w:r>
        <w:t xml:space="preserve">Boys Wing</w:t>
      </w:r>
    </w:p>
    <w:p>
      <w:pPr>
        <w:pStyle w:val="Compact"/>
        <w:numPr>
          <w:ilvl w:val="1"/>
          <w:numId w:val="1004"/>
        </w:numPr>
      </w:pPr>
      <w:r>
        <w:t xml:space="preserve">Grades 2–12</w:t>
      </w:r>
    </w:p>
    <w:p>
      <w:pPr>
        <w:pStyle w:val="Compact"/>
        <w:numPr>
          <w:ilvl w:val="0"/>
          <w:numId w:val="1002"/>
        </w:numPr>
      </w:pPr>
      <w:r>
        <w:t xml:space="preserve">Girls Wing</w:t>
      </w:r>
    </w:p>
    <w:p>
      <w:pPr>
        <w:pStyle w:val="Compact"/>
        <w:numPr>
          <w:ilvl w:val="1"/>
          <w:numId w:val="1005"/>
        </w:numPr>
      </w:pPr>
      <w:r>
        <w:t xml:space="preserve">Grades 2–12</w:t>
      </w:r>
    </w:p>
    <w:p>
      <w:pPr>
        <w:pStyle w:val="Compact"/>
        <w:numPr>
          <w:ilvl w:val="0"/>
          <w:numId w:val="1002"/>
        </w:numPr>
      </w:pPr>
      <w:r>
        <w:t xml:space="preserve">Shared Facilities</w:t>
      </w:r>
    </w:p>
    <w:p>
      <w:pPr>
        <w:pStyle w:val="Compact"/>
        <w:numPr>
          <w:ilvl w:val="1"/>
          <w:numId w:val="1006"/>
        </w:numPr>
      </w:pPr>
      <w:r>
        <w:t xml:space="preserve">Administration</w:t>
      </w:r>
      <w:r>
        <w:br/>
      </w:r>
    </w:p>
    <w:p>
      <w:pPr>
        <w:pStyle w:val="Compact"/>
        <w:numPr>
          <w:ilvl w:val="1"/>
          <w:numId w:val="1006"/>
        </w:numPr>
      </w:pPr>
      <w:r>
        <w:t xml:space="preserve">Library / Learning Commons</w:t>
      </w:r>
      <w:r>
        <w:br/>
      </w:r>
    </w:p>
    <w:p>
      <w:pPr>
        <w:pStyle w:val="Compact"/>
        <w:numPr>
          <w:ilvl w:val="1"/>
          <w:numId w:val="1006"/>
        </w:numPr>
      </w:pPr>
      <w:r>
        <w:t xml:space="preserve">Dining Hall &amp; Kitchen</w:t>
      </w:r>
      <w:r>
        <w:br/>
      </w:r>
    </w:p>
    <w:p>
      <w:pPr>
        <w:pStyle w:val="Compact"/>
        <w:numPr>
          <w:ilvl w:val="1"/>
          <w:numId w:val="1006"/>
        </w:numPr>
      </w:pPr>
      <w:r>
        <w:t xml:space="preserve">Auditorium</w:t>
      </w:r>
      <w:r>
        <w:br/>
      </w:r>
    </w:p>
    <w:p>
      <w:pPr>
        <w:pStyle w:val="Compact"/>
        <w:numPr>
          <w:ilvl w:val="1"/>
          <w:numId w:val="1006"/>
        </w:numPr>
      </w:pPr>
      <w:r>
        <w:t xml:space="preserve">Indoor Sports Hall</w:t>
      </w:r>
      <w:r>
        <w:br/>
      </w:r>
    </w:p>
    <w:p>
      <w:pPr>
        <w:pStyle w:val="Compact"/>
        <w:numPr>
          <w:ilvl w:val="1"/>
          <w:numId w:val="1006"/>
        </w:numPr>
      </w:pPr>
      <w:r>
        <w:t xml:space="preserve">Specialist Labs</w:t>
      </w:r>
    </w:p>
    <w:p>
      <w:pPr>
        <w:pStyle w:val="FirstParagraph"/>
      </w:pPr>
      <w:r>
        <w:t xml:space="preserve">The zoning model supports operational separation while enabling shared academic resources.</w:t>
      </w:r>
    </w:p>
    <w:p>
      <w:r>
        <w:pict>
          <v:rect style="width:0;height:1.5pt" o:hralign="center" o:hrstd="t" o:hr="t"/>
        </w:pict>
      </w:r>
    </w:p>
    <w:bookmarkEnd w:id="30"/>
    <w:bookmarkStart w:id="31" w:name="X8d02c67b76f2668144cc6d74c9220def52378b8"/>
    <w:p>
      <w:pPr>
        <w:pStyle w:val="Heading2"/>
      </w:pPr>
      <w:r>
        <w:t xml:space="preserve">1.4 Building Configuration – 3 Floors + 1 Basement</w:t>
      </w:r>
    </w:p>
    <w:p>
      <w:pPr>
        <w:pStyle w:val="FirstParagraph"/>
      </w:pPr>
      <w:r>
        <w:t xml:space="preserve">The development consists of:</w:t>
      </w:r>
    </w:p>
    <w:p>
      <w:pPr>
        <w:pStyle w:val="BodyText"/>
      </w:pPr>
      <w:r>
        <w:t xml:space="preserve">• Three floors above grade</w:t>
      </w:r>
      <w:r>
        <w:br/>
      </w:r>
      <w:r>
        <w:t xml:space="preserve">• One basement level</w:t>
      </w:r>
    </w:p>
    <w:p>
      <w:pPr>
        <w:pStyle w:val="BodyText"/>
      </w:pPr>
      <w:r>
        <w:t xml:space="preserve">Basement allocation includes:</w:t>
      </w:r>
    </w:p>
    <w:p>
      <w:pPr>
        <w:pStyle w:val="BodyText"/>
      </w:pPr>
      <w:r>
        <w:t xml:space="preserve">• Staff parking</w:t>
      </w:r>
      <w:r>
        <w:br/>
      </w:r>
      <w:r>
        <w:t xml:space="preserve">• MEP plant rooms</w:t>
      </w:r>
      <w:r>
        <w:br/>
      </w:r>
      <w:r>
        <w:t xml:space="preserve">• Water storage &amp; fire tanks</w:t>
      </w:r>
      <w:r>
        <w:br/>
      </w:r>
      <w:r>
        <w:t xml:space="preserve">• Service rooms</w:t>
      </w:r>
      <w:r>
        <w:br/>
      </w:r>
      <w:r>
        <w:t xml:space="preserve">• Storage areas</w:t>
      </w:r>
    </w:p>
    <w:p>
      <w:pPr>
        <w:pStyle w:val="BodyText"/>
      </w:pPr>
      <w:r>
        <w:t xml:space="preserve">Above-grade floors accommodate academic, administrative, and shared educational functions.</w:t>
      </w:r>
    </w:p>
    <w:p>
      <w:pPr>
        <w:pStyle w:val="BodyText"/>
      </w:pPr>
      <w:r>
        <w:t xml:space="preserve">Preliminary built-up area (BUA) target: approximately 52,400 m².</w:t>
      </w:r>
    </w:p>
    <w:p>
      <w:pPr>
        <w:pStyle w:val="BodyText"/>
      </w:pPr>
      <w:r>
        <w:t xml:space="preserve">Indicative footprint (if evenly distributed across three floors): ~17,500 m² per level.</w:t>
      </w:r>
    </w:p>
    <w:p>
      <w:pPr>
        <w:pStyle w:val="BodyText"/>
      </w:pPr>
      <w:r>
        <w:t xml:space="preserve">This results in approximately 70% site coverage, which classifies the campus as a high-density institutional model.</w:t>
      </w:r>
    </w:p>
    <w:p>
      <w:r>
        <w:pict>
          <v:rect style="width:0;height:1.5pt" o:hralign="center" o:hrstd="t" o:hr="t"/>
        </w:pict>
      </w:r>
    </w:p>
    <w:bookmarkEnd w:id="31"/>
    <w:bookmarkStart w:id="32" w:name="X4bcc26f8d5237269038110a7117807c2c7b286c"/>
    <w:p>
      <w:pPr>
        <w:pStyle w:val="Heading2"/>
      </w:pPr>
      <w:r>
        <w:t xml:space="preserve">1.5 Design Philosophy – NET First Planning Model</w:t>
      </w:r>
    </w:p>
    <w:p>
      <w:pPr>
        <w:pStyle w:val="FirstParagraph"/>
      </w:pPr>
      <w:r>
        <w:t xml:space="preserve">The campus is designed using a NET-first planning methodology.</w:t>
      </w:r>
    </w:p>
    <w:p>
      <w:pPr>
        <w:pStyle w:val="BodyText"/>
      </w:pPr>
      <w:r>
        <w:t xml:space="preserve">Step 1 – Calculate NET room areas by educational function.</w:t>
      </w:r>
      <w:r>
        <w:br/>
      </w:r>
      <w:r>
        <w:t xml:space="preserve">Step 2 – Apply category-based grossing factors to derive BUA.</w:t>
      </w:r>
      <w:r>
        <w:br/>
      </w:r>
      <w:r>
        <w:t xml:space="preserve">Step 3 – Validate circulation, vertical cores, and life safety requirements.</w:t>
      </w:r>
      <w:r>
        <w:br/>
      </w:r>
      <w:r>
        <w:t xml:space="preserve">Step 4 – Conduct site feasibility analysis including drop-off, sports, and assembly areas.</w:t>
      </w:r>
    </w:p>
    <w:p>
      <w:pPr>
        <w:pStyle w:val="BodyText"/>
      </w:pPr>
      <w:r>
        <w:t xml:space="preserve">This approach ensures:</w:t>
      </w:r>
    </w:p>
    <w:p>
      <w:pPr>
        <w:pStyle w:val="BodyText"/>
      </w:pPr>
      <w:r>
        <w:t xml:space="preserve">• Transparent area calculation</w:t>
      </w:r>
      <w:r>
        <w:br/>
      </w:r>
      <w:r>
        <w:t xml:space="preserve">• Defensible regulatory compliance</w:t>
      </w:r>
      <w:r>
        <w:br/>
      </w:r>
      <w:r>
        <w:t xml:space="preserve">• Cost clarity at early stage</w:t>
      </w:r>
      <w:r>
        <w:br/>
      </w:r>
      <w:r>
        <w:t xml:space="preserve">• Efficient design progression into schematic stage</w:t>
      </w:r>
    </w:p>
    <w:p>
      <w:r>
        <w:pict>
          <v:rect style="width:0;height:1.5pt" o:hralign="center" o:hrstd="t" o:hr="t"/>
        </w:pict>
      </w:r>
    </w:p>
    <w:bookmarkEnd w:id="32"/>
    <w:bookmarkStart w:id="33" w:name="density-urban-campus-model-statement"/>
    <w:p>
      <w:pPr>
        <w:pStyle w:val="Heading2"/>
      </w:pPr>
      <w:r>
        <w:t xml:space="preserve">1.6 Density &amp; Urban Campus Model Statement</w:t>
      </w:r>
    </w:p>
    <w:p>
      <w:pPr>
        <w:pStyle w:val="FirstParagraph"/>
      </w:pPr>
      <w:r>
        <w:t xml:space="preserve">Given the 25,000 m² plot size relative to the 7,000-student capacity, the campus shall operate as a compact urban model with:</w:t>
      </w:r>
    </w:p>
    <w:p>
      <w:pPr>
        <w:pStyle w:val="BodyText"/>
      </w:pPr>
      <w:r>
        <w:t xml:space="preserve">• Structured bus stacking strategy</w:t>
      </w:r>
      <w:r>
        <w:br/>
      </w:r>
      <w:r>
        <w:t xml:space="preserve">• Staggered dismissal scheduling</w:t>
      </w:r>
      <w:r>
        <w:br/>
      </w:r>
      <w:r>
        <w:t xml:space="preserve">• Shared-use assembly and sports areas</w:t>
      </w:r>
      <w:r>
        <w:br/>
      </w:r>
      <w:r>
        <w:t xml:space="preserve">• Basement-based service consolidation</w:t>
      </w:r>
      <w:r>
        <w:br/>
      </w:r>
      <w:r>
        <w:t xml:space="preserve">• Optimized circulation cores</w:t>
      </w:r>
    </w:p>
    <w:p>
      <w:pPr>
        <w:pStyle w:val="BodyText"/>
      </w:pPr>
      <w:r>
        <w:t xml:space="preserve">Future expansion potential is limited within the current site boundary and must be considered in long-term strategic planning.</w:t>
      </w:r>
    </w:p>
    <w:p>
      <w:r>
        <w:pict>
          <v:rect style="width:0;height:1.5pt" o:hralign="center" o:hrstd="t" o:hr="t"/>
        </w:pict>
      </w:r>
    </w:p>
    <w:p>
      <w:pPr>
        <w:pStyle w:val="FirstParagraph"/>
      </w:pPr>
      <w:r>
        <w:t xml:space="preserve">END OF SECTION 01</w:t>
      </w:r>
    </w:p>
    <w:p>
      <w:r>
        <w:pict>
          <v:rect style="width:0;height:1.5pt" o:hralign="center" o:hrstd="t" o:hr="t"/>
        </w:pict>
      </w:r>
    </w:p>
    <w:bookmarkEnd w:id="33"/>
    <w:bookmarkEnd w:id="34"/>
    <w:bookmarkStart w:id="43" w:name="codes-standards-references"/>
    <w:p>
      <w:pPr>
        <w:pStyle w:val="Heading1"/>
      </w:pPr>
      <w:r>
        <w:t xml:space="preserve">02. Codes, Standards &amp; References</w:t>
      </w:r>
    </w:p>
    <w:bookmarkStart w:id="35" w:name="regulatory-hierarchy"/>
    <w:p>
      <w:pPr>
        <w:pStyle w:val="Heading2"/>
      </w:pPr>
      <w:r>
        <w:t xml:space="preserve">2.1 Regulatory Hierarchy</w:t>
      </w:r>
    </w:p>
    <w:p>
      <w:pPr>
        <w:pStyle w:val="FirstParagraph"/>
      </w:pPr>
      <w:r>
        <w:t xml:space="preserve">The design and development of the PISES New Campus shall comply with the applicable regulatory framework of the Kingdom of Saudi Arabia. In case of conflict between standards, the following hierarchy shall apply:</w:t>
      </w:r>
    </w:p>
    <w:p>
      <w:pPr>
        <w:pStyle w:val="Compact"/>
        <w:numPr>
          <w:ilvl w:val="0"/>
          <w:numId w:val="1007"/>
        </w:numPr>
      </w:pPr>
      <w:r>
        <w:t xml:space="preserve">Saudi Building Code (SBC) – Mandatory</w:t>
      </w:r>
      <w:r>
        <w:br/>
      </w:r>
    </w:p>
    <w:p>
      <w:pPr>
        <w:pStyle w:val="Compact"/>
        <w:numPr>
          <w:ilvl w:val="0"/>
          <w:numId w:val="1007"/>
        </w:numPr>
      </w:pPr>
      <w:r>
        <w:t xml:space="preserve">Civil Defense Regulations – Mandatory</w:t>
      </w:r>
      <w:r>
        <w:br/>
      </w:r>
    </w:p>
    <w:p>
      <w:pPr>
        <w:pStyle w:val="Compact"/>
        <w:numPr>
          <w:ilvl w:val="0"/>
          <w:numId w:val="1007"/>
        </w:numPr>
      </w:pPr>
      <w:r>
        <w:t xml:space="preserve">Municipal / Balady Requirements – Mandatory</w:t>
      </w:r>
      <w:r>
        <w:br/>
      </w:r>
    </w:p>
    <w:p>
      <w:pPr>
        <w:pStyle w:val="Compact"/>
        <w:numPr>
          <w:ilvl w:val="0"/>
          <w:numId w:val="1007"/>
        </w:numPr>
      </w:pPr>
      <w:r>
        <w:t xml:space="preserve">Tatweer Buildings Company (TBC) Category A Educational Guidelines</w:t>
      </w:r>
      <w:r>
        <w:br/>
      </w:r>
    </w:p>
    <w:p>
      <w:pPr>
        <w:pStyle w:val="Compact"/>
        <w:numPr>
          <w:ilvl w:val="0"/>
          <w:numId w:val="1007"/>
        </w:numPr>
      </w:pPr>
      <w:r>
        <w:t xml:space="preserve">Referenced International Codes adopted within SBC (IBC, NFPA, ICC standards)</w:t>
      </w:r>
      <w:r>
        <w:br/>
      </w:r>
    </w:p>
    <w:p>
      <w:pPr>
        <w:pStyle w:val="Compact"/>
        <w:numPr>
          <w:ilvl w:val="0"/>
          <w:numId w:val="1007"/>
        </w:numPr>
      </w:pPr>
      <w:r>
        <w:t xml:space="preserve">International Best Practice (where not defined by local code)</w:t>
      </w:r>
    </w:p>
    <w:p>
      <w:pPr>
        <w:pStyle w:val="FirstParagraph"/>
      </w:pPr>
      <w:r>
        <w:t xml:space="preserve">Where multiple standards apply, the more stringent requirement shall govern.</w:t>
      </w:r>
    </w:p>
    <w:p>
      <w:r>
        <w:pict>
          <v:rect style="width:0;height:1.5pt" o:hralign="center" o:hrstd="t" o:hr="t"/>
        </w:pict>
      </w:r>
    </w:p>
    <w:bookmarkEnd w:id="35"/>
    <w:bookmarkStart w:id="36" w:name="saudi-building-code-sbc"/>
    <w:p>
      <w:pPr>
        <w:pStyle w:val="Heading2"/>
      </w:pPr>
      <w:r>
        <w:t xml:space="preserve">2.2 Saudi Building Code (SBC)</w:t>
      </w:r>
    </w:p>
    <w:p>
      <w:pPr>
        <w:pStyle w:val="FirstParagraph"/>
      </w:pPr>
      <w:r>
        <w:t xml:space="preserve">The project shall comply with the latest approved edition of the Saudi Building Code and its relevant volumes applicable to educational facilities (Group E Occupancy).</w:t>
      </w:r>
    </w:p>
    <w:p>
      <w:pPr>
        <w:pStyle w:val="BodyText"/>
      </w:pPr>
      <w:r>
        <w:t xml:space="preserve">Applicable SBC sections include, but are not limited to:</w:t>
      </w:r>
    </w:p>
    <w:p>
      <w:pPr>
        <w:pStyle w:val="BodyText"/>
      </w:pPr>
      <w:r>
        <w:t xml:space="preserve">• SBC 201 – General Building Code (Occupancy Classification, Means of Egress, Height &amp; Area Limits)</w:t>
      </w:r>
      <w:r>
        <w:br/>
      </w:r>
      <w:r>
        <w:t xml:space="preserve">• SBC 801 – Fire Protection Systems</w:t>
      </w:r>
      <w:r>
        <w:br/>
      </w:r>
      <w:r>
        <w:t xml:space="preserve">• SBC Accessibility Requirements</w:t>
      </w:r>
      <w:r>
        <w:br/>
      </w:r>
      <w:r>
        <w:t xml:space="preserve">• SBC Electrical Code</w:t>
      </w:r>
      <w:r>
        <w:br/>
      </w:r>
      <w:r>
        <w:t xml:space="preserve">• SBC Mechanical Code</w:t>
      </w:r>
      <w:r>
        <w:br/>
      </w:r>
      <w:r>
        <w:t xml:space="preserve">• SBC Plumbing Code</w:t>
      </w:r>
    </w:p>
    <w:p>
      <w:pPr>
        <w:pStyle w:val="BodyText"/>
      </w:pPr>
      <w:r>
        <w:t xml:space="preserve">Specific compliance items to be addressed in later sections of this BoD:</w:t>
      </w:r>
    </w:p>
    <w:p>
      <w:pPr>
        <w:pStyle w:val="BodyText"/>
      </w:pPr>
      <w:r>
        <w:t xml:space="preserve">• Occupant load calculations</w:t>
      </w:r>
      <w:r>
        <w:br/>
      </w:r>
      <w:r>
        <w:t xml:space="preserve">• Exit width and number of exits</w:t>
      </w:r>
      <w:r>
        <w:br/>
      </w:r>
      <w:r>
        <w:t xml:space="preserve">• Travel distance limitations</w:t>
      </w:r>
      <w:r>
        <w:br/>
      </w:r>
      <w:r>
        <w:t xml:space="preserve">• Fire compartmentation</w:t>
      </w:r>
      <w:r>
        <w:br/>
      </w:r>
      <w:r>
        <w:t xml:space="preserve">• Stair pressurization and smoke control</w:t>
      </w:r>
      <w:r>
        <w:br/>
      </w:r>
      <w:r>
        <w:t xml:space="preserve">• Accessibility routes and provisions</w:t>
      </w:r>
    </w:p>
    <w:p>
      <w:r>
        <w:pict>
          <v:rect style="width:0;height:1.5pt" o:hralign="center" o:hrstd="t" o:hr="t"/>
        </w:pict>
      </w:r>
    </w:p>
    <w:bookmarkEnd w:id="36"/>
    <w:bookmarkStart w:id="37" w:name="civil-defense-requirements"/>
    <w:p>
      <w:pPr>
        <w:pStyle w:val="Heading2"/>
      </w:pPr>
      <w:r>
        <w:t xml:space="preserve">2.3 Civil Defense Requirements</w:t>
      </w:r>
    </w:p>
    <w:p>
      <w:pPr>
        <w:pStyle w:val="FirstParagraph"/>
      </w:pPr>
      <w:r>
        <w:t xml:space="preserve">All fire and life safety systems shall be designed to meet Saudi Civil Defense approval requirements.</w:t>
      </w:r>
    </w:p>
    <w:p>
      <w:pPr>
        <w:pStyle w:val="BodyText"/>
      </w:pPr>
      <w:r>
        <w:t xml:space="preserve">This includes:</w:t>
      </w:r>
    </w:p>
    <w:p>
      <w:pPr>
        <w:pStyle w:val="BodyText"/>
      </w:pPr>
      <w:r>
        <w:t xml:space="preserve">• Fire alarm and voice evacuation systems</w:t>
      </w:r>
      <w:r>
        <w:br/>
      </w:r>
      <w:r>
        <w:t xml:space="preserve">• Automatic sprinkler systems</w:t>
      </w:r>
      <w:r>
        <w:br/>
      </w:r>
      <w:r>
        <w:t xml:space="preserve">• Fire hose reels and extinguishers</w:t>
      </w:r>
      <w:r>
        <w:br/>
      </w:r>
      <w:r>
        <w:t xml:space="preserve">• Fire command center</w:t>
      </w:r>
      <w:r>
        <w:br/>
      </w:r>
      <w:r>
        <w:t xml:space="preserve">• Emergency lighting and exit signage</w:t>
      </w:r>
      <w:r>
        <w:br/>
      </w:r>
      <w:r>
        <w:t xml:space="preserve">• Fire-rated construction and compartmentation</w:t>
      </w:r>
      <w:r>
        <w:br/>
      </w:r>
      <w:r>
        <w:t xml:space="preserve">• Fire tender access around building perimeter</w:t>
      </w:r>
    </w:p>
    <w:p>
      <w:pPr>
        <w:pStyle w:val="BodyText"/>
      </w:pPr>
      <w:r>
        <w:t xml:space="preserve">Civil Defense approval is mandatory prior to occupancy certification.</w:t>
      </w:r>
    </w:p>
    <w:p>
      <w:r>
        <w:pict>
          <v:rect style="width:0;height:1.5pt" o:hralign="center" o:hrstd="t" o:hr="t"/>
        </w:pict>
      </w:r>
    </w:p>
    <w:bookmarkEnd w:id="37"/>
    <w:bookmarkStart w:id="38" w:name="Xa322ecf896626a28d397a738be85cbc081ae88b"/>
    <w:p>
      <w:pPr>
        <w:pStyle w:val="Heading2"/>
      </w:pPr>
      <w:r>
        <w:t xml:space="preserve">2.4 Tatweer Buildings Company (TBC) – Category A Guidelines</w:t>
      </w:r>
    </w:p>
    <w:p>
      <w:pPr>
        <w:pStyle w:val="FirstParagraph"/>
      </w:pPr>
      <w:r>
        <w:t xml:space="preserve">As the project is located in Riyadh, it falls under Category A (Major Cities) planning guidance.</w:t>
      </w:r>
    </w:p>
    <w:p>
      <w:pPr>
        <w:pStyle w:val="BodyText"/>
      </w:pPr>
      <w:r>
        <w:t xml:space="preserve">TBC standards inform:</w:t>
      </w:r>
    </w:p>
    <w:p>
      <w:pPr>
        <w:pStyle w:val="BodyText"/>
      </w:pPr>
      <w:r>
        <w:t xml:space="preserve">• Area per student benchmarks</w:t>
      </w:r>
      <w:r>
        <w:br/>
      </w:r>
      <w:r>
        <w:t xml:space="preserve">• Classroom sizing references</w:t>
      </w:r>
      <w:r>
        <w:br/>
      </w:r>
      <w:r>
        <w:t xml:space="preserve">• Educational complex calculation method</w:t>
      </w:r>
      <w:r>
        <w:br/>
      </w:r>
      <w:r>
        <w:t xml:space="preserve">• Planning assumptions for multi-level institutions</w:t>
      </w:r>
    </w:p>
    <w:p>
      <w:pPr>
        <w:pStyle w:val="BodyText"/>
      </w:pPr>
      <w:r>
        <w:t xml:space="preserve">Where TBC requirements differ from SBC or Civil Defense, the more stringent requirement shall be adopted.</w:t>
      </w:r>
    </w:p>
    <w:p>
      <w:r>
        <w:pict>
          <v:rect style="width:0;height:1.5pt" o:hralign="center" o:hrstd="t" o:hr="t"/>
        </w:pict>
      </w:r>
    </w:p>
    <w:bookmarkEnd w:id="38"/>
    <w:bookmarkStart w:id="39" w:name="international-references-adopted-by-sbc"/>
    <w:p>
      <w:pPr>
        <w:pStyle w:val="Heading2"/>
      </w:pPr>
      <w:r>
        <w:t xml:space="preserve">2.5 International References Adopted by SBC</w:t>
      </w:r>
    </w:p>
    <w:p>
      <w:pPr>
        <w:pStyle w:val="FirstParagraph"/>
      </w:pPr>
      <w:r>
        <w:t xml:space="preserve">Where SBC references international codes, the following shall be consulted:</w:t>
      </w:r>
    </w:p>
    <w:p>
      <w:pPr>
        <w:pStyle w:val="BodyText"/>
      </w:pPr>
      <w:r>
        <w:t xml:space="preserve">• International Building Code (IBC)</w:t>
      </w:r>
      <w:r>
        <w:br/>
      </w:r>
      <w:r>
        <w:t xml:space="preserve">• International Fire Code (IFC)</w:t>
      </w:r>
      <w:r>
        <w:br/>
      </w:r>
      <w:r>
        <w:t xml:space="preserve">• NFPA standards referenced within SBC</w:t>
      </w:r>
      <w:r>
        <w:br/>
      </w:r>
      <w:r>
        <w:t xml:space="preserve">• ICC accessibility guidelines (as referenced)</w:t>
      </w:r>
    </w:p>
    <w:p>
      <w:pPr>
        <w:pStyle w:val="BodyText"/>
      </w:pPr>
      <w:r>
        <w:t xml:space="preserve">These references shall be used for interpretation only when not explicitly defined within SBC.</w:t>
      </w:r>
    </w:p>
    <w:p>
      <w:r>
        <w:pict>
          <v:rect style="width:0;height:1.5pt" o:hralign="center" o:hrstd="t" o:hr="t"/>
        </w:pict>
      </w:r>
    </w:p>
    <w:bookmarkEnd w:id="39"/>
    <w:bookmarkStart w:id="40" w:name="accessibility-inclusion-standards"/>
    <w:p>
      <w:pPr>
        <w:pStyle w:val="Heading2"/>
      </w:pPr>
      <w:r>
        <w:t xml:space="preserve">2.6 Accessibility &amp; Inclusion Standards</w:t>
      </w:r>
    </w:p>
    <w:p>
      <w:pPr>
        <w:pStyle w:val="FirstParagraph"/>
      </w:pPr>
      <w:r>
        <w:t xml:space="preserve">The campus shall comply with applicable Saudi accessibility requirements.</w:t>
      </w:r>
    </w:p>
    <w:p>
      <w:pPr>
        <w:pStyle w:val="BodyText"/>
      </w:pPr>
      <w:r>
        <w:t xml:space="preserve">Design provisions include:</w:t>
      </w:r>
    </w:p>
    <w:p>
      <w:pPr>
        <w:pStyle w:val="BodyText"/>
      </w:pPr>
      <w:r>
        <w:t xml:space="preserve">• Barrier-free entrances</w:t>
      </w:r>
      <w:r>
        <w:br/>
      </w:r>
      <w:r>
        <w:t xml:space="preserve">• Accessible toilet facilities</w:t>
      </w:r>
      <w:r>
        <w:br/>
      </w:r>
      <w:r>
        <w:t xml:space="preserve">• Elevator access to all occupied levels</w:t>
      </w:r>
      <w:r>
        <w:br/>
      </w:r>
      <w:r>
        <w:t xml:space="preserve">• Tactile and visual signage</w:t>
      </w:r>
      <w:r>
        <w:br/>
      </w:r>
      <w:r>
        <w:t xml:space="preserve">• Accessible parking spaces</w:t>
      </w:r>
    </w:p>
    <w:p>
      <w:pPr>
        <w:pStyle w:val="BodyText"/>
      </w:pPr>
      <w:r>
        <w:t xml:space="preserve">SEN planning shall additionally consider international best-practice inclusion standards where local codes are silent.</w:t>
      </w:r>
    </w:p>
    <w:p>
      <w:r>
        <w:pict>
          <v:rect style="width:0;height:1.5pt" o:hralign="center" o:hrstd="t" o:hr="t"/>
        </w:pict>
      </w:r>
    </w:p>
    <w:bookmarkEnd w:id="40"/>
    <w:bookmarkStart w:id="41" w:name="traffic-municipal-requirements"/>
    <w:p>
      <w:pPr>
        <w:pStyle w:val="Heading2"/>
      </w:pPr>
      <w:r>
        <w:t xml:space="preserve">2.7 Traffic &amp; Municipal Requirements</w:t>
      </w:r>
    </w:p>
    <w:p>
      <w:pPr>
        <w:pStyle w:val="FirstParagraph"/>
      </w:pPr>
      <w:r>
        <w:t xml:space="preserve">The project shall comply with municipal planning requirements, including:</w:t>
      </w:r>
    </w:p>
    <w:p>
      <w:pPr>
        <w:pStyle w:val="BodyText"/>
      </w:pPr>
      <w:r>
        <w:t xml:space="preserve">• Traffic impact assessment (if mandated)</w:t>
      </w:r>
      <w:r>
        <w:br/>
      </w:r>
      <w:r>
        <w:t xml:space="preserve">• Bus stacking and drop-off geometry</w:t>
      </w:r>
      <w:r>
        <w:br/>
      </w:r>
      <w:r>
        <w:t xml:space="preserve">• Parking requirements</w:t>
      </w:r>
      <w:r>
        <w:br/>
      </w:r>
      <w:r>
        <w:t xml:space="preserve">• Building setbacks and height restrictions</w:t>
      </w:r>
      <w:r>
        <w:br/>
      </w:r>
      <w:r>
        <w:t xml:space="preserve">• Stormwater management (if applicable)</w:t>
      </w:r>
    </w:p>
    <w:p>
      <w:pPr>
        <w:pStyle w:val="BodyText"/>
      </w:pPr>
      <w:r>
        <w:t xml:space="preserve">Approval through Balady and related municipal platforms shall be required prior to construction permit issuance.</w:t>
      </w:r>
    </w:p>
    <w:p>
      <w:r>
        <w:pict>
          <v:rect style="width:0;height:1.5pt" o:hralign="center" o:hrstd="t" o:hr="t"/>
        </w:pict>
      </w:r>
    </w:p>
    <w:bookmarkEnd w:id="41"/>
    <w:bookmarkStart w:id="42" w:name="bibliography-citation-format"/>
    <w:p>
      <w:pPr>
        <w:pStyle w:val="Heading2"/>
      </w:pPr>
      <w:r>
        <w:t xml:space="preserve">2.8 Bibliography &amp; Citation Format</w:t>
      </w:r>
    </w:p>
    <w:p>
      <w:pPr>
        <w:pStyle w:val="FirstParagraph"/>
      </w:pPr>
      <w:r>
        <w:t xml:space="preserve">All technical references within this BoD shall be cited using the following format:</w:t>
      </w:r>
    </w:p>
    <w:p>
      <w:pPr>
        <w:pStyle w:val="BodyText"/>
      </w:pPr>
      <w:r>
        <w:t xml:space="preserve">[Code / Standard Name, Edition Year, Section / Table Number]</w:t>
      </w:r>
    </w:p>
    <w:p>
      <w:pPr>
        <w:pStyle w:val="BodyText"/>
      </w:pPr>
      <w:r>
        <w:t xml:space="preserve">Example:</w:t>
      </w:r>
      <w:r>
        <w:t xml:space="preserve"> </w:t>
      </w:r>
      <w:r>
        <w:t xml:space="preserve">[SBC 201, 20XX, Section 1006 – Means of Egress]</w:t>
      </w:r>
    </w:p>
    <w:p>
      <w:pPr>
        <w:pStyle w:val="BodyText"/>
      </w:pPr>
      <w:r>
        <w:t xml:space="preserve">Extracted requirements shall not be reproduced verbatim unless legally permitted; instead, compliance intent shall be described.</w:t>
      </w:r>
    </w:p>
    <w:p>
      <w:r>
        <w:pict>
          <v:rect style="width:0;height:1.5pt" o:hralign="center" o:hrstd="t" o:hr="t"/>
        </w:pict>
      </w:r>
    </w:p>
    <w:p>
      <w:pPr>
        <w:pStyle w:val="FirstParagraph"/>
      </w:pPr>
      <w:r>
        <w:t xml:space="preserve">END OF SECTION 02</w:t>
      </w:r>
    </w:p>
    <w:p>
      <w:r>
        <w:pict>
          <v:rect style="width:0;height:1.5pt" o:hralign="center" o:hrstd="t" o:hr="t"/>
        </w:pict>
      </w:r>
    </w:p>
    <w:bookmarkEnd w:id="42"/>
    <w:bookmarkEnd w:id="43"/>
    <w:bookmarkStart w:id="52" w:name="X387f1fbbc0f727ea30e01254f6ed805161abd70"/>
    <w:p>
      <w:pPr>
        <w:pStyle w:val="Heading1"/>
      </w:pPr>
      <w:r>
        <w:t xml:space="preserve">03. Student Capacity &amp; Classroom Planning Model</w:t>
      </w:r>
    </w:p>
    <w:bookmarkStart w:id="44" w:name="student-distribution-methodology"/>
    <w:p>
      <w:pPr>
        <w:pStyle w:val="Heading2"/>
      </w:pPr>
      <w:r>
        <w:t xml:space="preserve">3.1 Student Distribution Methodology</w:t>
      </w:r>
    </w:p>
    <w:p>
      <w:pPr>
        <w:pStyle w:val="FirstParagraph"/>
      </w:pPr>
      <w:r>
        <w:t xml:space="preserve">The planning model for the proposed campus is based on a target population of approximately 7,000 students.</w:t>
      </w:r>
    </w:p>
    <w:p>
      <w:pPr>
        <w:pStyle w:val="BodyText"/>
      </w:pPr>
      <w:r>
        <w:t xml:space="preserve">At this stage, student distribution follows the existing institutional distribution model (normal distribution logic used in prior baseline planning documents). Final enrollment projections shall be incorporated upon formal confirmation by SMC.</w:t>
      </w:r>
    </w:p>
    <w:p>
      <w:pPr>
        <w:pStyle w:val="BodyText"/>
      </w:pPr>
      <w:r>
        <w:t xml:space="preserve">The planning model assumes:</w:t>
      </w:r>
    </w:p>
    <w:p>
      <w:pPr>
        <w:pStyle w:val="BodyText"/>
      </w:pPr>
      <w:r>
        <w:t xml:space="preserve">• Co-educational structure for Nursery–Grade 1</w:t>
      </w:r>
      <w:r>
        <w:br/>
      </w:r>
      <w:r>
        <w:t xml:space="preserve">• Gender separation from Grade 2 onwards</w:t>
      </w:r>
      <w:r>
        <w:br/>
      </w:r>
      <w:r>
        <w:t xml:space="preserve">• Even distribution across academic years unless otherwise defined</w:t>
      </w:r>
      <w:r>
        <w:br/>
      </w:r>
      <w:r>
        <w:t xml:space="preserve">• Maximum classroom capacity based on TBC planning baseline</w:t>
      </w:r>
    </w:p>
    <w:p>
      <w:pPr>
        <w:pStyle w:val="BodyText"/>
      </w:pPr>
      <w:r>
        <w:t xml:space="preserve">This model ensures scalability while preserving operational separation requirements.</w:t>
      </w:r>
    </w:p>
    <w:p>
      <w:r>
        <w:pict>
          <v:rect style="width:0;height:1.5pt" o:hralign="center" o:hrstd="t" o:hr="t"/>
        </w:pict>
      </w:r>
    </w:p>
    <w:bookmarkEnd w:id="44"/>
    <w:bookmarkStart w:id="45" w:name="maximum-students-per-classroom"/>
    <w:p>
      <w:pPr>
        <w:pStyle w:val="Heading2"/>
      </w:pPr>
      <w:r>
        <w:t xml:space="preserve">3.2 Maximum Students per Classroom</w:t>
      </w:r>
    </w:p>
    <w:p>
      <w:pPr>
        <w:pStyle w:val="FirstParagraph"/>
      </w:pPr>
      <w:r>
        <w:t xml:space="preserve">The adopted planning baseline is:</w:t>
      </w:r>
    </w:p>
    <w:p>
      <w:pPr>
        <w:pStyle w:val="BodyText"/>
      </w:pPr>
      <w:r>
        <w:t xml:space="preserve">• Maximum 25 students per classroom (TBC reference baseline)</w:t>
      </w:r>
    </w:p>
    <w:p>
      <w:pPr>
        <w:pStyle w:val="BodyText"/>
      </w:pPr>
      <w:r>
        <w:t xml:space="preserve">For operational flexibility and educational quality, classroom loading shall not exceed this threshold. Any future increase in capacity per classroom shall require formal review of area standards, life safety calculations, and pedagogical impact.</w:t>
      </w:r>
    </w:p>
    <w:p>
      <w:r>
        <w:pict>
          <v:rect style="width:0;height:1.5pt" o:hralign="center" o:hrstd="t" o:hr="t"/>
        </w:pict>
      </w:r>
    </w:p>
    <w:bookmarkEnd w:id="45"/>
    <w:bookmarkStart w:id="46" w:name="X165aa8f7dba71dc1d76ce0d9a5d488bdcfc1139"/>
    <w:p>
      <w:pPr>
        <w:pStyle w:val="Heading2"/>
      </w:pPr>
      <w:r>
        <w:t xml:space="preserve">3.3 Classroom Count Calculation – 7,000 Students</w:t>
      </w:r>
    </w:p>
    <w:p>
      <w:pPr>
        <w:pStyle w:val="FirstParagraph"/>
      </w:pPr>
      <w:r>
        <w:t xml:space="preserve">Total target students: 7,000</w:t>
      </w:r>
      <w:r>
        <w:br/>
      </w:r>
      <w:r>
        <w:t xml:space="preserve">Maximum students per classroom: 25</w:t>
      </w:r>
    </w:p>
    <w:p>
      <w:pPr>
        <w:pStyle w:val="BodyText"/>
      </w:pPr>
      <w:r>
        <w:t xml:space="preserve">Required number of classrooms:</w:t>
      </w:r>
    </w:p>
    <w:p>
      <w:pPr>
        <w:pStyle w:val="BodyText"/>
      </w:pPr>
      <w:r>
        <w:t xml:space="preserve">7,000 ÷ 25 = 280 classrooms (minimum theoretical)</w:t>
      </w:r>
    </w:p>
    <w:p>
      <w:pPr>
        <w:pStyle w:val="BodyText"/>
      </w:pPr>
      <w:r>
        <w:t xml:space="preserve">Allowing for operational buffer, subject specialization, and gender separation distribution:</w:t>
      </w:r>
    </w:p>
    <w:p>
      <w:pPr>
        <w:pStyle w:val="BodyText"/>
      </w:pPr>
      <w:r>
        <w:t xml:space="preserve">Adopted planning classroom count ≈ 300–304 classrooms</w:t>
      </w:r>
    </w:p>
    <w:p>
      <w:pPr>
        <w:pStyle w:val="BodyText"/>
      </w:pPr>
      <w:r>
        <w:t xml:space="preserve">This aligns with proportional scaling from the previous 10,000-student baseline model.</w:t>
      </w:r>
    </w:p>
    <w:p>
      <w:r>
        <w:pict>
          <v:rect style="width:0;height:1.5pt" o:hralign="center" o:hrstd="t" o:hr="t"/>
        </w:pict>
      </w:r>
    </w:p>
    <w:bookmarkEnd w:id="46"/>
    <w:bookmarkStart w:id="47" w:name="area-per-student-tbc-vs-adopted-standard"/>
    <w:p>
      <w:pPr>
        <w:pStyle w:val="Heading2"/>
      </w:pPr>
      <w:r>
        <w:t xml:space="preserve">3.4 Area per Student – TBC vs Adopted Standard</w:t>
      </w:r>
    </w:p>
    <w:p>
      <w:pPr>
        <w:pStyle w:val="FirstParagraph"/>
      </w:pPr>
      <w:r>
        <w:t xml:space="preserve">Tatweer Category A planning references provide area-per-student benchmarks by educational level.</w:t>
      </w:r>
    </w:p>
    <w:p>
      <w:pPr>
        <w:pStyle w:val="BodyText"/>
      </w:pPr>
      <w:r>
        <w:t xml:space="preserve">The BoD adopts the following principles:</w:t>
      </w:r>
    </w:p>
    <w:p>
      <w:pPr>
        <w:pStyle w:val="BodyText"/>
      </w:pPr>
      <w:r>
        <w:t xml:space="preserve">• Kindergarten and Early Years shall comply with higher area-per-student benchmarks due to safety and activity-based learning requirements.</w:t>
      </w:r>
      <w:r>
        <w:br/>
      </w:r>
      <w:r>
        <w:t xml:space="preserve">• Primary and Secondary classrooms shall meet or exceed minimum area-per-student standards while maintaining functional furniture layouts.</w:t>
      </w:r>
      <w:r>
        <w:br/>
      </w:r>
      <w:r>
        <w:t xml:space="preserve">• Where multiple benchmarks apply, the more conservative (higher) value shall govern.</w:t>
      </w:r>
    </w:p>
    <w:p>
      <w:pPr>
        <w:pStyle w:val="BodyText"/>
      </w:pPr>
      <w:r>
        <w:t xml:space="preserve">At BoD stage, classroom net areas are derived from:</w:t>
      </w:r>
    </w:p>
    <w:p>
      <w:pPr>
        <w:pStyle w:val="BodyText"/>
      </w:pPr>
      <w:r>
        <w:t xml:space="preserve">• Standard classroom module sizing</w:t>
      </w:r>
      <w:r>
        <w:br/>
      </w:r>
      <w:r>
        <w:t xml:space="preserve">• Student count per room</w:t>
      </w:r>
      <w:r>
        <w:br/>
      </w:r>
      <w:r>
        <w:t xml:space="preserve">• Functional furniture layouts</w:t>
      </w:r>
    </w:p>
    <w:p>
      <w:pPr>
        <w:pStyle w:val="BodyText"/>
      </w:pPr>
      <w:r>
        <w:t xml:space="preserve">Final confirmation of area-per-student compliance shall be validated during schematic design.</w:t>
      </w:r>
    </w:p>
    <w:p>
      <w:r>
        <w:pict>
          <v:rect style="width:0;height:1.5pt" o:hralign="center" o:hrstd="t" o:hr="t"/>
        </w:pict>
      </w:r>
    </w:p>
    <w:bookmarkEnd w:id="47"/>
    <w:bookmarkStart w:id="48" w:name="classroom-typology-matrix"/>
    <w:p>
      <w:pPr>
        <w:pStyle w:val="Heading2"/>
      </w:pPr>
      <w:r>
        <w:t xml:space="preserve">3.5 Classroom Typology Matrix</w:t>
      </w:r>
    </w:p>
    <w:p>
      <w:pPr>
        <w:pStyle w:val="FirstParagraph"/>
      </w:pPr>
      <w:r>
        <w:t xml:space="preserve">The campus classroom typologies include:</w:t>
      </w:r>
    </w:p>
    <w:p>
      <w:pPr>
        <w:pStyle w:val="BodyText"/>
      </w:pPr>
      <w:r>
        <w:t xml:space="preserve">• Early Years Classrooms (Nursery / KG)</w:t>
      </w:r>
      <w:r>
        <w:br/>
      </w:r>
      <w:r>
        <w:t xml:space="preserve">• Primary Classrooms (Grades 1–4)</w:t>
      </w:r>
      <w:r>
        <w:br/>
      </w:r>
      <w:r>
        <w:t xml:space="preserve">• Intermediate Classrooms (Grades 5–9)</w:t>
      </w:r>
      <w:r>
        <w:br/>
      </w:r>
      <w:r>
        <w:t xml:space="preserve">• Secondary Classrooms (Grades 10–12)</w:t>
      </w:r>
    </w:p>
    <w:p>
      <w:pPr>
        <w:pStyle w:val="BodyText"/>
      </w:pPr>
      <w:r>
        <w:t xml:space="preserve">Each typology shall be documented in the Architectural Standards section with:</w:t>
      </w:r>
    </w:p>
    <w:p>
      <w:pPr>
        <w:pStyle w:val="BodyText"/>
      </w:pPr>
      <w:r>
        <w:t xml:space="preserve">• Net area</w:t>
      </w:r>
      <w:r>
        <w:br/>
      </w:r>
      <w:r>
        <w:t xml:space="preserve">• Furniture layout</w:t>
      </w:r>
      <w:r>
        <w:br/>
      </w:r>
      <w:r>
        <w:t xml:space="preserve">• Storage allocation</w:t>
      </w:r>
      <w:r>
        <w:br/>
      </w:r>
      <w:r>
        <w:t xml:space="preserve">• Teaching wall configuration</w:t>
      </w:r>
      <w:r>
        <w:br/>
      </w:r>
      <w:r>
        <w:t xml:space="preserve">• Services interface points</w:t>
      </w:r>
    </w:p>
    <w:p>
      <w:r>
        <w:pict>
          <v:rect style="width:0;height:1.5pt" o:hralign="center" o:hrstd="t" o:hr="t"/>
        </w:pict>
      </w:r>
    </w:p>
    <w:bookmarkEnd w:id="48"/>
    <w:bookmarkStart w:id="49" w:name="specialist-space-allocation"/>
    <w:p>
      <w:pPr>
        <w:pStyle w:val="Heading2"/>
      </w:pPr>
      <w:r>
        <w:t xml:space="preserve">3.6 Specialist Space Allocation</w:t>
      </w:r>
    </w:p>
    <w:p>
      <w:pPr>
        <w:pStyle w:val="FirstParagraph"/>
      </w:pPr>
      <w:r>
        <w:t xml:space="preserve">In addition to standard classrooms, the following specialist learning spaces are included within the program:</w:t>
      </w:r>
    </w:p>
    <w:p>
      <w:pPr>
        <w:pStyle w:val="BodyText"/>
      </w:pPr>
      <w:r>
        <w:t xml:space="preserve">• Science laboratories (with prep and storage)</w:t>
      </w:r>
      <w:r>
        <w:br/>
      </w:r>
      <w:r>
        <w:t xml:space="preserve">• ICT laboratories</w:t>
      </w:r>
      <w:r>
        <w:br/>
      </w:r>
      <w:r>
        <w:t xml:space="preserve">• Art and maker spaces</w:t>
      </w:r>
      <w:r>
        <w:br/>
      </w:r>
      <w:r>
        <w:t xml:space="preserve">• Music and performance rooms</w:t>
      </w:r>
      <w:r>
        <w:br/>
      </w:r>
      <w:r>
        <w:t xml:space="preserve">• Library / learning commons</w:t>
      </w:r>
      <w:r>
        <w:br/>
      </w:r>
      <w:r>
        <w:t xml:space="preserve">• SEN support rooms</w:t>
      </w:r>
    </w:p>
    <w:p>
      <w:pPr>
        <w:pStyle w:val="BodyText"/>
      </w:pPr>
      <w:r>
        <w:t xml:space="preserve">Specialist space quantities are derived from curriculum delivery requirements and shared scheduling models.</w:t>
      </w:r>
    </w:p>
    <w:p>
      <w:r>
        <w:pict>
          <v:rect style="width:0;height:1.5pt" o:hralign="center" o:hrstd="t" o:hr="t"/>
        </w:pict>
      </w:r>
    </w:p>
    <w:bookmarkEnd w:id="49"/>
    <w:bookmarkStart w:id="50" w:name="gender-separation-logic"/>
    <w:p>
      <w:pPr>
        <w:pStyle w:val="Heading2"/>
      </w:pPr>
      <w:r>
        <w:t xml:space="preserve">3.7 Gender Separation Logic</w:t>
      </w:r>
    </w:p>
    <w:p>
      <w:pPr>
        <w:pStyle w:val="FirstParagraph"/>
      </w:pPr>
      <w:r>
        <w:t xml:space="preserve">Operational separation is applied as follows:</w:t>
      </w:r>
    </w:p>
    <w:p>
      <w:pPr>
        <w:pStyle w:val="BodyText"/>
      </w:pPr>
      <w:r>
        <w:t xml:space="preserve">• Nursery–Grade 1: Co-educational</w:t>
      </w:r>
      <w:r>
        <w:br/>
      </w:r>
      <w:r>
        <w:t xml:space="preserve">• Grades 2–12: Separate Boys and Girls wings</w:t>
      </w:r>
    </w:p>
    <w:p>
      <w:pPr>
        <w:pStyle w:val="BodyText"/>
      </w:pPr>
      <w:r>
        <w:t xml:space="preserve">Shared facilities (e.g., auditorium, sports hall, library) shall be scheduled and zoned to maintain separation where required.</w:t>
      </w:r>
    </w:p>
    <w:p>
      <w:pPr>
        <w:pStyle w:val="BodyText"/>
      </w:pPr>
      <w:r>
        <w:t xml:space="preserve">Circulation, vertical cores, and entry points shall be designed to support controlled separation without duplication of major shared infrastructure.</w:t>
      </w:r>
    </w:p>
    <w:p>
      <w:r>
        <w:pict>
          <v:rect style="width:0;height:1.5pt" o:hralign="center" o:hrstd="t" o:hr="t"/>
        </w:pict>
      </w:r>
    </w:p>
    <w:bookmarkEnd w:id="50"/>
    <w:bookmarkStart w:id="51" w:name="staffing-support-space-ratios"/>
    <w:p>
      <w:pPr>
        <w:pStyle w:val="Heading2"/>
      </w:pPr>
      <w:r>
        <w:t xml:space="preserve">3.8 Staffing &amp; Support Space Ratios</w:t>
      </w:r>
    </w:p>
    <w:p>
      <w:pPr>
        <w:pStyle w:val="FirstParagraph"/>
      </w:pPr>
      <w:r>
        <w:t xml:space="preserve">Staffing ratios shall be determined in accordance with institutional policy and curriculum structure.</w:t>
      </w:r>
    </w:p>
    <w:p>
      <w:pPr>
        <w:pStyle w:val="BodyText"/>
      </w:pPr>
      <w:r>
        <w:t xml:space="preserve">Planning allowances include:</w:t>
      </w:r>
    </w:p>
    <w:p>
      <w:pPr>
        <w:pStyle w:val="BodyText"/>
      </w:pPr>
      <w:r>
        <w:t xml:space="preserve">• Faculty workrooms</w:t>
      </w:r>
      <w:r>
        <w:br/>
      </w:r>
      <w:r>
        <w:t xml:space="preserve">• Department offices</w:t>
      </w:r>
      <w:r>
        <w:br/>
      </w:r>
      <w:r>
        <w:t xml:space="preserve">• Administrative offices</w:t>
      </w:r>
      <w:r>
        <w:br/>
      </w:r>
      <w:r>
        <w:t xml:space="preserve">• Clinic and student wellbeing rooms</w:t>
      </w:r>
      <w:r>
        <w:br/>
      </w:r>
      <w:r>
        <w:t xml:space="preserve">• Security and operations rooms</w:t>
      </w:r>
    </w:p>
    <w:p>
      <w:pPr>
        <w:pStyle w:val="BodyText"/>
      </w:pPr>
      <w:r>
        <w:t xml:space="preserve">Detailed staff count assumptions shall be incorporated during schematic design phase.</w:t>
      </w:r>
    </w:p>
    <w:p>
      <w:r>
        <w:pict>
          <v:rect style="width:0;height:1.5pt" o:hralign="center" o:hrstd="t" o:hr="t"/>
        </w:pict>
      </w:r>
    </w:p>
    <w:p>
      <w:pPr>
        <w:pStyle w:val="FirstParagraph"/>
      </w:pPr>
      <w:r>
        <w:t xml:space="preserve">END OF SECTION 03</w:t>
      </w:r>
    </w:p>
    <w:p>
      <w:r>
        <w:pict>
          <v:rect style="width:0;height:1.5pt" o:hralign="center" o:hrstd="t" o:hr="t"/>
        </w:pict>
      </w:r>
    </w:p>
    <w:bookmarkEnd w:id="51"/>
    <w:bookmarkEnd w:id="52"/>
    <w:bookmarkStart w:id="65" w:name="space-program-net-areas"/>
    <w:p>
      <w:pPr>
        <w:pStyle w:val="Heading1"/>
      </w:pPr>
      <w:r>
        <w:t xml:space="preserve">04. Space Program (NET Areas)</w:t>
      </w:r>
    </w:p>
    <w:bookmarkStart w:id="53" w:name="space-programming-methodology"/>
    <w:p>
      <w:pPr>
        <w:pStyle w:val="Heading2"/>
      </w:pPr>
      <w:r>
        <w:t xml:space="preserve">4.1 Space Programming Methodology</w:t>
      </w:r>
    </w:p>
    <w:p>
      <w:pPr>
        <w:pStyle w:val="FirstParagraph"/>
      </w:pPr>
      <w:r>
        <w:t xml:space="preserve">The space program is developed using a NET-first calculation model. Each room is measured at usable internal area (excluding structural walls and major circulation). Gross area is derived later using defined multipliers (see Section 05).</w:t>
      </w:r>
    </w:p>
    <w:p>
      <w:pPr>
        <w:pStyle w:val="BodyText"/>
      </w:pPr>
      <w:r>
        <w:t xml:space="preserve">Room quantities are based on the 7,000-student planning model and classroom distribution logic defined in Section 03.</w:t>
      </w:r>
    </w:p>
    <w:p>
      <w:r>
        <w:pict>
          <v:rect style="width:0;height:1.5pt" o:hralign="center" o:hrstd="t" o:hr="t"/>
        </w:pict>
      </w:r>
    </w:p>
    <w:bookmarkEnd w:id="53"/>
    <w:bookmarkStart w:id="54" w:name="early-years-nursery-kg-daycare"/>
    <w:p>
      <w:pPr>
        <w:pStyle w:val="Heading2"/>
      </w:pPr>
      <w:r>
        <w:t xml:space="preserve">4.2 Early Years (Nursery, KG, Daycare)</w:t>
      </w:r>
    </w:p>
    <w:p>
      <w:pPr>
        <w:pStyle w:val="FirstParagraph"/>
      </w:pPr>
      <w:r>
        <w:t xml:space="preserve">This zone includes:</w:t>
      </w:r>
    </w:p>
    <w:p>
      <w:pPr>
        <w:pStyle w:val="BodyText"/>
      </w:pPr>
      <w:r>
        <w:t xml:space="preserve">• Nursery classrooms</w:t>
      </w:r>
      <w:r>
        <w:br/>
      </w:r>
      <w:r>
        <w:t xml:space="preserve">• Kindergarten classrooms</w:t>
      </w:r>
      <w:r>
        <w:br/>
      </w:r>
      <w:r>
        <w:t xml:space="preserve">• Daycare rooms</w:t>
      </w:r>
      <w:r>
        <w:br/>
      </w:r>
      <w:r>
        <w:t xml:space="preserve">• Secure play areas (external)</w:t>
      </w:r>
      <w:r>
        <w:br/>
      </w:r>
      <w:r>
        <w:t xml:space="preserve">• Child-sized toilets (attached or clustered)</w:t>
      </w:r>
      <w:r>
        <w:br/>
      </w:r>
      <w:r>
        <w:t xml:space="preserve">• Nap/rest rooms (Daycare)</w:t>
      </w:r>
      <w:r>
        <w:br/>
      </w:r>
      <w:r>
        <w:t xml:space="preserve">• Early learning resource rooms</w:t>
      </w:r>
      <w:r>
        <w:br/>
      </w:r>
      <w:r>
        <w:t xml:space="preserve">• Early years administration / reception desk</w:t>
      </w:r>
    </w:p>
    <w:p>
      <w:pPr>
        <w:pStyle w:val="BodyText"/>
      </w:pPr>
      <w:r>
        <w:t xml:space="preserve">Design principles:</w:t>
      </w:r>
    </w:p>
    <w:p>
      <w:pPr>
        <w:pStyle w:val="BodyText"/>
      </w:pPr>
      <w:r>
        <w:t xml:space="preserve">• Larger area-per-student allocation</w:t>
      </w:r>
      <w:r>
        <w:br/>
      </w:r>
      <w:r>
        <w:t xml:space="preserve">• Direct access to secure outdoor play</w:t>
      </w:r>
      <w:r>
        <w:br/>
      </w:r>
      <w:r>
        <w:t xml:space="preserve">• Controlled access points</w:t>
      </w:r>
      <w:r>
        <w:br/>
      </w:r>
      <w:r>
        <w:t xml:space="preserve">• Visual supervision</w:t>
      </w:r>
    </w:p>
    <w:p>
      <w:r>
        <w:pict>
          <v:rect style="width:0;height:1.5pt" o:hralign="center" o:hrstd="t" o:hr="t"/>
        </w:pict>
      </w:r>
    </w:p>
    <w:bookmarkEnd w:id="54"/>
    <w:bookmarkStart w:id="55" w:name="primary-zone-grades-14"/>
    <w:p>
      <w:pPr>
        <w:pStyle w:val="Heading2"/>
      </w:pPr>
      <w:r>
        <w:t xml:space="preserve">4.3 Primary Zone (Grades 1–4)</w:t>
      </w:r>
    </w:p>
    <w:p>
      <w:pPr>
        <w:pStyle w:val="FirstParagraph"/>
      </w:pPr>
      <w:r>
        <w:t xml:space="preserve">Includes:</w:t>
      </w:r>
    </w:p>
    <w:p>
      <w:pPr>
        <w:pStyle w:val="BodyText"/>
      </w:pPr>
      <w:r>
        <w:t xml:space="preserve">• General classrooms</w:t>
      </w:r>
      <w:r>
        <w:br/>
      </w:r>
      <w:r>
        <w:t xml:space="preserve">• Small group breakout rooms</w:t>
      </w:r>
      <w:r>
        <w:br/>
      </w:r>
      <w:r>
        <w:t xml:space="preserve">• Resource room</w:t>
      </w:r>
      <w:r>
        <w:br/>
      </w:r>
      <w:r>
        <w:t xml:space="preserve">• Shared activity space</w:t>
      </w:r>
      <w:r>
        <w:br/>
      </w:r>
      <w:r>
        <w:t xml:space="preserve">• Clustered toilets</w:t>
      </w:r>
      <w:r>
        <w:br/>
      </w:r>
      <w:r>
        <w:t xml:space="preserve">• Faculty workspace</w:t>
      </w:r>
    </w:p>
    <w:p>
      <w:pPr>
        <w:pStyle w:val="BodyText"/>
      </w:pPr>
      <w:r>
        <w:t xml:space="preserve">Primary is designed as a semi-contained learning community within the campus.</w:t>
      </w:r>
    </w:p>
    <w:p>
      <w:r>
        <w:pict>
          <v:rect style="width:0;height:1.5pt" o:hralign="center" o:hrstd="t" o:hr="t"/>
        </w:pict>
      </w:r>
    </w:p>
    <w:bookmarkEnd w:id="55"/>
    <w:bookmarkStart w:id="56" w:name="secondary-zones-grades-512-boys-girls"/>
    <w:p>
      <w:pPr>
        <w:pStyle w:val="Heading2"/>
      </w:pPr>
      <w:r>
        <w:t xml:space="preserve">4.4 Secondary Zones (Grades 5–12 – Boys &amp; Girls)</w:t>
      </w:r>
    </w:p>
    <w:p>
      <w:pPr>
        <w:pStyle w:val="FirstParagraph"/>
      </w:pPr>
      <w:r>
        <w:t xml:space="preserve">Each wing includes:</w:t>
      </w:r>
    </w:p>
    <w:p>
      <w:pPr>
        <w:pStyle w:val="BodyText"/>
      </w:pPr>
      <w:r>
        <w:t xml:space="preserve">• General classrooms</w:t>
      </w:r>
      <w:r>
        <w:br/>
      </w:r>
      <w:r>
        <w:t xml:space="preserve">• Science laboratories (Physics, Chemistry, Biology)</w:t>
      </w:r>
      <w:r>
        <w:br/>
      </w:r>
      <w:r>
        <w:t xml:space="preserve">• Laboratory prep rooms</w:t>
      </w:r>
      <w:r>
        <w:br/>
      </w:r>
      <w:r>
        <w:t xml:space="preserve">• ICT laboratories</w:t>
      </w:r>
      <w:r>
        <w:br/>
      </w:r>
      <w:r>
        <w:t xml:space="preserve">• Art &amp; maker studios</w:t>
      </w:r>
      <w:r>
        <w:br/>
      </w:r>
      <w:r>
        <w:t xml:space="preserve">• Music / performance room</w:t>
      </w:r>
      <w:r>
        <w:br/>
      </w:r>
      <w:r>
        <w:t xml:space="preserve">• Faculty offices</w:t>
      </w:r>
      <w:r>
        <w:br/>
      </w:r>
      <w:r>
        <w:t xml:space="preserve">• Student common space</w:t>
      </w:r>
    </w:p>
    <w:p>
      <w:pPr>
        <w:pStyle w:val="BodyText"/>
      </w:pPr>
      <w:r>
        <w:t xml:space="preserve">Shared facilities are centrally located to minimize duplication.</w:t>
      </w:r>
    </w:p>
    <w:p>
      <w:r>
        <w:pict>
          <v:rect style="width:0;height:1.5pt" o:hralign="center" o:hrstd="t" o:hr="t"/>
        </w:pict>
      </w:r>
    </w:p>
    <w:bookmarkEnd w:id="56"/>
    <w:bookmarkStart w:id="57" w:name="specialist-learning-spaces"/>
    <w:p>
      <w:pPr>
        <w:pStyle w:val="Heading2"/>
      </w:pPr>
      <w:r>
        <w:t xml:space="preserve">4.5 Specialist Learning Spaces</w:t>
      </w:r>
    </w:p>
    <w:p>
      <w:pPr>
        <w:pStyle w:val="FirstParagraph"/>
      </w:pPr>
      <w:r>
        <w:t xml:space="preserve">The campus provides curriculum-driven specialist areas including:</w:t>
      </w:r>
    </w:p>
    <w:p>
      <w:pPr>
        <w:pStyle w:val="BodyText"/>
      </w:pPr>
      <w:r>
        <w:t xml:space="preserve">• Science labs with chemical-resistant finishes</w:t>
      </w:r>
      <w:r>
        <w:br/>
      </w:r>
      <w:r>
        <w:t xml:space="preserve">• ICT labs with structured cabling density</w:t>
      </w:r>
      <w:r>
        <w:br/>
      </w:r>
      <w:r>
        <w:t xml:space="preserve">• Art rooms with wash sinks and storage</w:t>
      </w:r>
      <w:r>
        <w:br/>
      </w:r>
      <w:r>
        <w:t xml:space="preserve">• Maker space with enhanced power capacity</w:t>
      </w:r>
      <w:r>
        <w:br/>
      </w:r>
      <w:r>
        <w:t xml:space="preserve">• Music rooms with acoustic treatment</w:t>
      </w:r>
    </w:p>
    <w:p>
      <w:pPr>
        <w:pStyle w:val="BodyText"/>
      </w:pPr>
      <w:r>
        <w:t xml:space="preserve">Quantities are based on shared scheduling assumptions.</w:t>
      </w:r>
    </w:p>
    <w:p>
      <w:r>
        <w:pict>
          <v:rect style="width:0;height:1.5pt" o:hralign="center" o:hrstd="t" o:hr="t"/>
        </w:pict>
      </w:r>
    </w:p>
    <w:bookmarkEnd w:id="57"/>
    <w:bookmarkStart w:id="58" w:name="sen-student-support"/>
    <w:p>
      <w:pPr>
        <w:pStyle w:val="Heading2"/>
      </w:pPr>
      <w:r>
        <w:t xml:space="preserve">4.6 SEN &amp; Student Support</w:t>
      </w:r>
    </w:p>
    <w:p>
      <w:pPr>
        <w:pStyle w:val="FirstParagraph"/>
      </w:pPr>
      <w:r>
        <w:t xml:space="preserve">Dedicated inclusion spaces include:</w:t>
      </w:r>
    </w:p>
    <w:p>
      <w:pPr>
        <w:pStyle w:val="BodyText"/>
      </w:pPr>
      <w:r>
        <w:t xml:space="preserve">• Resource rooms</w:t>
      </w:r>
      <w:r>
        <w:br/>
      </w:r>
      <w:r>
        <w:t xml:space="preserve">• Assessment rooms</w:t>
      </w:r>
      <w:r>
        <w:br/>
      </w:r>
      <w:r>
        <w:t xml:space="preserve">• Therapy rooms</w:t>
      </w:r>
      <w:r>
        <w:br/>
      </w:r>
      <w:r>
        <w:t xml:space="preserve">• Counselling rooms</w:t>
      </w:r>
      <w:r>
        <w:br/>
      </w:r>
      <w:r>
        <w:t xml:space="preserve">• Calm-down / sensory rooms</w:t>
      </w:r>
    </w:p>
    <w:p>
      <w:pPr>
        <w:pStyle w:val="BodyText"/>
      </w:pPr>
      <w:r>
        <w:t xml:space="preserve">These spaces follow international best practice where local codes are silent.</w:t>
      </w:r>
    </w:p>
    <w:p>
      <w:r>
        <w:pict>
          <v:rect style="width:0;height:1.5pt" o:hralign="center" o:hrstd="t" o:hr="t"/>
        </w:pict>
      </w:r>
    </w:p>
    <w:bookmarkEnd w:id="58"/>
    <w:bookmarkStart w:id="59" w:name="administration-academic-offices"/>
    <w:p>
      <w:pPr>
        <w:pStyle w:val="Heading2"/>
      </w:pPr>
      <w:r>
        <w:t xml:space="preserve">4.7 Administration &amp; Academic Offices</w:t>
      </w:r>
    </w:p>
    <w:p>
      <w:pPr>
        <w:pStyle w:val="FirstParagraph"/>
      </w:pPr>
      <w:r>
        <w:t xml:space="preserve">Includes:</w:t>
      </w:r>
    </w:p>
    <w:p>
      <w:pPr>
        <w:pStyle w:val="BodyText"/>
      </w:pPr>
      <w:r>
        <w:t xml:space="preserve">• Main reception &amp; waiting</w:t>
      </w:r>
      <w:r>
        <w:br/>
      </w:r>
      <w:r>
        <w:t xml:space="preserve">• Principal / leadership offices</w:t>
      </w:r>
      <w:r>
        <w:br/>
      </w:r>
      <w:r>
        <w:t xml:space="preserve">• Finance &amp; HR offices</w:t>
      </w:r>
      <w:r>
        <w:br/>
      </w:r>
      <w:r>
        <w:t xml:space="preserve">• Admissions office</w:t>
      </w:r>
      <w:r>
        <w:br/>
      </w:r>
      <w:r>
        <w:t xml:space="preserve">• Records &amp; storage</w:t>
      </w:r>
      <w:r>
        <w:br/>
      </w:r>
      <w:r>
        <w:t xml:space="preserve">• Board room</w:t>
      </w:r>
      <w:r>
        <w:br/>
      </w:r>
      <w:r>
        <w:t xml:space="preserve">• Exam cell</w:t>
      </w:r>
      <w:r>
        <w:br/>
      </w:r>
      <w:r>
        <w:t xml:space="preserve">• Security office</w:t>
      </w:r>
    </w:p>
    <w:p>
      <w:pPr>
        <w:pStyle w:val="BodyText"/>
      </w:pPr>
      <w:r>
        <w:t xml:space="preserve">Public-facing and secure zones are separated.</w:t>
      </w:r>
    </w:p>
    <w:p>
      <w:r>
        <w:pict>
          <v:rect style="width:0;height:1.5pt" o:hralign="center" o:hrstd="t" o:hr="t"/>
        </w:pict>
      </w:r>
    </w:p>
    <w:bookmarkEnd w:id="59"/>
    <w:bookmarkStart w:id="60" w:name="staff-facilities"/>
    <w:p>
      <w:pPr>
        <w:pStyle w:val="Heading2"/>
      </w:pPr>
      <w:r>
        <w:t xml:space="preserve">4.8 Staff Facilities</w:t>
      </w:r>
    </w:p>
    <w:p>
      <w:pPr>
        <w:pStyle w:val="FirstParagraph"/>
      </w:pPr>
      <w:r>
        <w:t xml:space="preserve">Includes:</w:t>
      </w:r>
    </w:p>
    <w:p>
      <w:pPr>
        <w:pStyle w:val="BodyText"/>
      </w:pPr>
      <w:r>
        <w:t xml:space="preserve">• Faculty lounges</w:t>
      </w:r>
      <w:r>
        <w:br/>
      </w:r>
      <w:r>
        <w:t xml:space="preserve">• Department workrooms</w:t>
      </w:r>
      <w:r>
        <w:br/>
      </w:r>
      <w:r>
        <w:t xml:space="preserve">• Professional development room</w:t>
      </w:r>
      <w:r>
        <w:br/>
      </w:r>
      <w:r>
        <w:t xml:space="preserve">• Lockers &amp; staff toilets</w:t>
      </w:r>
    </w:p>
    <w:p>
      <w:pPr>
        <w:pStyle w:val="BodyText"/>
      </w:pPr>
      <w:r>
        <w:t xml:space="preserve">Staff areas are distributed to reduce corridor congestion.</w:t>
      </w:r>
    </w:p>
    <w:p>
      <w:r>
        <w:pict>
          <v:rect style="width:0;height:1.5pt" o:hralign="center" o:hrstd="t" o:hr="t"/>
        </w:pict>
      </w:r>
    </w:p>
    <w:bookmarkEnd w:id="60"/>
    <w:bookmarkStart w:id="61" w:name="dining-food-services"/>
    <w:p>
      <w:pPr>
        <w:pStyle w:val="Heading2"/>
      </w:pPr>
      <w:r>
        <w:t xml:space="preserve">4.9 Dining &amp; Food Services</w:t>
      </w:r>
    </w:p>
    <w:p>
      <w:pPr>
        <w:pStyle w:val="FirstParagraph"/>
      </w:pPr>
      <w:r>
        <w:t xml:space="preserve">Includes:</w:t>
      </w:r>
    </w:p>
    <w:p>
      <w:pPr>
        <w:pStyle w:val="BodyText"/>
      </w:pPr>
      <w:r>
        <w:t xml:space="preserve">• Main dining hall</w:t>
      </w:r>
      <w:r>
        <w:br/>
      </w:r>
      <w:r>
        <w:t xml:space="preserve">• Servery counters</w:t>
      </w:r>
      <w:r>
        <w:br/>
      </w:r>
      <w:r>
        <w:t xml:space="preserve">• Kitchen (optional equipment package)</w:t>
      </w:r>
      <w:r>
        <w:br/>
      </w:r>
      <w:r>
        <w:t xml:space="preserve">• Cold storage</w:t>
      </w:r>
      <w:r>
        <w:br/>
      </w:r>
      <w:r>
        <w:t xml:space="preserve">• Dry storage</w:t>
      </w:r>
      <w:r>
        <w:br/>
      </w:r>
      <w:r>
        <w:t xml:space="preserve">• Dishwashing area</w:t>
      </w:r>
    </w:p>
    <w:p>
      <w:pPr>
        <w:pStyle w:val="BodyText"/>
      </w:pPr>
      <w:r>
        <w:t xml:space="preserve">Dining capacity assumes staggered lunch scheduling.</w:t>
      </w:r>
    </w:p>
    <w:p>
      <w:r>
        <w:pict>
          <v:rect style="width:0;height:1.5pt" o:hralign="center" o:hrstd="t" o:hr="t"/>
        </w:pict>
      </w:r>
    </w:p>
    <w:bookmarkEnd w:id="61"/>
    <w:bookmarkStart w:id="62" w:name="auditorium-multipurpose-hall"/>
    <w:p>
      <w:pPr>
        <w:pStyle w:val="Heading2"/>
      </w:pPr>
      <w:r>
        <w:t xml:space="preserve">4.10 Auditorium &amp; Multipurpose Hall</w:t>
      </w:r>
    </w:p>
    <w:p>
      <w:pPr>
        <w:pStyle w:val="FirstParagraph"/>
      </w:pPr>
      <w:r>
        <w:t xml:space="preserve">Includes:</w:t>
      </w:r>
    </w:p>
    <w:p>
      <w:pPr>
        <w:pStyle w:val="BodyText"/>
      </w:pPr>
      <w:r>
        <w:t xml:space="preserve">• Stage area</w:t>
      </w:r>
      <w:r>
        <w:br/>
      </w:r>
      <w:r>
        <w:t xml:space="preserve">• Seating zone</w:t>
      </w:r>
      <w:r>
        <w:br/>
      </w:r>
      <w:r>
        <w:t xml:space="preserve">• Backstage rooms</w:t>
      </w:r>
      <w:r>
        <w:br/>
      </w:r>
      <w:r>
        <w:t xml:space="preserve">• Control room</w:t>
      </w:r>
      <w:r>
        <w:br/>
      </w:r>
      <w:r>
        <w:t xml:space="preserve">• AV equipment (line item)</w:t>
      </w:r>
    </w:p>
    <w:p>
      <w:pPr>
        <w:pStyle w:val="BodyText"/>
      </w:pPr>
      <w:r>
        <w:t xml:space="preserve">Capacity and acoustic performance to be validated in schematic design.</w:t>
      </w:r>
    </w:p>
    <w:p>
      <w:r>
        <w:pict>
          <v:rect style="width:0;height:1.5pt" o:hralign="center" o:hrstd="t" o:hr="t"/>
        </w:pict>
      </w:r>
    </w:p>
    <w:bookmarkEnd w:id="62"/>
    <w:bookmarkStart w:id="63" w:name="indoor-sports-physical-education"/>
    <w:p>
      <w:pPr>
        <w:pStyle w:val="Heading2"/>
      </w:pPr>
      <w:r>
        <w:t xml:space="preserve">4.11 Indoor Sports &amp; Physical Education</w:t>
      </w:r>
    </w:p>
    <w:p>
      <w:pPr>
        <w:pStyle w:val="FirstParagraph"/>
      </w:pPr>
      <w:r>
        <w:t xml:space="preserve">Includes:</w:t>
      </w:r>
    </w:p>
    <w:p>
      <w:pPr>
        <w:pStyle w:val="BodyText"/>
      </w:pPr>
      <w:r>
        <w:t xml:space="preserve">• Indoor sports hall</w:t>
      </w:r>
      <w:r>
        <w:br/>
      </w:r>
      <w:r>
        <w:t xml:space="preserve">• Changing rooms</w:t>
      </w:r>
      <w:r>
        <w:br/>
      </w:r>
      <w:r>
        <w:t xml:space="preserve">• Equipment storage</w:t>
      </w:r>
      <w:r>
        <w:br/>
      </w:r>
      <w:r>
        <w:t xml:space="preserve">• Staff office</w:t>
      </w:r>
    </w:p>
    <w:p>
      <w:pPr>
        <w:pStyle w:val="BodyText"/>
      </w:pPr>
      <w:r>
        <w:t xml:space="preserve">Outdoor sports fields allocated separately in site planning section.</w:t>
      </w:r>
    </w:p>
    <w:p>
      <w:r>
        <w:pict>
          <v:rect style="width:0;height:1.5pt" o:hralign="center" o:hrstd="t" o:hr="t"/>
        </w:pict>
      </w:r>
    </w:p>
    <w:bookmarkEnd w:id="63"/>
    <w:bookmarkStart w:id="64" w:name="operational-back-of-house-spaces"/>
    <w:p>
      <w:pPr>
        <w:pStyle w:val="Heading2"/>
      </w:pPr>
      <w:r>
        <w:t xml:space="preserve">4.12 Operational &amp; Back-of-House Spaces</w:t>
      </w:r>
    </w:p>
    <w:p>
      <w:pPr>
        <w:pStyle w:val="FirstParagraph"/>
      </w:pPr>
      <w:r>
        <w:t xml:space="preserve">Includes:</w:t>
      </w:r>
    </w:p>
    <w:p>
      <w:pPr>
        <w:pStyle w:val="BodyText"/>
      </w:pPr>
      <w:r>
        <w:t xml:space="preserve">• IT server room (MDF)</w:t>
      </w:r>
      <w:r>
        <w:br/>
      </w:r>
      <w:r>
        <w:t xml:space="preserve">• IDF rooms per floor</w:t>
      </w:r>
      <w:r>
        <w:br/>
      </w:r>
      <w:r>
        <w:t xml:space="preserve">• Electrical rooms</w:t>
      </w:r>
      <w:r>
        <w:br/>
      </w:r>
      <w:r>
        <w:t xml:space="preserve">• Mechanical rooms</w:t>
      </w:r>
      <w:r>
        <w:br/>
      </w:r>
      <w:r>
        <w:t xml:space="preserve">• Fire command center</w:t>
      </w:r>
      <w:r>
        <w:br/>
      </w:r>
      <w:r>
        <w:t xml:space="preserve">• Maintenance workshop</w:t>
      </w:r>
      <w:r>
        <w:br/>
      </w:r>
      <w:r>
        <w:t xml:space="preserve">• Storage rooms</w:t>
      </w:r>
      <w:r>
        <w:br/>
      </w:r>
      <w:r>
        <w:t xml:space="preserve">• Transport office</w:t>
      </w:r>
    </w:p>
    <w:p>
      <w:pPr>
        <w:pStyle w:val="BodyText"/>
      </w:pPr>
      <w:r>
        <w:t xml:space="preserve">Operational efficiency and maintenance access are critical planning drivers.</w:t>
      </w:r>
    </w:p>
    <w:p>
      <w:r>
        <w:pict>
          <v:rect style="width:0;height:1.5pt" o:hralign="center" o:hrstd="t" o:hr="t"/>
        </w:pict>
      </w:r>
    </w:p>
    <w:p>
      <w:pPr>
        <w:pStyle w:val="FirstParagraph"/>
      </w:pPr>
      <w:r>
        <w:t xml:space="preserve">END OF SECTION 04</w:t>
      </w:r>
    </w:p>
    <w:p>
      <w:r>
        <w:pict>
          <v:rect style="width:0;height:1.5pt" o:hralign="center" o:hrstd="t" o:hr="t"/>
        </w:pict>
      </w:r>
    </w:p>
    <w:bookmarkEnd w:id="64"/>
    <w:bookmarkEnd w:id="65"/>
    <w:bookmarkStart w:id="73" w:name="net-to-gross-methodology"/>
    <w:p>
      <w:pPr>
        <w:pStyle w:val="Heading1"/>
      </w:pPr>
      <w:r>
        <w:t xml:space="preserve">05. NET to GROSS Methodology</w:t>
      </w:r>
    </w:p>
    <w:bookmarkStart w:id="66" w:name="net-area-definition"/>
    <w:p>
      <w:pPr>
        <w:pStyle w:val="Heading2"/>
      </w:pPr>
      <w:r>
        <w:t xml:space="preserve">5.1 NET Area Definition</w:t>
      </w:r>
    </w:p>
    <w:p>
      <w:pPr>
        <w:pStyle w:val="FirstParagraph"/>
      </w:pPr>
      <w:r>
        <w:t xml:space="preserve">For the purpose of this Basis of Design, NET Area is defined as the usable internal floor area of a space measured to the internal face of enclosing walls, excluding:</w:t>
      </w:r>
    </w:p>
    <w:p>
      <w:pPr>
        <w:pStyle w:val="BodyText"/>
      </w:pPr>
      <w:r>
        <w:t xml:space="preserve">• Structural columns and shear walls</w:t>
      </w:r>
      <w:r>
        <w:br/>
      </w:r>
      <w:r>
        <w:t xml:space="preserve">• Main vertical shafts</w:t>
      </w:r>
      <w:r>
        <w:br/>
      </w:r>
      <w:r>
        <w:t xml:space="preserve">• Primary circulation corridors</w:t>
      </w:r>
      <w:r>
        <w:br/>
      </w:r>
      <w:r>
        <w:t xml:space="preserve">• Staircases and lift cores</w:t>
      </w:r>
      <w:r>
        <w:br/>
      </w:r>
      <w:r>
        <w:t xml:space="preserve">• Major MEP plant rooms (unless directly serving the space)</w:t>
      </w:r>
    </w:p>
    <w:p>
      <w:pPr>
        <w:pStyle w:val="BodyText"/>
      </w:pPr>
      <w:r>
        <w:t xml:space="preserve">All space programming in Section 04 is based on NET area calculations.</w:t>
      </w:r>
    </w:p>
    <w:p>
      <w:r>
        <w:pict>
          <v:rect style="width:0;height:1.5pt" o:hralign="center" o:hrstd="t" o:hr="t"/>
        </w:pict>
      </w:r>
    </w:p>
    <w:bookmarkEnd w:id="66"/>
    <w:bookmarkStart w:id="67" w:name="grossing-strategy"/>
    <w:p>
      <w:pPr>
        <w:pStyle w:val="Heading2"/>
      </w:pPr>
      <w:r>
        <w:t xml:space="preserve">5.2 Grossing Strategy</w:t>
      </w:r>
    </w:p>
    <w:p>
      <w:pPr>
        <w:pStyle w:val="FirstParagraph"/>
      </w:pPr>
      <w:r>
        <w:t xml:space="preserve">Gross Floor Area (GFA / BUA) is derived by applying category-based grossing factors to the NET program.</w:t>
      </w:r>
    </w:p>
    <w:p>
      <w:pPr>
        <w:pStyle w:val="BodyText"/>
      </w:pPr>
      <w:r>
        <w:t xml:space="preserve">Grossing factors account for:</w:t>
      </w:r>
    </w:p>
    <w:p>
      <w:pPr>
        <w:pStyle w:val="BodyText"/>
      </w:pPr>
      <w:r>
        <w:t xml:space="preserve">• Horizontal circulation (corridors, lobbies)</w:t>
      </w:r>
      <w:r>
        <w:br/>
      </w:r>
      <w:r>
        <w:t xml:space="preserve">• Vertical circulation (stairs, lifts, cores)</w:t>
      </w:r>
      <w:r>
        <w:br/>
      </w:r>
      <w:r>
        <w:t xml:space="preserve">• Structural footprint (columns, walls)</w:t>
      </w:r>
      <w:r>
        <w:br/>
      </w:r>
      <w:r>
        <w:t xml:space="preserve">• Toilets (if not included in net clusters)</w:t>
      </w:r>
      <w:r>
        <w:br/>
      </w:r>
      <w:r>
        <w:t xml:space="preserve">• Service rooms and shafts</w:t>
      </w:r>
      <w:r>
        <w:br/>
      </w:r>
      <w:r>
        <w:t xml:space="preserve">• Wall thickness and envelope build-up</w:t>
      </w:r>
    </w:p>
    <w:p>
      <w:pPr>
        <w:pStyle w:val="BodyText"/>
      </w:pPr>
      <w:r>
        <w:t xml:space="preserve">The project adopts differentiated multipliers by space type rather than a single blanket factor.</w:t>
      </w:r>
    </w:p>
    <w:p>
      <w:r>
        <w:pict>
          <v:rect style="width:0;height:1.5pt" o:hralign="center" o:hrstd="t" o:hr="t"/>
        </w:pict>
      </w:r>
    </w:p>
    <w:bookmarkEnd w:id="67"/>
    <w:bookmarkStart w:id="68" w:name="adopted-grossing-factors"/>
    <w:p>
      <w:pPr>
        <w:pStyle w:val="Heading2"/>
      </w:pPr>
      <w:r>
        <w:t xml:space="preserve">5.3 Adopted Grossing Factors</w:t>
      </w:r>
    </w:p>
    <w:p>
      <w:pPr>
        <w:pStyle w:val="FirstParagraph"/>
      </w:pPr>
      <w:r>
        <w:t xml:space="preserve">The following planning multipliers are applied at BoD stage:</w:t>
      </w:r>
    </w:p>
    <w:p>
      <w:pPr>
        <w:pStyle w:val="BodyText"/>
      </w:pPr>
      <w:r>
        <w:t xml:space="preserve">Academic / Administrative / SEN spaces:</w:t>
      </w:r>
      <w:r>
        <w:t xml:space="preserve"> </w:t>
      </w:r>
      <w:r>
        <w:t xml:space="preserve">NET × 1.45</w:t>
      </w:r>
    </w:p>
    <w:p>
      <w:pPr>
        <w:pStyle w:val="BodyText"/>
      </w:pPr>
      <w:r>
        <w:t xml:space="preserve">High-service areas (Labs / Kitchen / Auditorium / Sports):</w:t>
      </w:r>
      <w:r>
        <w:t xml:space="preserve"> </w:t>
      </w:r>
      <w:r>
        <w:t xml:space="preserve">NET × 1.65</w:t>
      </w:r>
    </w:p>
    <w:p>
      <w:pPr>
        <w:pStyle w:val="BodyText"/>
      </w:pPr>
      <w:r>
        <w:t xml:space="preserve">Operational / Service-heavy spaces:</w:t>
      </w:r>
      <w:r>
        <w:t xml:space="preserve"> </w:t>
      </w:r>
      <w:r>
        <w:t xml:space="preserve">NET × 1.55</w:t>
      </w:r>
    </w:p>
    <w:p>
      <w:pPr>
        <w:pStyle w:val="BodyText"/>
      </w:pPr>
      <w:r>
        <w:t xml:space="preserve">These factors reflect a compact high-density urban campus model and shall be validated during schematic design.</w:t>
      </w:r>
    </w:p>
    <w:p>
      <w:r>
        <w:pict>
          <v:rect style="width:0;height:1.5pt" o:hralign="center" o:hrstd="t" o:hr="t"/>
        </w:pict>
      </w:r>
    </w:p>
    <w:bookmarkEnd w:id="68"/>
    <w:bookmarkStart w:id="69" w:name="circulation-allocation"/>
    <w:p>
      <w:pPr>
        <w:pStyle w:val="Heading2"/>
      </w:pPr>
      <w:r>
        <w:t xml:space="preserve">5.4 Circulation Allocation</w:t>
      </w:r>
    </w:p>
    <w:p>
      <w:pPr>
        <w:pStyle w:val="FirstParagraph"/>
      </w:pPr>
      <w:r>
        <w:t xml:space="preserve">Based on preliminary modeling, circulation components are estimated as:</w:t>
      </w:r>
    </w:p>
    <w:p>
      <w:pPr>
        <w:pStyle w:val="BodyText"/>
      </w:pPr>
      <w:r>
        <w:t xml:space="preserve">• Horizontal circulation: 18–25% of GFA</w:t>
      </w:r>
      <w:r>
        <w:br/>
      </w:r>
      <w:r>
        <w:t xml:space="preserve">• Vertical cores: 6–10% of GFA</w:t>
      </w:r>
    </w:p>
    <w:p>
      <w:pPr>
        <w:pStyle w:val="BodyText"/>
      </w:pPr>
      <w:r>
        <w:t xml:space="preserve">Exact values shall be confirmed through egress calculations (Section 08).</w:t>
      </w:r>
    </w:p>
    <w:p>
      <w:pPr>
        <w:pStyle w:val="BodyText"/>
      </w:pPr>
      <w:r>
        <w:t xml:space="preserve">Due to the 7,000-student capacity, peak movement modeling shall influence final corridor widths and stair count.</w:t>
      </w:r>
    </w:p>
    <w:p>
      <w:r>
        <w:pict>
          <v:rect style="width:0;height:1.5pt" o:hralign="center" o:hrstd="t" o:hr="t"/>
        </w:pict>
      </w:r>
    </w:p>
    <w:bookmarkEnd w:id="69"/>
    <w:bookmarkStart w:id="70" w:name="basement-allocation"/>
    <w:p>
      <w:pPr>
        <w:pStyle w:val="Heading2"/>
      </w:pPr>
      <w:r>
        <w:t xml:space="preserve">5.5 Basement Allocation</w:t>
      </w:r>
    </w:p>
    <w:p>
      <w:pPr>
        <w:pStyle w:val="FirstParagraph"/>
      </w:pPr>
      <w:r>
        <w:t xml:space="preserve">The basement level is allocated primarily for:</w:t>
      </w:r>
    </w:p>
    <w:p>
      <w:pPr>
        <w:pStyle w:val="BodyText"/>
      </w:pPr>
      <w:r>
        <w:t xml:space="preserve">• Staff parking</w:t>
      </w:r>
      <w:r>
        <w:br/>
      </w:r>
      <w:r>
        <w:t xml:space="preserve">• MEP plant (chillers, pumps, tanks)</w:t>
      </w:r>
      <w:r>
        <w:br/>
      </w:r>
      <w:r>
        <w:t xml:space="preserve">• Electrical rooms</w:t>
      </w:r>
      <w:r>
        <w:br/>
      </w:r>
      <w:r>
        <w:t xml:space="preserve">• Storage</w:t>
      </w:r>
      <w:r>
        <w:br/>
      </w:r>
      <w:r>
        <w:t xml:space="preserve">• Fire water tanks</w:t>
      </w:r>
    </w:p>
    <w:p>
      <w:pPr>
        <w:pStyle w:val="BodyText"/>
      </w:pPr>
      <w:r>
        <w:t xml:space="preserve">Basement area is included within total BUA but excluded from site coverage calculation.</w:t>
      </w:r>
    </w:p>
    <w:p>
      <w:pPr>
        <w:pStyle w:val="BodyText"/>
      </w:pPr>
      <w:r>
        <w:t xml:space="preserve">Basement construction cost is expected to be higher per m² than above-grade due to excavation, waterproofing, and structural demands.</w:t>
      </w:r>
    </w:p>
    <w:p>
      <w:r>
        <w:pict>
          <v:rect style="width:0;height:1.5pt" o:hralign="center" o:hrstd="t" o:hr="t"/>
        </w:pict>
      </w:r>
    </w:p>
    <w:bookmarkEnd w:id="70"/>
    <w:bookmarkStart w:id="71" w:name="preliminary-bua-summary"/>
    <w:p>
      <w:pPr>
        <w:pStyle w:val="Heading2"/>
      </w:pPr>
      <w:r>
        <w:t xml:space="preserve">5.6 Preliminary BUA Summary</w:t>
      </w:r>
    </w:p>
    <w:p>
      <w:pPr>
        <w:pStyle w:val="FirstParagraph"/>
      </w:pPr>
      <w:r>
        <w:t xml:space="preserve">Based on the NET program (~33,983 m²) and adopted multipliers:</w:t>
      </w:r>
    </w:p>
    <w:p>
      <w:pPr>
        <w:pStyle w:val="BodyText"/>
      </w:pPr>
      <w:r>
        <w:t xml:space="preserve">Estimated Built-Up Area (BUA): ~52,400 m²</w:t>
      </w:r>
    </w:p>
    <w:p>
      <w:pPr>
        <w:pStyle w:val="BodyText"/>
      </w:pPr>
      <w:r>
        <w:t xml:space="preserve">Distribution (approximate):</w:t>
      </w:r>
    </w:p>
    <w:p>
      <w:pPr>
        <w:pStyle w:val="BodyText"/>
      </w:pPr>
      <w:r>
        <w:t xml:space="preserve">• Primary Zone: ~14,700 m²</w:t>
      </w:r>
      <w:r>
        <w:br/>
      </w:r>
      <w:r>
        <w:t xml:space="preserve">• Boys Wing: ~13,100 m²</w:t>
      </w:r>
      <w:r>
        <w:br/>
      </w:r>
      <w:r>
        <w:t xml:space="preserve">• Girls Wing: ~13,100 m²</w:t>
      </w:r>
      <w:r>
        <w:br/>
      </w:r>
      <w:r>
        <w:t xml:space="preserve">• Shared Facilities: ~11,500 m²</w:t>
      </w:r>
    </w:p>
    <w:p>
      <w:pPr>
        <w:pStyle w:val="BodyText"/>
      </w:pPr>
      <w:r>
        <w:t xml:space="preserve">These figures are planning-level estimates and shall be refined during schematic design.</w:t>
      </w:r>
    </w:p>
    <w:p>
      <w:r>
        <w:pict>
          <v:rect style="width:0;height:1.5pt" o:hralign="center" o:hrstd="t" o:hr="t"/>
        </w:pict>
      </w:r>
    </w:p>
    <w:bookmarkEnd w:id="71"/>
    <w:bookmarkStart w:id="72" w:name="density-classification"/>
    <w:p>
      <w:pPr>
        <w:pStyle w:val="Heading2"/>
      </w:pPr>
      <w:r>
        <w:t xml:space="preserve">5.7 Density Classification</w:t>
      </w:r>
    </w:p>
    <w:p>
      <w:pPr>
        <w:pStyle w:val="FirstParagraph"/>
      </w:pPr>
      <w:r>
        <w:t xml:space="preserve">With a 25,000 m² plot and ~52,400 m² BUA:</w:t>
      </w:r>
    </w:p>
    <w:p>
      <w:pPr>
        <w:pStyle w:val="BodyText"/>
      </w:pPr>
      <w:r>
        <w:t xml:space="preserve">Indicative footprint (3 floors): ~17,500 m² per level</w:t>
      </w:r>
      <w:r>
        <w:br/>
      </w:r>
      <w:r>
        <w:t xml:space="preserve">Site coverage: ~70%</w:t>
      </w:r>
    </w:p>
    <w:p>
      <w:pPr>
        <w:pStyle w:val="BodyText"/>
      </w:pPr>
      <w:r>
        <w:t xml:space="preserve">This classifies the campus as a high-density institutional model requiring careful site and traffic planning.</w:t>
      </w:r>
    </w:p>
    <w:p>
      <w:r>
        <w:pict>
          <v:rect style="width:0;height:1.5pt" o:hralign="center" o:hrstd="t" o:hr="t"/>
        </w:pict>
      </w:r>
    </w:p>
    <w:p>
      <w:pPr>
        <w:pStyle w:val="FirstParagraph"/>
      </w:pPr>
      <w:r>
        <w:t xml:space="preserve">END OF SECTION 05</w:t>
      </w:r>
    </w:p>
    <w:p>
      <w:r>
        <w:pict>
          <v:rect style="width:0;height:1.5pt" o:hralign="center" o:hrstd="t" o:hr="t"/>
        </w:pict>
      </w:r>
    </w:p>
    <w:bookmarkEnd w:id="72"/>
    <w:bookmarkEnd w:id="73"/>
    <w:bookmarkStart w:id="82" w:name="site-feasibility-land-utilization"/>
    <w:p>
      <w:pPr>
        <w:pStyle w:val="Heading1"/>
      </w:pPr>
      <w:r>
        <w:t xml:space="preserve">06. Site Feasibility &amp; Land Utilization</w:t>
      </w:r>
    </w:p>
    <w:bookmarkStart w:id="74" w:name="site-area-overview"/>
    <w:p>
      <w:pPr>
        <w:pStyle w:val="Heading2"/>
      </w:pPr>
      <w:r>
        <w:t xml:space="preserve">6.1 Site Area Overview</w:t>
      </w:r>
    </w:p>
    <w:p>
      <w:pPr>
        <w:pStyle w:val="FirstParagraph"/>
      </w:pPr>
      <w:r>
        <w:t xml:space="preserve">Total Plot Area: 25,000 m²</w:t>
      </w:r>
      <w:r>
        <w:br/>
      </w:r>
      <w:r>
        <w:t xml:space="preserve">Total Estimated BUA: ~52,400 m²</w:t>
      </w:r>
      <w:r>
        <w:br/>
      </w:r>
      <w:r>
        <w:t xml:space="preserve">Estimated Building Footprint (3 floors): ~17,500 m²</w:t>
      </w:r>
      <w:r>
        <w:br/>
      </w:r>
      <w:r>
        <w:t xml:space="preserve">Indicative Site Coverage: ~70%</w:t>
      </w:r>
    </w:p>
    <w:p>
      <w:pPr>
        <w:pStyle w:val="BodyText"/>
      </w:pPr>
      <w:r>
        <w:t xml:space="preserve">The campus is classified as a high-density urban institutional model.</w:t>
      </w:r>
    </w:p>
    <w:p>
      <w:r>
        <w:pict>
          <v:rect style="width:0;height:1.5pt" o:hralign="center" o:hrstd="t" o:hr="t"/>
        </w:pict>
      </w:r>
    </w:p>
    <w:bookmarkEnd w:id="74"/>
    <w:bookmarkStart w:id="75" w:name="building-footprint-analysis"/>
    <w:p>
      <w:pPr>
        <w:pStyle w:val="Heading2"/>
      </w:pPr>
      <w:r>
        <w:t xml:space="preserve">6.2 Building Footprint Analysis</w:t>
      </w:r>
    </w:p>
    <w:p>
      <w:pPr>
        <w:pStyle w:val="FirstParagraph"/>
      </w:pPr>
      <w:r>
        <w:t xml:space="preserve">Assuming three equal floor plates:</w:t>
      </w:r>
    </w:p>
    <w:p>
      <w:pPr>
        <w:pStyle w:val="BodyText"/>
      </w:pPr>
      <w:r>
        <w:t xml:space="preserve">52,400 m² ÷ 3 floors ≈ 17,467 m² per floor</w:t>
      </w:r>
    </w:p>
    <w:p>
      <w:pPr>
        <w:pStyle w:val="BodyText"/>
      </w:pPr>
      <w:r>
        <w:t xml:space="preserve">Rounded planning footprint: ~17,500 m²</w:t>
      </w:r>
    </w:p>
    <w:p>
      <w:pPr>
        <w:pStyle w:val="BodyText"/>
      </w:pPr>
      <w:r>
        <w:t xml:space="preserve">Remaining open site area:</w:t>
      </w:r>
      <w:r>
        <w:t xml:space="preserve"> </w:t>
      </w:r>
      <w:r>
        <w:t xml:space="preserve">25,000 – 17,500 = 7,500 m² (before allocation to circulation &amp; fire access)</w:t>
      </w:r>
    </w:p>
    <w:p>
      <w:pPr>
        <w:pStyle w:val="BodyText"/>
      </w:pPr>
      <w:r>
        <w:t xml:space="preserve">This requires careful multi-use planning of external spaces.</w:t>
      </w:r>
    </w:p>
    <w:p>
      <w:r>
        <w:pict>
          <v:rect style="width:0;height:1.5pt" o:hralign="center" o:hrstd="t" o:hr="t"/>
        </w:pict>
      </w:r>
    </w:p>
    <w:bookmarkEnd w:id="75"/>
    <w:bookmarkStart w:id="76" w:name="fire-access-emergency-perimeter"/>
    <w:p>
      <w:pPr>
        <w:pStyle w:val="Heading2"/>
      </w:pPr>
      <w:r>
        <w:t xml:space="preserve">6.3 Fire Access &amp; Emergency Perimeter</w:t>
      </w:r>
    </w:p>
    <w:p>
      <w:pPr>
        <w:pStyle w:val="FirstParagraph"/>
      </w:pPr>
      <w:r>
        <w:t xml:space="preserve">Fire tender access shall be provided around the building perimeter in accordance with Civil Defense requirements.</w:t>
      </w:r>
    </w:p>
    <w:p>
      <w:pPr>
        <w:pStyle w:val="BodyText"/>
      </w:pPr>
      <w:r>
        <w:t xml:space="preserve">Planning allowance:</w:t>
      </w:r>
    </w:p>
    <w:p>
      <w:pPr>
        <w:pStyle w:val="BodyText"/>
      </w:pPr>
      <w:r>
        <w:t xml:space="preserve">• Fire access lanes and maneuvering zones: 3,000–4,000 m²</w:t>
      </w:r>
    </w:p>
    <w:p>
      <w:pPr>
        <w:pStyle w:val="BodyText"/>
      </w:pPr>
      <w:r>
        <w:t xml:space="preserve">This area may overlap with drop-off and hardscape zones but cannot be obstructed.</w:t>
      </w:r>
    </w:p>
    <w:p>
      <w:r>
        <w:pict>
          <v:rect style="width:0;height:1.5pt" o:hralign="center" o:hrstd="t" o:hr="t"/>
        </w:pict>
      </w:r>
    </w:p>
    <w:bookmarkEnd w:id="76"/>
    <w:bookmarkStart w:id="77" w:name="bus-drop-off-stacking-analysis"/>
    <w:p>
      <w:pPr>
        <w:pStyle w:val="Heading2"/>
      </w:pPr>
      <w:r>
        <w:t xml:space="preserve">6.4 Bus Drop-off &amp; Stacking Analysis</w:t>
      </w:r>
    </w:p>
    <w:p>
      <w:pPr>
        <w:pStyle w:val="FirstParagraph"/>
      </w:pPr>
      <w:r>
        <w:t xml:space="preserve">Assumption:</w:t>
      </w:r>
    </w:p>
    <w:p>
      <w:pPr>
        <w:pStyle w:val="BodyText"/>
      </w:pPr>
      <w:r>
        <w:t xml:space="preserve">• 40% of students use school buses = 2,800 students</w:t>
      </w:r>
      <w:r>
        <w:br/>
      </w:r>
      <w:r>
        <w:t xml:space="preserve">• 50 students per bus</w:t>
      </w:r>
      <w:r>
        <w:br/>
      </w:r>
      <w:r>
        <w:t xml:space="preserve">• Approximate buses required: 56</w:t>
      </w:r>
    </w:p>
    <w:p>
      <w:pPr>
        <w:pStyle w:val="BodyText"/>
      </w:pPr>
      <w:r>
        <w:t xml:space="preserve">Bus stacking, maneuvering, and segregation area:</w:t>
      </w:r>
    </w:p>
    <w:p>
      <w:pPr>
        <w:pStyle w:val="BodyText"/>
      </w:pPr>
      <w:r>
        <w:t xml:space="preserve">Estimated land requirement: 2,500–3,500 m²</w:t>
      </w:r>
    </w:p>
    <w:p>
      <w:pPr>
        <w:pStyle w:val="BodyText"/>
      </w:pPr>
      <w:r>
        <w:t xml:space="preserve">Separate entry and exit loops are recommended to prevent congestion.</w:t>
      </w:r>
    </w:p>
    <w:p>
      <w:r>
        <w:pict>
          <v:rect style="width:0;height:1.5pt" o:hralign="center" o:hrstd="t" o:hr="t"/>
        </w:pict>
      </w:r>
    </w:p>
    <w:bookmarkEnd w:id="77"/>
    <w:bookmarkStart w:id="78" w:name="parent-drop-off-traffic-flow"/>
    <w:p>
      <w:pPr>
        <w:pStyle w:val="Heading2"/>
      </w:pPr>
      <w:r>
        <w:t xml:space="preserve">6.5 Parent Drop-off &amp; Traffic Flow</w:t>
      </w:r>
    </w:p>
    <w:p>
      <w:pPr>
        <w:pStyle w:val="FirstParagraph"/>
      </w:pPr>
      <w:r>
        <w:t xml:space="preserve">Private vehicle drop-off shall be separated from bus traffic.</w:t>
      </w:r>
    </w:p>
    <w:p>
      <w:pPr>
        <w:pStyle w:val="BodyText"/>
      </w:pPr>
      <w:r>
        <w:t xml:space="preserve">Estimated land allocation: 2,000–3,000 m²</w:t>
      </w:r>
    </w:p>
    <w:p>
      <w:pPr>
        <w:pStyle w:val="BodyText"/>
      </w:pPr>
      <w:r>
        <w:t xml:space="preserve">Traffic engineering study may be required by municipality.</w:t>
      </w:r>
    </w:p>
    <w:p>
      <w:pPr>
        <w:pStyle w:val="BodyText"/>
      </w:pPr>
      <w:r>
        <w:t xml:space="preserve">Staggered dismissal scheduling is strongly recommended to reduce congestion.</w:t>
      </w:r>
    </w:p>
    <w:p>
      <w:r>
        <w:pict>
          <v:rect style="width:0;height:1.5pt" o:hralign="center" o:hrstd="t" o:hr="t"/>
        </w:pict>
      </w:r>
    </w:p>
    <w:bookmarkEnd w:id="78"/>
    <w:bookmarkStart w:id="79" w:name="outdoor-sports-allocation"/>
    <w:p>
      <w:pPr>
        <w:pStyle w:val="Heading2"/>
      </w:pPr>
      <w:r>
        <w:t xml:space="preserve">6.6 Outdoor Sports Allocation</w:t>
      </w:r>
    </w:p>
    <w:p>
      <w:pPr>
        <w:pStyle w:val="FirstParagraph"/>
      </w:pPr>
      <w:r>
        <w:t xml:space="preserve">Minimum outdoor allocation target:</w:t>
      </w:r>
    </w:p>
    <w:p>
      <w:pPr>
        <w:pStyle w:val="BodyText"/>
      </w:pPr>
      <w:r>
        <w:t xml:space="preserve">• Multi-use pitch (7-a-side equivalent)</w:t>
      </w:r>
      <w:r>
        <w:br/>
      </w:r>
      <w:r>
        <w:t xml:space="preserve">• 2–3 courts</w:t>
      </w:r>
      <w:r>
        <w:br/>
      </w:r>
      <w:r>
        <w:t xml:space="preserve">• KG shaded play areas</w:t>
      </w:r>
    </w:p>
    <w:p>
      <w:pPr>
        <w:pStyle w:val="BodyText"/>
      </w:pPr>
      <w:r>
        <w:t xml:space="preserve">Estimated allocation: 5,000–6,500 m²</w:t>
      </w:r>
    </w:p>
    <w:p>
      <w:pPr>
        <w:pStyle w:val="BodyText"/>
      </w:pPr>
      <w:r>
        <w:t xml:space="preserve">Sports and emergency assembly zones may overlap where permitted.</w:t>
      </w:r>
    </w:p>
    <w:p>
      <w:r>
        <w:pict>
          <v:rect style="width:0;height:1.5pt" o:hralign="center" o:hrstd="t" o:hr="t"/>
        </w:pict>
      </w:r>
    </w:p>
    <w:bookmarkEnd w:id="79"/>
    <w:bookmarkStart w:id="80" w:name="emergency-assembly-area"/>
    <w:p>
      <w:pPr>
        <w:pStyle w:val="Heading2"/>
      </w:pPr>
      <w:r>
        <w:t xml:space="preserve">6.7 Emergency Assembly Area</w:t>
      </w:r>
    </w:p>
    <w:p>
      <w:pPr>
        <w:pStyle w:val="FirstParagraph"/>
      </w:pPr>
      <w:r>
        <w:t xml:space="preserve">Emergency assembly requirement (planning assumption):</w:t>
      </w:r>
    </w:p>
    <w:p>
      <w:pPr>
        <w:pStyle w:val="BodyText"/>
      </w:pPr>
      <w:r>
        <w:t xml:space="preserve">0.8–1.0 m² per occupant</w:t>
      </w:r>
      <w:r>
        <w:br/>
      </w:r>
      <w:r>
        <w:t xml:space="preserve">7,000 occupants ≈ 5,600–7,000 m²</w:t>
      </w:r>
    </w:p>
    <w:p>
      <w:pPr>
        <w:pStyle w:val="BodyText"/>
      </w:pPr>
      <w:r>
        <w:t xml:space="preserve">Assembly may utilize sports fields and hardscape courts where safe and compliant.</w:t>
      </w:r>
    </w:p>
    <w:p>
      <w:r>
        <w:pict>
          <v:rect style="width:0;height:1.5pt" o:hralign="center" o:hrstd="t" o:hr="t"/>
        </w:pict>
      </w:r>
    </w:p>
    <w:bookmarkEnd w:id="80"/>
    <w:bookmarkStart w:id="81" w:name="site-constraint-summary"/>
    <w:p>
      <w:pPr>
        <w:pStyle w:val="Heading2"/>
      </w:pPr>
      <w:r>
        <w:t xml:space="preserve">6.8 Site Constraint Summary</w:t>
      </w:r>
    </w:p>
    <w:p>
      <w:pPr>
        <w:pStyle w:val="FirstParagraph"/>
      </w:pPr>
      <w:r>
        <w:t xml:space="preserve">Based on current modeling:</w:t>
      </w:r>
    </w:p>
    <w:p>
      <w:pPr>
        <w:pStyle w:val="BodyText"/>
      </w:pPr>
      <w:r>
        <w:t xml:space="preserve">• Academic footprint feasible but dense</w:t>
      </w:r>
      <w:r>
        <w:br/>
      </w:r>
      <w:r>
        <w:t xml:space="preserve">• Drop-off congestion risk: High</w:t>
      </w:r>
      <w:r>
        <w:br/>
      </w:r>
      <w:r>
        <w:t xml:space="preserve">• Sports flexibility: Moderate</w:t>
      </w:r>
      <w:r>
        <w:br/>
      </w:r>
      <w:r>
        <w:t xml:space="preserve">• Expansion potential: Limited</w:t>
      </w:r>
    </w:p>
    <w:p>
      <w:pPr>
        <w:pStyle w:val="BodyText"/>
      </w:pPr>
      <w:r>
        <w:t xml:space="preserve">Mitigation strategies:</w:t>
      </w:r>
    </w:p>
    <w:p>
      <w:pPr>
        <w:pStyle w:val="BodyText"/>
      </w:pPr>
      <w:r>
        <w:t xml:space="preserve">• Compact vertical blocks</w:t>
      </w:r>
      <w:r>
        <w:br/>
      </w:r>
      <w:r>
        <w:t xml:space="preserve">• Shared-use external spaces</w:t>
      </w:r>
      <w:r>
        <w:br/>
      </w:r>
      <w:r>
        <w:t xml:space="preserve">• Basement parking for staff</w:t>
      </w:r>
      <w:r>
        <w:br/>
      </w:r>
      <w:r>
        <w:t xml:space="preserve">• Staggered scheduling</w:t>
      </w:r>
      <w:r>
        <w:br/>
      </w:r>
      <w:r>
        <w:t xml:space="preserve">• Efficient traffic engineering design</w:t>
      </w:r>
    </w:p>
    <w:p>
      <w:r>
        <w:pict>
          <v:rect style="width:0;height:1.5pt" o:hralign="center" o:hrstd="t" o:hr="t"/>
        </w:pict>
      </w:r>
    </w:p>
    <w:p>
      <w:pPr>
        <w:pStyle w:val="FirstParagraph"/>
      </w:pPr>
      <w:r>
        <w:t xml:space="preserve">END OF SECTION 06</w:t>
      </w:r>
    </w:p>
    <w:p>
      <w:r>
        <w:pict>
          <v:rect style="width:0;height:1.5pt" o:hralign="center" o:hrstd="t" o:hr="t"/>
        </w:pict>
      </w:r>
    </w:p>
    <w:bookmarkEnd w:id="81"/>
    <w:bookmarkEnd w:id="82"/>
    <w:bookmarkStart w:id="90" w:name="circulation-movement-strategy"/>
    <w:p>
      <w:pPr>
        <w:pStyle w:val="Heading1"/>
      </w:pPr>
      <w:r>
        <w:t xml:space="preserve">07. Circulation &amp; Movement Strategy</w:t>
      </w:r>
    </w:p>
    <w:bookmarkStart w:id="83" w:name="zoning-framework"/>
    <w:p>
      <w:pPr>
        <w:pStyle w:val="Heading2"/>
      </w:pPr>
      <w:r>
        <w:t xml:space="preserve">7.1 Zoning Framework</w:t>
      </w:r>
    </w:p>
    <w:p>
      <w:pPr>
        <w:pStyle w:val="FirstParagraph"/>
      </w:pPr>
      <w:r>
        <w:t xml:space="preserve">The campus circulation strategy is structured around four primary operational zones:</w:t>
      </w:r>
    </w:p>
    <w:p>
      <w:pPr>
        <w:pStyle w:val="BodyText"/>
      </w:pPr>
      <w:r>
        <w:t xml:space="preserve">• Primary Zone (Nursery–Grade 4)</w:t>
      </w:r>
      <w:r>
        <w:br/>
      </w:r>
      <w:r>
        <w:t xml:space="preserve">• Boys Wing (Grades 2–12)</w:t>
      </w:r>
      <w:r>
        <w:br/>
      </w:r>
      <w:r>
        <w:t xml:space="preserve">• Girls Wing (Grades 2–12)</w:t>
      </w:r>
      <w:r>
        <w:br/>
      </w:r>
      <w:r>
        <w:t xml:space="preserve">• Shared Facilities Zone</w:t>
      </w:r>
    </w:p>
    <w:p>
      <w:pPr>
        <w:pStyle w:val="BodyText"/>
      </w:pPr>
      <w:r>
        <w:t xml:space="preserve">Each zone shall have controlled access points and defined vertical circulation cores.</w:t>
      </w:r>
    </w:p>
    <w:p>
      <w:pPr>
        <w:pStyle w:val="BodyText"/>
      </w:pPr>
      <w:r>
        <w:t xml:space="preserve">The design intent is to minimize cross-traffic while preserving efficient shared facility access.</w:t>
      </w:r>
    </w:p>
    <w:p>
      <w:r>
        <w:pict>
          <v:rect style="width:0;height:1.5pt" o:hralign="center" o:hrstd="t" o:hr="t"/>
        </w:pict>
      </w:r>
    </w:p>
    <w:bookmarkEnd w:id="83"/>
    <w:bookmarkStart w:id="84" w:name="peak-arrival-dismissal-modelling"/>
    <w:p>
      <w:pPr>
        <w:pStyle w:val="Heading2"/>
      </w:pPr>
      <w:r>
        <w:t xml:space="preserve">7.2 Peak Arrival &amp; Dismissal Modelling</w:t>
      </w:r>
    </w:p>
    <w:p>
      <w:pPr>
        <w:pStyle w:val="FirstParagraph"/>
      </w:pPr>
      <w:r>
        <w:t xml:space="preserve">The circulation model must accommodate peak loads during:</w:t>
      </w:r>
    </w:p>
    <w:p>
      <w:pPr>
        <w:pStyle w:val="BodyText"/>
      </w:pPr>
      <w:r>
        <w:t xml:space="preserve">• Morning arrival</w:t>
      </w:r>
      <w:r>
        <w:br/>
      </w:r>
      <w:r>
        <w:t xml:space="preserve">• Recess transitions</w:t>
      </w:r>
      <w:r>
        <w:br/>
      </w:r>
      <w:r>
        <w:t xml:space="preserve">• Lunch waves</w:t>
      </w:r>
      <w:r>
        <w:br/>
      </w:r>
      <w:r>
        <w:t xml:space="preserve">• Afternoon dismissal</w:t>
      </w:r>
    </w:p>
    <w:p>
      <w:pPr>
        <w:pStyle w:val="BodyText"/>
      </w:pPr>
      <w:r>
        <w:t xml:space="preserve">Planning considerations:</w:t>
      </w:r>
    </w:p>
    <w:p>
      <w:pPr>
        <w:pStyle w:val="BodyText"/>
      </w:pPr>
      <w:r>
        <w:t xml:space="preserve">• Staggered dismissal times between Primary, Boys, and Girls</w:t>
      </w:r>
      <w:r>
        <w:br/>
      </w:r>
      <w:r>
        <w:t xml:space="preserve">• Separate bus and parent drop-off systems</w:t>
      </w:r>
      <w:r>
        <w:br/>
      </w:r>
      <w:r>
        <w:t xml:space="preserve">• Clear wayfinding and controlled access points</w:t>
      </w:r>
      <w:r>
        <w:br/>
      </w:r>
      <w:r>
        <w:t xml:space="preserve">• Adequate queuing space within shaded external zones</w:t>
      </w:r>
    </w:p>
    <w:p>
      <w:pPr>
        <w:pStyle w:val="BodyText"/>
      </w:pPr>
      <w:r>
        <w:t xml:space="preserve">Movement modelling shall be validated during schematic design using occupancy-based calculations.</w:t>
      </w:r>
    </w:p>
    <w:p>
      <w:r>
        <w:pict>
          <v:rect style="width:0;height:1.5pt" o:hralign="center" o:hrstd="t" o:hr="t"/>
        </w:pict>
      </w:r>
    </w:p>
    <w:bookmarkEnd w:id="84"/>
    <w:bookmarkStart w:id="85" w:name="horizontal-circulation-strategy"/>
    <w:p>
      <w:pPr>
        <w:pStyle w:val="Heading2"/>
      </w:pPr>
      <w:r>
        <w:t xml:space="preserve">7.3 Horizontal Circulation Strategy</w:t>
      </w:r>
    </w:p>
    <w:p>
      <w:pPr>
        <w:pStyle w:val="FirstParagraph"/>
      </w:pPr>
      <w:r>
        <w:t xml:space="preserve">Corridor design principles:</w:t>
      </w:r>
    </w:p>
    <w:p>
      <w:pPr>
        <w:pStyle w:val="BodyText"/>
      </w:pPr>
      <w:r>
        <w:t xml:space="preserve">• Primary corridors sized for peak class change periods</w:t>
      </w:r>
      <w:r>
        <w:br/>
      </w:r>
      <w:r>
        <w:t xml:space="preserve">• Secondary corridors within classroom clusters</w:t>
      </w:r>
      <w:r>
        <w:br/>
      </w:r>
      <w:r>
        <w:t xml:space="preserve">• Visual supervision where required (especially Early Years)</w:t>
      </w:r>
      <w:r>
        <w:br/>
      </w:r>
      <w:r>
        <w:t xml:space="preserve">• Avoidance of dead-end corridors beyond permissible code limits</w:t>
      </w:r>
    </w:p>
    <w:p>
      <w:pPr>
        <w:pStyle w:val="BodyText"/>
      </w:pPr>
      <w:r>
        <w:t xml:space="preserve">Preliminary planning width targets (to be validated by egress calculations):</w:t>
      </w:r>
    </w:p>
    <w:p>
      <w:pPr>
        <w:pStyle w:val="BodyText"/>
      </w:pPr>
      <w:r>
        <w:t xml:space="preserve">• Main corridors: 2.4–3.0 m</w:t>
      </w:r>
      <w:r>
        <w:br/>
      </w:r>
      <w:r>
        <w:t xml:space="preserve">• Secondary corridors: 2.0–2.4 m</w:t>
      </w:r>
    </w:p>
    <w:p>
      <w:pPr>
        <w:pStyle w:val="BodyText"/>
      </w:pPr>
      <w:r>
        <w:t xml:space="preserve">Final widths shall be governed by SBC egress requirements.</w:t>
      </w:r>
    </w:p>
    <w:p>
      <w:r>
        <w:pict>
          <v:rect style="width:0;height:1.5pt" o:hralign="center" o:hrstd="t" o:hr="t"/>
        </w:pict>
      </w:r>
    </w:p>
    <w:bookmarkEnd w:id="85"/>
    <w:bookmarkStart w:id="86" w:name="vertical-circulation-stairs-lifts"/>
    <w:p>
      <w:pPr>
        <w:pStyle w:val="Heading2"/>
      </w:pPr>
      <w:r>
        <w:t xml:space="preserve">7.4 Vertical Circulation (Stairs &amp; Lifts)</w:t>
      </w:r>
    </w:p>
    <w:p>
      <w:pPr>
        <w:pStyle w:val="FirstParagraph"/>
      </w:pPr>
      <w:r>
        <w:t xml:space="preserve">Given the 7,000-student capacity, multiple stair cores are required.</w:t>
      </w:r>
    </w:p>
    <w:p>
      <w:pPr>
        <w:pStyle w:val="BodyText"/>
      </w:pPr>
      <w:r>
        <w:t xml:space="preserve">Planning principles:</w:t>
      </w:r>
    </w:p>
    <w:p>
      <w:pPr>
        <w:pStyle w:val="BodyText"/>
      </w:pPr>
      <w:r>
        <w:t xml:space="preserve">• Minimum two remote stairs per zone</w:t>
      </w:r>
      <w:r>
        <w:br/>
      </w:r>
      <w:r>
        <w:t xml:space="preserve">• Additional stairs based on occupant load calculations</w:t>
      </w:r>
      <w:r>
        <w:br/>
      </w:r>
      <w:r>
        <w:t xml:space="preserve">• Pressurized stairs where required</w:t>
      </w:r>
      <w:r>
        <w:br/>
      </w:r>
      <w:r>
        <w:t xml:space="preserve">• Elevator access to all occupied levels for accessibility compliance</w:t>
      </w:r>
    </w:p>
    <w:p>
      <w:pPr>
        <w:pStyle w:val="BodyText"/>
      </w:pPr>
      <w:r>
        <w:t xml:space="preserve">Stair widths and quantities shall be calculated based on occupant load and exit width factors under SBC.</w:t>
      </w:r>
    </w:p>
    <w:p>
      <w:r>
        <w:pict>
          <v:rect style="width:0;height:1.5pt" o:hralign="center" o:hrstd="t" o:hr="t"/>
        </w:pict>
      </w:r>
    </w:p>
    <w:bookmarkEnd w:id="86"/>
    <w:bookmarkStart w:id="87" w:name="accessibility-routes"/>
    <w:p>
      <w:pPr>
        <w:pStyle w:val="Heading2"/>
      </w:pPr>
      <w:r>
        <w:t xml:space="preserve">7.5 Accessibility Routes</w:t>
      </w:r>
    </w:p>
    <w:p>
      <w:pPr>
        <w:pStyle w:val="FirstParagraph"/>
      </w:pPr>
      <w:r>
        <w:t xml:space="preserve">The campus shall provide barrier-free movement including:</w:t>
      </w:r>
    </w:p>
    <w:p>
      <w:pPr>
        <w:pStyle w:val="BodyText"/>
      </w:pPr>
      <w:r>
        <w:t xml:space="preserve">• Accessible main entrances</w:t>
      </w:r>
      <w:r>
        <w:br/>
      </w:r>
      <w:r>
        <w:t xml:space="preserve">• Elevator access to upper floors</w:t>
      </w:r>
      <w:r>
        <w:br/>
      </w:r>
      <w:r>
        <w:t xml:space="preserve">• Accessible toilet facilities</w:t>
      </w:r>
      <w:r>
        <w:br/>
      </w:r>
      <w:r>
        <w:t xml:space="preserve">• Ramps where level changes occur</w:t>
      </w:r>
      <w:r>
        <w:br/>
      </w:r>
      <w:r>
        <w:t xml:space="preserve">• Tactile signage where required</w:t>
      </w:r>
    </w:p>
    <w:p>
      <w:pPr>
        <w:pStyle w:val="BodyText"/>
      </w:pPr>
      <w:r>
        <w:t xml:space="preserve">Accessible routes shall connect all primary functions including classrooms, library, auditorium, dining, and sports hall.</w:t>
      </w:r>
    </w:p>
    <w:p>
      <w:r>
        <w:pict>
          <v:rect style="width:0;height:1.5pt" o:hralign="center" o:hrstd="t" o:hr="t"/>
        </w:pict>
      </w:r>
    </w:p>
    <w:bookmarkEnd w:id="87"/>
    <w:bookmarkStart w:id="88" w:name="security-supervision-strategy"/>
    <w:p>
      <w:pPr>
        <w:pStyle w:val="Heading2"/>
      </w:pPr>
      <w:r>
        <w:t xml:space="preserve">7.6 Security &amp; Supervision Strategy</w:t>
      </w:r>
    </w:p>
    <w:p>
      <w:pPr>
        <w:pStyle w:val="FirstParagraph"/>
      </w:pPr>
      <w:r>
        <w:t xml:space="preserve">Movement design shall incorporate:</w:t>
      </w:r>
    </w:p>
    <w:p>
      <w:pPr>
        <w:pStyle w:val="BodyText"/>
      </w:pPr>
      <w:r>
        <w:t xml:space="preserve">• Controlled entry points</w:t>
      </w:r>
      <w:r>
        <w:br/>
      </w:r>
      <w:r>
        <w:t xml:space="preserve">• Security screening at main access</w:t>
      </w:r>
      <w:r>
        <w:br/>
      </w:r>
      <w:r>
        <w:t xml:space="preserve">• Visual monitoring of high-traffic areas</w:t>
      </w:r>
      <w:r>
        <w:br/>
      </w:r>
      <w:r>
        <w:t xml:space="preserve">• Separation of visitor and student flows</w:t>
      </w:r>
      <w:r>
        <w:br/>
      </w:r>
      <w:r>
        <w:t xml:space="preserve">• Integration of CCTV and access control systems</w:t>
      </w:r>
    </w:p>
    <w:p>
      <w:pPr>
        <w:pStyle w:val="BodyText"/>
      </w:pPr>
      <w:r>
        <w:t xml:space="preserve">Security zoning shall not compromise life safety egress paths.</w:t>
      </w:r>
    </w:p>
    <w:p>
      <w:r>
        <w:pict>
          <v:rect style="width:0;height:1.5pt" o:hralign="center" o:hrstd="t" o:hr="t"/>
        </w:pict>
      </w:r>
    </w:p>
    <w:bookmarkEnd w:id="88"/>
    <w:bookmarkStart w:id="89" w:name="circulation-risk-assessment"/>
    <w:p>
      <w:pPr>
        <w:pStyle w:val="Heading2"/>
      </w:pPr>
      <w:r>
        <w:t xml:space="preserve">7.7 Circulation Risk Assessment</w:t>
      </w:r>
    </w:p>
    <w:p>
      <w:pPr>
        <w:pStyle w:val="FirstParagraph"/>
      </w:pPr>
      <w:r>
        <w:t xml:space="preserve">Primary circulation risks identified at BoD stage:</w:t>
      </w:r>
    </w:p>
    <w:p>
      <w:pPr>
        <w:pStyle w:val="BodyText"/>
      </w:pPr>
      <w:r>
        <w:t xml:space="preserve">• Congestion during dismissal</w:t>
      </w:r>
      <w:r>
        <w:br/>
      </w:r>
      <w:r>
        <w:t xml:space="preserve">• Vertical core overload if under-sized</w:t>
      </w:r>
      <w:r>
        <w:br/>
      </w:r>
      <w:r>
        <w:t xml:space="preserve">• Corridor crowding during peak transitions</w:t>
      </w:r>
      <w:r>
        <w:br/>
      </w:r>
      <w:r>
        <w:t xml:space="preserve">• Overlapping access to shared facilities</w:t>
      </w:r>
    </w:p>
    <w:p>
      <w:pPr>
        <w:pStyle w:val="BodyText"/>
      </w:pPr>
      <w:r>
        <w:t xml:space="preserve">Mitigation measures:</w:t>
      </w:r>
    </w:p>
    <w:p>
      <w:pPr>
        <w:pStyle w:val="BodyText"/>
      </w:pPr>
      <w:r>
        <w:t xml:space="preserve">• Adequate stair core redundancy</w:t>
      </w:r>
      <w:r>
        <w:br/>
      </w:r>
      <w:r>
        <w:t xml:space="preserve">• Staggered scheduling</w:t>
      </w:r>
      <w:r>
        <w:br/>
      </w:r>
      <w:r>
        <w:t xml:space="preserve">• Wide main corridors</w:t>
      </w:r>
      <w:r>
        <w:br/>
      </w:r>
      <w:r>
        <w:t xml:space="preserve">• Distributed shared facilities</w:t>
      </w:r>
    </w:p>
    <w:p>
      <w:r>
        <w:pict>
          <v:rect style="width:0;height:1.5pt" o:hralign="center" o:hrstd="t" o:hr="t"/>
        </w:pict>
      </w:r>
    </w:p>
    <w:p>
      <w:pPr>
        <w:pStyle w:val="FirstParagraph"/>
      </w:pPr>
      <w:r>
        <w:t xml:space="preserve">END OF SECTION 07</w:t>
      </w:r>
    </w:p>
    <w:p>
      <w:r>
        <w:pict>
          <v:rect style="width:0;height:1.5pt" o:hralign="center" o:hrstd="t" o:hr="t"/>
        </w:pict>
      </w:r>
    </w:p>
    <w:bookmarkEnd w:id="89"/>
    <w:bookmarkEnd w:id="90"/>
    <w:bookmarkStart w:id="100" w:name="life-safety-code-compliance"/>
    <w:p>
      <w:pPr>
        <w:pStyle w:val="Heading1"/>
      </w:pPr>
      <w:r>
        <w:t xml:space="preserve">08. Life Safety &amp; Code Compliance</w:t>
      </w:r>
    </w:p>
    <w:bookmarkStart w:id="91" w:name="occupancy-classification"/>
    <w:p>
      <w:pPr>
        <w:pStyle w:val="Heading2"/>
      </w:pPr>
      <w:r>
        <w:t xml:space="preserve">8.1 Occupancy Classification</w:t>
      </w:r>
    </w:p>
    <w:p>
      <w:pPr>
        <w:pStyle w:val="FirstParagraph"/>
      </w:pPr>
      <w:r>
        <w:t xml:space="preserve">The primary occupancy classification for the campus shall be Educational (Group E) in accordance with SBC 201.</w:t>
      </w:r>
    </w:p>
    <w:p>
      <w:pPr>
        <w:pStyle w:val="BodyText"/>
      </w:pPr>
      <w:r>
        <w:t xml:space="preserve">Additional mixed occupancies may include:</w:t>
      </w:r>
    </w:p>
    <w:p>
      <w:pPr>
        <w:pStyle w:val="BodyText"/>
      </w:pPr>
      <w:r>
        <w:t xml:space="preserve">• Assembly areas (Auditorium, Multipurpose Hall)</w:t>
      </w:r>
      <w:r>
        <w:br/>
      </w:r>
      <w:r>
        <w:t xml:space="preserve">• Business occupancy (Administrative offices)</w:t>
      </w:r>
      <w:r>
        <w:br/>
      </w:r>
      <w:r>
        <w:t xml:space="preserve">• Storage / Utility areas</w:t>
      </w:r>
    </w:p>
    <w:p>
      <w:pPr>
        <w:pStyle w:val="BodyText"/>
      </w:pPr>
      <w:r>
        <w:t xml:space="preserve">Where mixed occupancies occur, compliance shall be evaluated in accordance with SBC mixed-use provisions, including separation requirements and fire-resistance ratings.</w:t>
      </w:r>
    </w:p>
    <w:p>
      <w:r>
        <w:pict>
          <v:rect style="width:0;height:1.5pt" o:hralign="center" o:hrstd="t" o:hr="t"/>
        </w:pict>
      </w:r>
    </w:p>
    <w:bookmarkEnd w:id="91"/>
    <w:bookmarkStart w:id="92" w:name="occupant-load-methodology"/>
    <w:p>
      <w:pPr>
        <w:pStyle w:val="Heading2"/>
      </w:pPr>
      <w:r>
        <w:t xml:space="preserve">8.2 Occupant Load Methodology</w:t>
      </w:r>
    </w:p>
    <w:p>
      <w:pPr>
        <w:pStyle w:val="FirstParagraph"/>
      </w:pPr>
      <w:r>
        <w:t xml:space="preserve">Occupant load shall be calculated using the factors prescribed in SBC 201 for each functional space type.</w:t>
      </w:r>
    </w:p>
    <w:p>
      <w:pPr>
        <w:pStyle w:val="BodyText"/>
      </w:pPr>
      <w:r>
        <w:t xml:space="preserve">Key principles:</w:t>
      </w:r>
    </w:p>
    <w:p>
      <w:pPr>
        <w:pStyle w:val="BodyText"/>
      </w:pPr>
      <w:r>
        <w:t xml:space="preserve">• Classroom occupant load based on area factor per person</w:t>
      </w:r>
      <w:r>
        <w:br/>
      </w:r>
      <w:r>
        <w:t xml:space="preserve">• Assembly spaces calculated using concentrated and unconcentrated seating factors</w:t>
      </w:r>
      <w:r>
        <w:br/>
      </w:r>
      <w:r>
        <w:t xml:space="preserve">• Dining areas calculated per prescribed occupancy factor</w:t>
      </w:r>
      <w:r>
        <w:br/>
      </w:r>
      <w:r>
        <w:t xml:space="preserve">• Corridors, stairs, and lobbies sized based on total occupant discharge requirements</w:t>
      </w:r>
    </w:p>
    <w:p>
      <w:pPr>
        <w:pStyle w:val="BodyText"/>
      </w:pPr>
      <w:r>
        <w:t xml:space="preserve">Total building occupant load shall be validated against the 7,000-student planning assumption.</w:t>
      </w:r>
    </w:p>
    <w:p>
      <w:r>
        <w:pict>
          <v:rect style="width:0;height:1.5pt" o:hralign="center" o:hrstd="t" o:hr="t"/>
        </w:pict>
      </w:r>
    </w:p>
    <w:bookmarkEnd w:id="92"/>
    <w:bookmarkStart w:id="93" w:name="means-of-egress-strategy"/>
    <w:p>
      <w:pPr>
        <w:pStyle w:val="Heading2"/>
      </w:pPr>
      <w:r>
        <w:t xml:space="preserve">8.3 Means of Egress Strategy</w:t>
      </w:r>
    </w:p>
    <w:p>
      <w:pPr>
        <w:pStyle w:val="FirstParagraph"/>
      </w:pPr>
      <w:r>
        <w:t xml:space="preserve">Means of egress shall comply with SBC requirements for:</w:t>
      </w:r>
    </w:p>
    <w:p>
      <w:pPr>
        <w:pStyle w:val="BodyText"/>
      </w:pPr>
      <w:r>
        <w:t xml:space="preserve">• Minimum number of exits per floor</w:t>
      </w:r>
      <w:r>
        <w:br/>
      </w:r>
      <w:r>
        <w:t xml:space="preserve">• Exit separation distance</w:t>
      </w:r>
      <w:r>
        <w:br/>
      </w:r>
      <w:r>
        <w:t xml:space="preserve">• Maximum travel distance</w:t>
      </w:r>
      <w:r>
        <w:br/>
      </w:r>
      <w:r>
        <w:t xml:space="preserve">• Dead-end corridor limitations</w:t>
      </w:r>
      <w:r>
        <w:br/>
      </w:r>
      <w:r>
        <w:t xml:space="preserve">• Exit discharge to public way</w:t>
      </w:r>
    </w:p>
    <w:p>
      <w:pPr>
        <w:pStyle w:val="BodyText"/>
      </w:pPr>
      <w:r>
        <w:t xml:space="preserve">Each wing (Primary, Boys, Girls, Shared) shall be evaluated independently for compliance.</w:t>
      </w:r>
    </w:p>
    <w:p>
      <w:r>
        <w:pict>
          <v:rect style="width:0;height:1.5pt" o:hralign="center" o:hrstd="t" o:hr="t"/>
        </w:pict>
      </w:r>
    </w:p>
    <w:bookmarkEnd w:id="93"/>
    <w:bookmarkStart w:id="94" w:name="exit-width-stair-sizing"/>
    <w:p>
      <w:pPr>
        <w:pStyle w:val="Heading2"/>
      </w:pPr>
      <w:r>
        <w:t xml:space="preserve">8.4 Exit Width &amp; Stair Sizing</w:t>
      </w:r>
    </w:p>
    <w:p>
      <w:pPr>
        <w:pStyle w:val="FirstParagraph"/>
      </w:pPr>
      <w:r>
        <w:t xml:space="preserve">Exit width calculations shall be based on:</w:t>
      </w:r>
    </w:p>
    <w:p>
      <w:pPr>
        <w:pStyle w:val="BodyText"/>
      </w:pPr>
      <w:r>
        <w:t xml:space="preserve">• Total occupant load per floor</w:t>
      </w:r>
      <w:r>
        <w:br/>
      </w:r>
      <w:r>
        <w:t xml:space="preserve">• Prescribed width factors for stairs and level components</w:t>
      </w:r>
      <w:r>
        <w:br/>
      </w:r>
      <w:r>
        <w:t xml:space="preserve">• Distribution of occupants across available exits</w:t>
      </w:r>
    </w:p>
    <w:p>
      <w:pPr>
        <w:pStyle w:val="BodyText"/>
      </w:pPr>
      <w:r>
        <w:t xml:space="preserve">Multiple stair cores shall be distributed to avoid concentration of occupant load in a single vertical shaft.</w:t>
      </w:r>
    </w:p>
    <w:p>
      <w:pPr>
        <w:pStyle w:val="BodyText"/>
      </w:pPr>
      <w:r>
        <w:t xml:space="preserve">Final stair count and width shall be confirmed during schematic design following detailed occupant calculations.</w:t>
      </w:r>
    </w:p>
    <w:p>
      <w:r>
        <w:pict>
          <v:rect style="width:0;height:1.5pt" o:hralign="center" o:hrstd="t" o:hr="t"/>
        </w:pict>
      </w:r>
    </w:p>
    <w:bookmarkEnd w:id="94"/>
    <w:bookmarkStart w:id="95" w:name="travel-distance-common-path-of-egress"/>
    <w:p>
      <w:pPr>
        <w:pStyle w:val="Heading2"/>
      </w:pPr>
      <w:r>
        <w:t xml:space="preserve">8.5 Travel Distance &amp; Common Path of Egress</w:t>
      </w:r>
    </w:p>
    <w:p>
      <w:pPr>
        <w:pStyle w:val="FirstParagraph"/>
      </w:pPr>
      <w:r>
        <w:t xml:space="preserve">Maximum travel distances and common path limitations shall be evaluated in accordance with SBC.</w:t>
      </w:r>
    </w:p>
    <w:p>
      <w:pPr>
        <w:pStyle w:val="BodyText"/>
      </w:pPr>
      <w:r>
        <w:t xml:space="preserve">Corridor lengths and classroom cluster layouts shall be arranged to avoid excessive dead ends.</w:t>
      </w:r>
    </w:p>
    <w:p>
      <w:pPr>
        <w:pStyle w:val="BodyText"/>
      </w:pPr>
      <w:r>
        <w:t xml:space="preserve">Fire-rated corridor construction shall be applied where required.</w:t>
      </w:r>
    </w:p>
    <w:p>
      <w:r>
        <w:pict>
          <v:rect style="width:0;height:1.5pt" o:hralign="center" o:hrstd="t" o:hr="t"/>
        </w:pict>
      </w:r>
    </w:p>
    <w:bookmarkEnd w:id="95"/>
    <w:bookmarkStart w:id="96" w:name="fire-compartmentation-strategy"/>
    <w:p>
      <w:pPr>
        <w:pStyle w:val="Heading2"/>
      </w:pPr>
      <w:r>
        <w:t xml:space="preserve">8.6 Fire Compartmentation Strategy</w:t>
      </w:r>
    </w:p>
    <w:p>
      <w:pPr>
        <w:pStyle w:val="FirstParagraph"/>
      </w:pPr>
      <w:r>
        <w:t xml:space="preserve">The campus shall implement a compartmentation strategy that includes:</w:t>
      </w:r>
    </w:p>
    <w:p>
      <w:pPr>
        <w:pStyle w:val="BodyText"/>
      </w:pPr>
      <w:r>
        <w:t xml:space="preserve">• Fire-rated stair enclosures</w:t>
      </w:r>
      <w:r>
        <w:br/>
      </w:r>
      <w:r>
        <w:t xml:space="preserve">• Separation between major occupancy types</w:t>
      </w:r>
      <w:r>
        <w:br/>
      </w:r>
      <w:r>
        <w:t xml:space="preserve">• Fire-rated shafts and service risers</w:t>
      </w:r>
      <w:r>
        <w:br/>
      </w:r>
      <w:r>
        <w:t xml:space="preserve">• Horizontal separation between high-risk areas (kitchen, labs, plant rooms)</w:t>
      </w:r>
    </w:p>
    <w:p>
      <w:pPr>
        <w:pStyle w:val="BodyText"/>
      </w:pPr>
      <w:r>
        <w:t xml:space="preserve">Fire resistance ratings shall be determined in accordance with SBC construction type and building height classification.</w:t>
      </w:r>
    </w:p>
    <w:p>
      <w:r>
        <w:pict>
          <v:rect style="width:0;height:1.5pt" o:hralign="center" o:hrstd="t" o:hr="t"/>
        </w:pict>
      </w:r>
    </w:p>
    <w:bookmarkEnd w:id="96"/>
    <w:bookmarkStart w:id="97" w:name="fire-protection-systems"/>
    <w:p>
      <w:pPr>
        <w:pStyle w:val="Heading2"/>
      </w:pPr>
      <w:r>
        <w:t xml:space="preserve">8.7 Fire Protection Systems</w:t>
      </w:r>
    </w:p>
    <w:p>
      <w:pPr>
        <w:pStyle w:val="FirstParagraph"/>
      </w:pPr>
      <w:r>
        <w:t xml:space="preserve">The building shall include:</w:t>
      </w:r>
    </w:p>
    <w:p>
      <w:pPr>
        <w:pStyle w:val="BodyText"/>
      </w:pPr>
      <w:r>
        <w:t xml:space="preserve">• Automatic sprinkler system (as required by occupancy and height)</w:t>
      </w:r>
      <w:r>
        <w:br/>
      </w:r>
      <w:r>
        <w:t xml:space="preserve">• Fire alarm and voice evacuation system</w:t>
      </w:r>
      <w:r>
        <w:br/>
      </w:r>
      <w:r>
        <w:t xml:space="preserve">• Emergency lighting and exit signage</w:t>
      </w:r>
      <w:r>
        <w:br/>
      </w:r>
      <w:r>
        <w:t xml:space="preserve">• Fire hose reels and extinguishers</w:t>
      </w:r>
      <w:r>
        <w:br/>
      </w:r>
      <w:r>
        <w:t xml:space="preserve">• Fire command center</w:t>
      </w:r>
    </w:p>
    <w:p>
      <w:pPr>
        <w:pStyle w:val="BodyText"/>
      </w:pPr>
      <w:r>
        <w:t xml:space="preserve">System design shall be coordinated with Civil Defense requirements.</w:t>
      </w:r>
    </w:p>
    <w:p>
      <w:r>
        <w:pict>
          <v:rect style="width:0;height:1.5pt" o:hralign="center" o:hrstd="t" o:hr="t"/>
        </w:pict>
      </w:r>
    </w:p>
    <w:bookmarkEnd w:id="97"/>
    <w:bookmarkStart w:id="98" w:name="smoke-control-pressurization"/>
    <w:p>
      <w:pPr>
        <w:pStyle w:val="Heading2"/>
      </w:pPr>
      <w:r>
        <w:t xml:space="preserve">8.8 Smoke Control &amp; Pressurization</w:t>
      </w:r>
    </w:p>
    <w:p>
      <w:pPr>
        <w:pStyle w:val="FirstParagraph"/>
      </w:pPr>
      <w:r>
        <w:t xml:space="preserve">Where required by SBC and building height, the following systems shall be incorporated:</w:t>
      </w:r>
    </w:p>
    <w:p>
      <w:pPr>
        <w:pStyle w:val="BodyText"/>
      </w:pPr>
      <w:r>
        <w:t xml:space="preserve">• Stair pressurization systems</w:t>
      </w:r>
      <w:r>
        <w:br/>
      </w:r>
      <w:r>
        <w:t xml:space="preserve">• Smoke extraction for large assembly spaces</w:t>
      </w:r>
      <w:r>
        <w:br/>
      </w:r>
      <w:r>
        <w:t xml:space="preserve">• Mechanical ventilation interlocks</w:t>
      </w:r>
    </w:p>
    <w:p>
      <w:pPr>
        <w:pStyle w:val="BodyText"/>
      </w:pPr>
      <w:r>
        <w:t xml:space="preserve">Detailed smoke control design shall be undertaken at schematic stage.</w:t>
      </w:r>
    </w:p>
    <w:p>
      <w:r>
        <w:pict>
          <v:rect style="width:0;height:1.5pt" o:hralign="center" o:hrstd="t" o:hr="t"/>
        </w:pict>
      </w:r>
    </w:p>
    <w:bookmarkEnd w:id="98"/>
    <w:bookmarkStart w:id="99" w:name="life-safety-risk-assessment"/>
    <w:p>
      <w:pPr>
        <w:pStyle w:val="Heading2"/>
      </w:pPr>
      <w:r>
        <w:t xml:space="preserve">8.9 Life Safety Risk Assessment</w:t>
      </w:r>
    </w:p>
    <w:p>
      <w:pPr>
        <w:pStyle w:val="FirstParagraph"/>
      </w:pPr>
      <w:r>
        <w:t xml:space="preserve">Preliminary risk considerations for a 7,000-student campus include:</w:t>
      </w:r>
    </w:p>
    <w:p>
      <w:pPr>
        <w:pStyle w:val="BodyText"/>
      </w:pPr>
      <w:r>
        <w:t xml:space="preserve">• High occupant density during dismissal</w:t>
      </w:r>
      <w:r>
        <w:br/>
      </w:r>
      <w:r>
        <w:t xml:space="preserve">• Vertical evacuation loads</w:t>
      </w:r>
      <w:r>
        <w:br/>
      </w:r>
      <w:r>
        <w:t xml:space="preserve">• Assembly occupancy surges</w:t>
      </w:r>
      <w:r>
        <w:br/>
      </w:r>
      <w:r>
        <w:t xml:space="preserve">• Kitchen and laboratory fire hazards</w:t>
      </w:r>
    </w:p>
    <w:p>
      <w:pPr>
        <w:pStyle w:val="BodyText"/>
      </w:pPr>
      <w:r>
        <w:t xml:space="preserve">Mitigation strategies include:</w:t>
      </w:r>
    </w:p>
    <w:p>
      <w:pPr>
        <w:pStyle w:val="BodyText"/>
      </w:pPr>
      <w:r>
        <w:t xml:space="preserve">• Distributed stair cores</w:t>
      </w:r>
      <w:r>
        <w:br/>
      </w:r>
      <w:r>
        <w:t xml:space="preserve">• Zoned evacuation strategy</w:t>
      </w:r>
      <w:r>
        <w:br/>
      </w:r>
      <w:r>
        <w:t xml:space="preserve">• Clear exit signage and redundancy</w:t>
      </w:r>
      <w:r>
        <w:br/>
      </w:r>
      <w:r>
        <w:t xml:space="preserve">• Early detection systems</w:t>
      </w:r>
    </w:p>
    <w:p>
      <w:r>
        <w:pict>
          <v:rect style="width:0;height:1.5pt" o:hralign="center" o:hrstd="t" o:hr="t"/>
        </w:pict>
      </w:r>
    </w:p>
    <w:p>
      <w:pPr>
        <w:pStyle w:val="FirstParagraph"/>
      </w:pPr>
      <w:r>
        <w:t xml:space="preserve">END OF SECTION 08</w:t>
      </w:r>
    </w:p>
    <w:p>
      <w:r>
        <w:pict>
          <v:rect style="width:0;height:1.5pt" o:hralign="center" o:hrstd="t" o:hr="t"/>
        </w:pict>
      </w:r>
    </w:p>
    <w:bookmarkEnd w:id="99"/>
    <w:bookmarkEnd w:id="100"/>
    <w:bookmarkStart w:id="112" w:name="architectural-standards"/>
    <w:p>
      <w:pPr>
        <w:pStyle w:val="Heading1"/>
      </w:pPr>
      <w:r>
        <w:t xml:space="preserve">09. Architectural Standards</w:t>
      </w:r>
    </w:p>
    <w:bookmarkStart w:id="101" w:name="design-intent"/>
    <w:p>
      <w:pPr>
        <w:pStyle w:val="Heading2"/>
      </w:pPr>
      <w:r>
        <w:t xml:space="preserve">9.1 Design Intent</w:t>
      </w:r>
    </w:p>
    <w:p>
      <w:pPr>
        <w:pStyle w:val="FirstParagraph"/>
      </w:pPr>
      <w:r>
        <w:t xml:space="preserve">The architectural standards for the PISES New Campus shall reflect a durable, mid-level institutional finish appropriate for a high-density educational environment in Riyadh.</w:t>
      </w:r>
    </w:p>
    <w:p>
      <w:pPr>
        <w:pStyle w:val="BodyText"/>
      </w:pPr>
      <w:r>
        <w:t xml:space="preserve">The design shall prioritize:</w:t>
      </w:r>
    </w:p>
    <w:p>
      <w:pPr>
        <w:pStyle w:val="BodyText"/>
      </w:pPr>
      <w:r>
        <w:t xml:space="preserve">• Durability and lifecycle performance</w:t>
      </w:r>
      <w:r>
        <w:br/>
      </w:r>
      <w:r>
        <w:t xml:space="preserve">• Ease of maintenance</w:t>
      </w:r>
      <w:r>
        <w:br/>
      </w:r>
      <w:r>
        <w:t xml:space="preserve">• Thermal performance for hot climate</w:t>
      </w:r>
      <w:r>
        <w:br/>
      </w:r>
      <w:r>
        <w:t xml:space="preserve">• Acoustic comfort for learning</w:t>
      </w:r>
      <w:r>
        <w:br/>
      </w:r>
      <w:r>
        <w:t xml:space="preserve">• Safe and clear wayfinding</w:t>
      </w:r>
      <w:r>
        <w:br/>
      </w:r>
      <w:r>
        <w:t xml:space="preserve">• Institutional identity and cohesive architectural language</w:t>
      </w:r>
    </w:p>
    <w:p>
      <w:r>
        <w:pict>
          <v:rect style="width:0;height:1.5pt" o:hralign="center" o:hrstd="t" o:hr="t"/>
        </w:pict>
      </w:r>
    </w:p>
    <w:bookmarkEnd w:id="101"/>
    <w:bookmarkStart w:id="102" w:name="standard-classroom-template"/>
    <w:p>
      <w:pPr>
        <w:pStyle w:val="Heading2"/>
      </w:pPr>
      <w:r>
        <w:t xml:space="preserve">9.2 Standard Classroom Template</w:t>
      </w:r>
    </w:p>
    <w:p>
      <w:pPr>
        <w:pStyle w:val="FirstParagraph"/>
      </w:pPr>
      <w:r>
        <w:t xml:space="preserve">Each standard classroom shall include:</w:t>
      </w:r>
    </w:p>
    <w:p>
      <w:pPr>
        <w:pStyle w:val="BodyText"/>
      </w:pPr>
      <w:r>
        <w:t xml:space="preserve">• Net area consistent with adopted area-per-student standard</w:t>
      </w:r>
      <w:r>
        <w:br/>
      </w:r>
      <w:r>
        <w:t xml:space="preserve">• Clear ceiling height: 2.9–3.0 m</w:t>
      </w:r>
      <w:r>
        <w:br/>
      </w:r>
      <w:r>
        <w:t xml:space="preserve">• Teaching wall with writable surface</w:t>
      </w:r>
      <w:r>
        <w:br/>
      </w:r>
      <w:r>
        <w:t xml:space="preserve">• Data and power points at teacher location</w:t>
      </w:r>
      <w:r>
        <w:br/>
      </w:r>
      <w:r>
        <w:t xml:space="preserve">• Student desk layout with adequate circulation between rows</w:t>
      </w:r>
      <w:r>
        <w:br/>
      </w:r>
      <w:r>
        <w:t xml:space="preserve">• Storage cabinets or shelving</w:t>
      </w:r>
      <w:r>
        <w:br/>
      </w:r>
      <w:r>
        <w:t xml:space="preserve">• Acoustic ceiling tiles (NRC ≥ 0.70 target)</w:t>
      </w:r>
      <w:r>
        <w:br/>
      </w:r>
      <w:r>
        <w:t xml:space="preserve">• 500 lux average illumination level</w:t>
      </w:r>
    </w:p>
    <w:p>
      <w:pPr>
        <w:pStyle w:val="BodyText"/>
      </w:pPr>
      <w:r>
        <w:t xml:space="preserve">Furniture layout shall ensure clear egress paths and accessibility compliance.</w:t>
      </w:r>
    </w:p>
    <w:p>
      <w:r>
        <w:pict>
          <v:rect style="width:0;height:1.5pt" o:hralign="center" o:hrstd="t" o:hr="t"/>
        </w:pict>
      </w:r>
    </w:p>
    <w:bookmarkEnd w:id="102"/>
    <w:bookmarkStart w:id="107" w:name="finish-standards-mid-level-institutional"/>
    <w:p>
      <w:pPr>
        <w:pStyle w:val="Heading2"/>
      </w:pPr>
      <w:r>
        <w:t xml:space="preserve">9.3 Finish Standards (Mid-Level Institutional)</w:t>
      </w:r>
    </w:p>
    <w:bookmarkStart w:id="103" w:name="flooring"/>
    <w:p>
      <w:pPr>
        <w:pStyle w:val="Heading3"/>
      </w:pPr>
      <w:r>
        <w:t xml:space="preserve">Flooring</w:t>
      </w:r>
    </w:p>
    <w:p>
      <w:pPr>
        <w:pStyle w:val="FirstParagraph"/>
      </w:pPr>
      <w:r>
        <w:t xml:space="preserve">• Classrooms: Commercial homogeneous vinyl (3–4 mm)</w:t>
      </w:r>
      <w:r>
        <w:br/>
      </w:r>
      <w:r>
        <w:t xml:space="preserve">• Labs: Chemical-resistant vinyl</w:t>
      </w:r>
      <w:r>
        <w:br/>
      </w:r>
      <w:r>
        <w:t xml:space="preserve">• Corridors: Heavy-duty vinyl or porcelain tile</w:t>
      </w:r>
      <w:r>
        <w:br/>
      </w:r>
      <w:r>
        <w:t xml:space="preserve">• Toilets: Full ceramic tiling with anti-slip rating</w:t>
      </w:r>
      <w:r>
        <w:br/>
      </w:r>
      <w:r>
        <w:t xml:space="preserve">• Admin: Vinyl or carpet tiles (acoustic)</w:t>
      </w:r>
    </w:p>
    <w:bookmarkEnd w:id="103"/>
    <w:bookmarkStart w:id="104" w:name="walls"/>
    <w:p>
      <w:pPr>
        <w:pStyle w:val="Heading3"/>
      </w:pPr>
      <w:r>
        <w:t xml:space="preserve">Walls</w:t>
      </w:r>
    </w:p>
    <w:p>
      <w:pPr>
        <w:pStyle w:val="FirstParagraph"/>
      </w:pPr>
      <w:r>
        <w:t xml:space="preserve">• Washable acrylic paint finish</w:t>
      </w:r>
      <w:r>
        <w:br/>
      </w:r>
      <w:r>
        <w:t xml:space="preserve">• Tiled splashbacks in wet areas</w:t>
      </w:r>
      <w:r>
        <w:br/>
      </w:r>
      <w:r>
        <w:t xml:space="preserve">• Impact protection where required</w:t>
      </w:r>
    </w:p>
    <w:bookmarkEnd w:id="104"/>
    <w:bookmarkStart w:id="105" w:name="ceilings"/>
    <w:p>
      <w:pPr>
        <w:pStyle w:val="Heading3"/>
      </w:pPr>
      <w:r>
        <w:t xml:space="preserve">Ceilings</w:t>
      </w:r>
    </w:p>
    <w:p>
      <w:pPr>
        <w:pStyle w:val="FirstParagraph"/>
      </w:pPr>
      <w:r>
        <w:t xml:space="preserve">• Mineral fiber acoustic ceiling tiles</w:t>
      </w:r>
      <w:r>
        <w:br/>
      </w:r>
      <w:r>
        <w:t xml:space="preserve">• Gypsum board ceilings in select areas</w:t>
      </w:r>
    </w:p>
    <w:bookmarkEnd w:id="105"/>
    <w:bookmarkStart w:id="106" w:name="doors"/>
    <w:p>
      <w:pPr>
        <w:pStyle w:val="Heading3"/>
      </w:pPr>
      <w:r>
        <w:t xml:space="preserve">Doors</w:t>
      </w:r>
    </w:p>
    <w:p>
      <w:pPr>
        <w:pStyle w:val="FirstParagraph"/>
      </w:pPr>
      <w:r>
        <w:t xml:space="preserve">• Solid core laminate doors</w:t>
      </w:r>
      <w:r>
        <w:br/>
      </w:r>
      <w:r>
        <w:t xml:space="preserve">• Vision panels where required</w:t>
      </w:r>
      <w:r>
        <w:br/>
      </w:r>
      <w:r>
        <w:t xml:space="preserve">• Panic hardware where mandated by code</w:t>
      </w:r>
    </w:p>
    <w:p>
      <w:r>
        <w:pict>
          <v:rect style="width:0;height:1.5pt" o:hralign="center" o:hrstd="t" o:hr="t"/>
        </w:pict>
      </w:r>
    </w:p>
    <w:bookmarkEnd w:id="106"/>
    <w:bookmarkEnd w:id="107"/>
    <w:bookmarkStart w:id="108" w:name="acoustic-standards"/>
    <w:p>
      <w:pPr>
        <w:pStyle w:val="Heading2"/>
      </w:pPr>
      <w:r>
        <w:t xml:space="preserve">9.4 Acoustic Standards</w:t>
      </w:r>
    </w:p>
    <w:p>
      <w:pPr>
        <w:pStyle w:val="FirstParagraph"/>
      </w:pPr>
      <w:r>
        <w:t xml:space="preserve">Acoustic comfort is critical for educational performance.</w:t>
      </w:r>
    </w:p>
    <w:p>
      <w:pPr>
        <w:pStyle w:val="BodyText"/>
      </w:pPr>
      <w:r>
        <w:t xml:space="preserve">Target design criteria:</w:t>
      </w:r>
    </w:p>
    <w:p>
      <w:pPr>
        <w:pStyle w:val="BodyText"/>
      </w:pPr>
      <w:r>
        <w:t xml:space="preserve">• Classrooms: Reverberation time ≤ 0.6–0.8 seconds</w:t>
      </w:r>
      <w:r>
        <w:br/>
      </w:r>
      <w:r>
        <w:t xml:space="preserve">• Acoustic ceiling NRC ≥ 0.70</w:t>
      </w:r>
      <w:r>
        <w:br/>
      </w:r>
      <w:r>
        <w:t xml:space="preserve">• Isolation between adjacent classrooms</w:t>
      </w:r>
      <w:r>
        <w:br/>
      </w:r>
      <w:r>
        <w:t xml:space="preserve">• Enhanced acoustic treatment in music and auditorium spaces</w:t>
      </w:r>
    </w:p>
    <w:p>
      <w:pPr>
        <w:pStyle w:val="BodyText"/>
      </w:pPr>
      <w:r>
        <w:t xml:space="preserve">Detailed acoustic modeling shall be conducted at schematic stage.</w:t>
      </w:r>
    </w:p>
    <w:p>
      <w:r>
        <w:pict>
          <v:rect style="width:0;height:1.5pt" o:hralign="center" o:hrstd="t" o:hr="t"/>
        </w:pict>
      </w:r>
    </w:p>
    <w:bookmarkEnd w:id="108"/>
    <w:bookmarkStart w:id="109" w:name="lighting-standards"/>
    <w:p>
      <w:pPr>
        <w:pStyle w:val="Heading2"/>
      </w:pPr>
      <w:r>
        <w:t xml:space="preserve">9.5 Lighting Standards</w:t>
      </w:r>
    </w:p>
    <w:p>
      <w:pPr>
        <w:pStyle w:val="FirstParagraph"/>
      </w:pPr>
      <w:r>
        <w:t xml:space="preserve">Lighting design targets:</w:t>
      </w:r>
    </w:p>
    <w:p>
      <w:pPr>
        <w:pStyle w:val="BodyText"/>
      </w:pPr>
      <w:r>
        <w:t xml:space="preserve">• Classrooms: 500 lux</w:t>
      </w:r>
      <w:r>
        <w:br/>
      </w:r>
      <w:r>
        <w:t xml:space="preserve">• Corridors: 300 lux</w:t>
      </w:r>
      <w:r>
        <w:br/>
      </w:r>
      <w:r>
        <w:t xml:space="preserve">• Labs: 500–750 lux depending on task</w:t>
      </w:r>
      <w:r>
        <w:br/>
      </w:r>
      <w:r>
        <w:t xml:space="preserve">• Offices: 400 lux</w:t>
      </w:r>
      <w:r>
        <w:br/>
      </w:r>
      <w:r>
        <w:t xml:space="preserve">• Auditorium: Zoned lighting with dimming control</w:t>
      </w:r>
    </w:p>
    <w:p>
      <w:pPr>
        <w:pStyle w:val="BodyText"/>
      </w:pPr>
      <w:r>
        <w:t xml:space="preserve">LED fixtures shall be energy-efficient and DALI-ready for integration with BMS.</w:t>
      </w:r>
    </w:p>
    <w:p>
      <w:r>
        <w:pict>
          <v:rect style="width:0;height:1.5pt" o:hralign="center" o:hrstd="t" o:hr="t"/>
        </w:pict>
      </w:r>
    </w:p>
    <w:bookmarkEnd w:id="109"/>
    <w:bookmarkStart w:id="110" w:name="external-envelope-shading"/>
    <w:p>
      <w:pPr>
        <w:pStyle w:val="Heading2"/>
      </w:pPr>
      <w:r>
        <w:t xml:space="preserve">9.6 External Envelope &amp; Shading</w:t>
      </w:r>
    </w:p>
    <w:p>
      <w:pPr>
        <w:pStyle w:val="FirstParagraph"/>
      </w:pPr>
      <w:r>
        <w:t xml:space="preserve">Given Riyadh climate conditions, façade design shall incorporate:</w:t>
      </w:r>
    </w:p>
    <w:p>
      <w:pPr>
        <w:pStyle w:val="BodyText"/>
      </w:pPr>
      <w:r>
        <w:t xml:space="preserve">• Solar shading devices</w:t>
      </w:r>
      <w:r>
        <w:br/>
      </w:r>
      <w:r>
        <w:t xml:space="preserve">• High-performance glazing</w:t>
      </w:r>
      <w:r>
        <w:br/>
      </w:r>
      <w:r>
        <w:t xml:space="preserve">• Thermal insulation compliant with SBC energy provisions</w:t>
      </w:r>
      <w:r>
        <w:br/>
      </w:r>
      <w:r>
        <w:t xml:space="preserve">• Durable external cladding materials</w:t>
      </w:r>
    </w:p>
    <w:p>
      <w:pPr>
        <w:pStyle w:val="BodyText"/>
      </w:pPr>
      <w:r>
        <w:t xml:space="preserve">Solar control strategies shall reduce cooling loads and improve comfort.</w:t>
      </w:r>
    </w:p>
    <w:p>
      <w:r>
        <w:pict>
          <v:rect style="width:0;height:1.5pt" o:hralign="center" o:hrstd="t" o:hr="t"/>
        </w:pict>
      </w:r>
    </w:p>
    <w:bookmarkEnd w:id="110"/>
    <w:bookmarkStart w:id="111" w:name="wayfinding-identity"/>
    <w:p>
      <w:pPr>
        <w:pStyle w:val="Heading2"/>
      </w:pPr>
      <w:r>
        <w:t xml:space="preserve">9.7 Wayfinding &amp; Identity</w:t>
      </w:r>
    </w:p>
    <w:p>
      <w:pPr>
        <w:pStyle w:val="FirstParagraph"/>
      </w:pPr>
      <w:r>
        <w:t xml:space="preserve">The campus shall incorporate:</w:t>
      </w:r>
    </w:p>
    <w:p>
      <w:pPr>
        <w:pStyle w:val="BodyText"/>
      </w:pPr>
      <w:r>
        <w:t xml:space="preserve">• Clear signage strategy</w:t>
      </w:r>
      <w:r>
        <w:br/>
      </w:r>
      <w:r>
        <w:t xml:space="preserve">• Distinct color coding for zones (Primary, Boys, Girls)</w:t>
      </w:r>
      <w:r>
        <w:br/>
      </w:r>
      <w:r>
        <w:t xml:space="preserve">• Legible circulation paths</w:t>
      </w:r>
      <w:r>
        <w:br/>
      </w:r>
      <w:r>
        <w:t xml:space="preserve">• Institutional branding integration</w:t>
      </w:r>
    </w:p>
    <w:p>
      <w:pPr>
        <w:pStyle w:val="BodyText"/>
      </w:pPr>
      <w:r>
        <w:t xml:space="preserve">Wayfinding shall support both operational clarity and emergency evacuation.</w:t>
      </w:r>
    </w:p>
    <w:p>
      <w:r>
        <w:pict>
          <v:rect style="width:0;height:1.5pt" o:hralign="center" o:hrstd="t" o:hr="t"/>
        </w:pict>
      </w:r>
    </w:p>
    <w:p>
      <w:pPr>
        <w:pStyle w:val="FirstParagraph"/>
      </w:pPr>
      <w:r>
        <w:t xml:space="preserve">END OF SECTION 09</w:t>
      </w:r>
    </w:p>
    <w:p>
      <w:r>
        <w:pict>
          <v:rect style="width:0;height:1.5pt" o:hralign="center" o:hrstd="t" o:hr="t"/>
        </w:pict>
      </w:r>
    </w:p>
    <w:bookmarkEnd w:id="111"/>
    <w:bookmarkEnd w:id="112"/>
    <w:bookmarkStart w:id="126" w:name="mep-basis-of-design"/>
    <w:p>
      <w:pPr>
        <w:pStyle w:val="Heading1"/>
      </w:pPr>
      <w:r>
        <w:t xml:space="preserve">10. MEP Basis of Design</w:t>
      </w:r>
    </w:p>
    <w:bookmarkStart w:id="115" w:name="mechanical-systems-hvac-strategy"/>
    <w:p>
      <w:pPr>
        <w:pStyle w:val="Heading2"/>
      </w:pPr>
      <w:r>
        <w:t xml:space="preserve">10.1 Mechanical Systems – HVAC Strategy</w:t>
      </w:r>
    </w:p>
    <w:bookmarkStart w:id="113" w:name="baseline-system-adopted"/>
    <w:p>
      <w:pPr>
        <w:pStyle w:val="Heading3"/>
      </w:pPr>
      <w:r>
        <w:t xml:space="preserve">10.1.1 Baseline System (Adopted)</w:t>
      </w:r>
    </w:p>
    <w:p>
      <w:pPr>
        <w:pStyle w:val="FirstParagraph"/>
      </w:pPr>
      <w:r>
        <w:t xml:space="preserve">The primary HVAC strategy for the campus shall be a Central Chilled Water (CHW) System serving AHUs and FCUs distributed across the building.</w:t>
      </w:r>
    </w:p>
    <w:p>
      <w:pPr>
        <w:pStyle w:val="BodyText"/>
      </w:pPr>
      <w:r>
        <w:t xml:space="preserve">System components include:</w:t>
      </w:r>
    </w:p>
    <w:p>
      <w:pPr>
        <w:pStyle w:val="BodyText"/>
      </w:pPr>
      <w:r>
        <w:t xml:space="preserve">• Central chiller plant (basement or dedicated plant zone)</w:t>
      </w:r>
      <w:r>
        <w:br/>
      </w:r>
      <w:r>
        <w:t xml:space="preserve">• Primary and secondary chilled water pumps</w:t>
      </w:r>
      <w:r>
        <w:br/>
      </w:r>
      <w:r>
        <w:t xml:space="preserve">• Air Handling Units (AHUs) for large zones</w:t>
      </w:r>
      <w:r>
        <w:br/>
      </w:r>
      <w:r>
        <w:t xml:space="preserve">• Fan Coil Units (FCUs) for classroom zoning</w:t>
      </w:r>
      <w:r>
        <w:br/>
      </w:r>
      <w:r>
        <w:t xml:space="preserve">• Fresh air handling units with filtration suitable for Riyadh dust conditions</w:t>
      </w:r>
      <w:r>
        <w:br/>
      </w:r>
      <w:r>
        <w:t xml:space="preserve">• BMS-integrated temperature control</w:t>
      </w:r>
    </w:p>
    <w:p>
      <w:pPr>
        <w:pStyle w:val="BodyText"/>
      </w:pPr>
      <w:r>
        <w:t xml:space="preserve">Rationale:</w:t>
      </w:r>
    </w:p>
    <w:p>
      <w:pPr>
        <w:pStyle w:val="BodyText"/>
      </w:pPr>
      <w:r>
        <w:t xml:space="preserve">• Lower long-term operating cost</w:t>
      </w:r>
      <w:r>
        <w:br/>
      </w:r>
      <w:r>
        <w:t xml:space="preserve">• Better indoor air quality control</w:t>
      </w:r>
      <w:r>
        <w:br/>
      </w:r>
      <w:r>
        <w:t xml:space="preserve">• Superior zoning capability for large campus</w:t>
      </w:r>
      <w:r>
        <w:br/>
      </w:r>
      <w:r>
        <w:t xml:space="preserve">• Improved lifecycle durability</w:t>
      </w:r>
    </w:p>
    <w:p>
      <w:r>
        <w:pict>
          <v:rect style="width:0;height:1.5pt" o:hralign="center" o:hrstd="t" o:hr="t"/>
        </w:pict>
      </w:r>
    </w:p>
    <w:bookmarkEnd w:id="113"/>
    <w:bookmarkStart w:id="114" w:name="alternative-option-value-engineering"/>
    <w:p>
      <w:pPr>
        <w:pStyle w:val="Heading3"/>
      </w:pPr>
      <w:r>
        <w:t xml:space="preserve">10.1.2 Alternative Option (Value Engineering)</w:t>
      </w:r>
    </w:p>
    <w:p>
      <w:pPr>
        <w:pStyle w:val="FirstParagraph"/>
      </w:pPr>
      <w:r>
        <w:t xml:space="preserve">A high-efficiency VRF (Variable Refrigerant Flow) system may be considered as an alternative option.</w:t>
      </w:r>
    </w:p>
    <w:p>
      <w:pPr>
        <w:pStyle w:val="BodyText"/>
      </w:pPr>
      <w:r>
        <w:t xml:space="preserve">Pros:</w:t>
      </w:r>
      <w:r>
        <w:t xml:space="preserve"> </w:t>
      </w:r>
      <w:r>
        <w:t xml:space="preserve">• Lower initial capital expenditure</w:t>
      </w:r>
      <w:r>
        <w:br/>
      </w:r>
      <w:r>
        <w:t xml:space="preserve">• Flexible modular installation</w:t>
      </w:r>
    </w:p>
    <w:p>
      <w:pPr>
        <w:pStyle w:val="BodyText"/>
      </w:pPr>
      <w:r>
        <w:t xml:space="preserve">Cons:</w:t>
      </w:r>
      <w:r>
        <w:t xml:space="preserve"> </w:t>
      </w:r>
      <w:r>
        <w:t xml:space="preserve">• Higher lifecycle maintenance cost</w:t>
      </w:r>
      <w:r>
        <w:br/>
      </w:r>
      <w:r>
        <w:t xml:space="preserve">• Outdoor unit placement challenges</w:t>
      </w:r>
      <w:r>
        <w:br/>
      </w:r>
      <w:r>
        <w:t xml:space="preserve">• Less robust for large assembly areas</w:t>
      </w:r>
    </w:p>
    <w:p>
      <w:pPr>
        <w:pStyle w:val="BodyText"/>
      </w:pPr>
      <w:r>
        <w:t xml:space="preserve">Final system selection shall be confirmed during detailed design following lifecycle cost analysis.</w:t>
      </w:r>
    </w:p>
    <w:p>
      <w:r>
        <w:pict>
          <v:rect style="width:0;height:1.5pt" o:hralign="center" o:hrstd="t" o:hr="t"/>
        </w:pict>
      </w:r>
    </w:p>
    <w:bookmarkEnd w:id="114"/>
    <w:bookmarkEnd w:id="115"/>
    <w:bookmarkStart w:id="116" w:name="ventilation-indoor-air-quality"/>
    <w:p>
      <w:pPr>
        <w:pStyle w:val="Heading2"/>
      </w:pPr>
      <w:r>
        <w:t xml:space="preserve">10.2 Ventilation &amp; Indoor Air Quality</w:t>
      </w:r>
    </w:p>
    <w:p>
      <w:pPr>
        <w:pStyle w:val="FirstParagraph"/>
      </w:pPr>
      <w:r>
        <w:t xml:space="preserve">• Mechanical fresh air supply to classrooms and occupied spaces</w:t>
      </w:r>
      <w:r>
        <w:br/>
      </w:r>
      <w:r>
        <w:t xml:space="preserve">• CO₂ monitoring where appropriate</w:t>
      </w:r>
      <w:r>
        <w:br/>
      </w:r>
      <w:r>
        <w:t xml:space="preserve">• MERV-rated filtration suitable for desert climate</w:t>
      </w:r>
      <w:r>
        <w:br/>
      </w:r>
      <w:r>
        <w:t xml:space="preserve">• Exhaust ventilation for toilets, kitchens, and labs</w:t>
      </w:r>
    </w:p>
    <w:p>
      <w:pPr>
        <w:pStyle w:val="BodyText"/>
      </w:pPr>
      <w:r>
        <w:t xml:space="preserve">Design shall comply with SBC mechanical code requirements.</w:t>
      </w:r>
    </w:p>
    <w:p>
      <w:r>
        <w:pict>
          <v:rect style="width:0;height:1.5pt" o:hralign="center" o:hrstd="t" o:hr="t"/>
        </w:pict>
      </w:r>
    </w:p>
    <w:bookmarkEnd w:id="116"/>
    <w:bookmarkStart w:id="120" w:name="electrical-systems"/>
    <w:p>
      <w:pPr>
        <w:pStyle w:val="Heading2"/>
      </w:pPr>
      <w:r>
        <w:t xml:space="preserve">10.3 Electrical Systems</w:t>
      </w:r>
    </w:p>
    <w:bookmarkStart w:id="117" w:name="power-distribution"/>
    <w:p>
      <w:pPr>
        <w:pStyle w:val="Heading3"/>
      </w:pPr>
      <w:r>
        <w:t xml:space="preserve">10.3.1 Power Distribution</w:t>
      </w:r>
    </w:p>
    <w:p>
      <w:pPr>
        <w:pStyle w:val="FirstParagraph"/>
      </w:pPr>
      <w:r>
        <w:t xml:space="preserve">• Main LV panel and sub-distribution boards</w:t>
      </w:r>
      <w:r>
        <w:br/>
      </w:r>
      <w:r>
        <w:t xml:space="preserve">• Dedicated panels per wing</w:t>
      </w:r>
      <w:r>
        <w:br/>
      </w:r>
      <w:r>
        <w:t xml:space="preserve">• Emergency power distribution</w:t>
      </w:r>
      <w:r>
        <w:br/>
      </w:r>
      <w:r>
        <w:t xml:space="preserve">• Earthing and bonding system</w:t>
      </w:r>
    </w:p>
    <w:bookmarkEnd w:id="117"/>
    <w:bookmarkStart w:id="118" w:name="lighting"/>
    <w:p>
      <w:pPr>
        <w:pStyle w:val="Heading3"/>
      </w:pPr>
      <w:r>
        <w:t xml:space="preserve">10.3.2 Lighting</w:t>
      </w:r>
    </w:p>
    <w:p>
      <w:pPr>
        <w:pStyle w:val="FirstParagraph"/>
      </w:pPr>
      <w:r>
        <w:t xml:space="preserve">• LED fixtures throughout</w:t>
      </w:r>
      <w:r>
        <w:br/>
      </w:r>
      <w:r>
        <w:t xml:space="preserve">• DALI-ready lighting control infrastructure</w:t>
      </w:r>
      <w:r>
        <w:br/>
      </w:r>
      <w:r>
        <w:t xml:space="preserve">• Emergency lighting system</w:t>
      </w:r>
    </w:p>
    <w:bookmarkEnd w:id="118"/>
    <w:bookmarkStart w:id="119" w:name="backup-power"/>
    <w:p>
      <w:pPr>
        <w:pStyle w:val="Heading3"/>
      </w:pPr>
      <w:r>
        <w:t xml:space="preserve">10.3.3 Backup Power</w:t>
      </w:r>
    </w:p>
    <w:p>
      <w:pPr>
        <w:pStyle w:val="FirstParagraph"/>
      </w:pPr>
      <w:r>
        <w:t xml:space="preserve">Provision for:</w:t>
      </w:r>
    </w:p>
    <w:p>
      <w:pPr>
        <w:pStyle w:val="BodyText"/>
      </w:pPr>
      <w:r>
        <w:t xml:space="preserve">• Diesel generator (if required)</w:t>
      </w:r>
      <w:r>
        <w:br/>
      </w:r>
      <w:r>
        <w:t xml:space="preserve">• UPS for critical systems (IT, fire alarm, security)</w:t>
      </w:r>
    </w:p>
    <w:p>
      <w:pPr>
        <w:pStyle w:val="BodyText"/>
      </w:pPr>
      <w:r>
        <w:t xml:space="preserve">Final generator sizing shall be determined during load calculations.</w:t>
      </w:r>
    </w:p>
    <w:p>
      <w:r>
        <w:pict>
          <v:rect style="width:0;height:1.5pt" o:hralign="center" o:hrstd="t" o:hr="t"/>
        </w:pict>
      </w:r>
    </w:p>
    <w:bookmarkEnd w:id="119"/>
    <w:bookmarkEnd w:id="120"/>
    <w:bookmarkStart w:id="121" w:name="ict-elv-systems"/>
    <w:p>
      <w:pPr>
        <w:pStyle w:val="Heading2"/>
      </w:pPr>
      <w:r>
        <w:t xml:space="preserve">10.4 ICT &amp; ELV Systems</w:t>
      </w:r>
    </w:p>
    <w:p>
      <w:pPr>
        <w:pStyle w:val="FirstParagraph"/>
      </w:pPr>
      <w:r>
        <w:t xml:space="preserve">ICT systems are included within the main construction contract scope.</w:t>
      </w:r>
    </w:p>
    <w:p>
      <w:pPr>
        <w:pStyle w:val="BodyText"/>
      </w:pPr>
      <w:r>
        <w:t xml:space="preserve">Infrastructure includes:</w:t>
      </w:r>
    </w:p>
    <w:p>
      <w:pPr>
        <w:pStyle w:val="BodyText"/>
      </w:pPr>
      <w:r>
        <w:t xml:space="preserve">• Structured cabling system</w:t>
      </w:r>
      <w:r>
        <w:br/>
      </w:r>
      <w:r>
        <w:t xml:space="preserve">• MDF (Main Distribution Frame)</w:t>
      </w:r>
      <w:r>
        <w:br/>
      </w:r>
      <w:r>
        <w:t xml:space="preserve">• IDF rooms per floor</w:t>
      </w:r>
      <w:r>
        <w:br/>
      </w:r>
      <w:r>
        <w:t xml:space="preserve">• Wi-Fi access points</w:t>
      </w:r>
      <w:r>
        <w:br/>
      </w:r>
      <w:r>
        <w:t xml:space="preserve">• Network switches and racks</w:t>
      </w:r>
      <w:r>
        <w:br/>
      </w:r>
      <w:r>
        <w:t xml:space="preserve">• CCTV system</w:t>
      </w:r>
      <w:r>
        <w:br/>
      </w:r>
      <w:r>
        <w:t xml:space="preserve">• Access control system</w:t>
      </w:r>
      <w:r>
        <w:br/>
      </w:r>
      <w:r>
        <w:t xml:space="preserve">• Public address &amp; bell system</w:t>
      </w:r>
    </w:p>
    <w:p>
      <w:pPr>
        <w:pStyle w:val="BodyText"/>
      </w:pPr>
      <w:r>
        <w:t xml:space="preserve">Active equipment commissioning shall be included in contractor scope.</w:t>
      </w:r>
    </w:p>
    <w:p>
      <w:r>
        <w:pict>
          <v:rect style="width:0;height:1.5pt" o:hralign="center" o:hrstd="t" o:hr="t"/>
        </w:pict>
      </w:r>
    </w:p>
    <w:bookmarkEnd w:id="121"/>
    <w:bookmarkStart w:id="122" w:name="plumbing-drainage"/>
    <w:p>
      <w:pPr>
        <w:pStyle w:val="Heading2"/>
      </w:pPr>
      <w:r>
        <w:t xml:space="preserve">10.5 Plumbing &amp; Drainage</w:t>
      </w:r>
    </w:p>
    <w:p>
      <w:pPr>
        <w:pStyle w:val="FirstParagraph"/>
      </w:pPr>
      <w:r>
        <w:t xml:space="preserve">Systems include:</w:t>
      </w:r>
    </w:p>
    <w:p>
      <w:pPr>
        <w:pStyle w:val="BodyText"/>
      </w:pPr>
      <w:r>
        <w:t xml:space="preserve">• Domestic water supply</w:t>
      </w:r>
      <w:r>
        <w:br/>
      </w:r>
      <w:r>
        <w:t xml:space="preserve">• Hot water systems</w:t>
      </w:r>
      <w:r>
        <w:br/>
      </w:r>
      <w:r>
        <w:t xml:space="preserve">• Soil and waste drainage</w:t>
      </w:r>
      <w:r>
        <w:br/>
      </w:r>
      <w:r>
        <w:t xml:space="preserve">• Rainwater drainage</w:t>
      </w:r>
      <w:r>
        <w:br/>
      </w:r>
      <w:r>
        <w:t xml:space="preserve">• Grease trap system (kitchen)</w:t>
      </w:r>
      <w:r>
        <w:br/>
      </w:r>
      <w:r>
        <w:t xml:space="preserve">• Laboratory drainage where required</w:t>
      </w:r>
    </w:p>
    <w:p>
      <w:pPr>
        <w:pStyle w:val="BodyText"/>
      </w:pPr>
      <w:r>
        <w:t xml:space="preserve">Water storage tanks shall be sized to comply with municipal and Civil Defense requirements.</w:t>
      </w:r>
    </w:p>
    <w:p>
      <w:r>
        <w:pict>
          <v:rect style="width:0;height:1.5pt" o:hralign="center" o:hrstd="t" o:hr="t"/>
        </w:pict>
      </w:r>
    </w:p>
    <w:bookmarkEnd w:id="122"/>
    <w:bookmarkStart w:id="123" w:name="fire-protection-systems-1"/>
    <w:p>
      <w:pPr>
        <w:pStyle w:val="Heading2"/>
      </w:pPr>
      <w:r>
        <w:t xml:space="preserve">10.6 Fire Protection Systems</w:t>
      </w:r>
    </w:p>
    <w:p>
      <w:pPr>
        <w:pStyle w:val="FirstParagraph"/>
      </w:pPr>
      <w:r>
        <w:t xml:space="preserve">The building shall include:</w:t>
      </w:r>
    </w:p>
    <w:p>
      <w:pPr>
        <w:pStyle w:val="BodyText"/>
      </w:pPr>
      <w:r>
        <w:t xml:space="preserve">• Automatic sprinkler system (where mandated)</w:t>
      </w:r>
      <w:r>
        <w:br/>
      </w:r>
      <w:r>
        <w:t xml:space="preserve">• Fire alarm and voice evacuation</w:t>
      </w:r>
      <w:r>
        <w:br/>
      </w:r>
      <w:r>
        <w:t xml:space="preserve">• Fire hose reels</w:t>
      </w:r>
      <w:r>
        <w:br/>
      </w:r>
      <w:r>
        <w:t xml:space="preserve">• Portable extinguishers</w:t>
      </w:r>
      <w:r>
        <w:br/>
      </w:r>
      <w:r>
        <w:t xml:space="preserve">• Fire water tanks and pumps</w:t>
      </w:r>
    </w:p>
    <w:p>
      <w:pPr>
        <w:pStyle w:val="BodyText"/>
      </w:pPr>
      <w:r>
        <w:t xml:space="preserve">System design shall comply with SBC and Civil Defense approval requirements.</w:t>
      </w:r>
    </w:p>
    <w:p>
      <w:r>
        <w:pict>
          <v:rect style="width:0;height:1.5pt" o:hralign="center" o:hrstd="t" o:hr="t"/>
        </w:pict>
      </w:r>
    </w:p>
    <w:bookmarkEnd w:id="123"/>
    <w:bookmarkStart w:id="124" w:name="building-management-system-bms"/>
    <w:p>
      <w:pPr>
        <w:pStyle w:val="Heading2"/>
      </w:pPr>
      <w:r>
        <w:t xml:space="preserve">10.7 Building Management System (BMS)</w:t>
      </w:r>
    </w:p>
    <w:p>
      <w:pPr>
        <w:pStyle w:val="FirstParagraph"/>
      </w:pPr>
      <w:r>
        <w:t xml:space="preserve">The campus shall include an integrated BMS system controlling:</w:t>
      </w:r>
    </w:p>
    <w:p>
      <w:pPr>
        <w:pStyle w:val="BodyText"/>
      </w:pPr>
      <w:r>
        <w:t xml:space="preserve">• HVAC monitoring</w:t>
      </w:r>
      <w:r>
        <w:br/>
      </w:r>
      <w:r>
        <w:t xml:space="preserve">• Lighting control (where applicable)</w:t>
      </w:r>
      <w:r>
        <w:br/>
      </w:r>
      <w:r>
        <w:t xml:space="preserve">• Energy monitoring</w:t>
      </w:r>
      <w:r>
        <w:br/>
      </w:r>
      <w:r>
        <w:t xml:space="preserve">• Alarm integration</w:t>
      </w:r>
    </w:p>
    <w:p>
      <w:pPr>
        <w:pStyle w:val="BodyText"/>
      </w:pPr>
      <w:r>
        <w:t xml:space="preserve">BMS shall support long-term operational efficiency and energy management.</w:t>
      </w:r>
    </w:p>
    <w:p>
      <w:r>
        <w:pict>
          <v:rect style="width:0;height:1.5pt" o:hralign="center" o:hrstd="t" o:hr="t"/>
        </w:pict>
      </w:r>
    </w:p>
    <w:bookmarkEnd w:id="124"/>
    <w:bookmarkStart w:id="125" w:name="energy-sustainability-integration"/>
    <w:p>
      <w:pPr>
        <w:pStyle w:val="Heading2"/>
      </w:pPr>
      <w:r>
        <w:t xml:space="preserve">10.8 Energy &amp; Sustainability Integration</w:t>
      </w:r>
    </w:p>
    <w:p>
      <w:pPr>
        <w:pStyle w:val="FirstParagraph"/>
      </w:pPr>
      <w:r>
        <w:t xml:space="preserve">Mechanical and electrical systems shall be designed to:</w:t>
      </w:r>
    </w:p>
    <w:p>
      <w:pPr>
        <w:pStyle w:val="BodyText"/>
      </w:pPr>
      <w:r>
        <w:t xml:space="preserve">• Optimize cooling loads</w:t>
      </w:r>
      <w:r>
        <w:br/>
      </w:r>
      <w:r>
        <w:t xml:space="preserve">• Reduce peak demand</w:t>
      </w:r>
      <w:r>
        <w:br/>
      </w:r>
      <w:r>
        <w:t xml:space="preserve">• Enable solar PV integration (future-ready)</w:t>
      </w:r>
      <w:r>
        <w:br/>
      </w:r>
      <w:r>
        <w:t xml:space="preserve">• Support energy monitoring and reporting</w:t>
      </w:r>
    </w:p>
    <w:p>
      <w:pPr>
        <w:pStyle w:val="BodyText"/>
      </w:pPr>
      <w:r>
        <w:t xml:space="preserve">Detailed energy modeling shall be conducted during schematic design.</w:t>
      </w:r>
    </w:p>
    <w:p>
      <w:r>
        <w:pict>
          <v:rect style="width:0;height:1.5pt" o:hralign="center" o:hrstd="t" o:hr="t"/>
        </w:pict>
      </w:r>
    </w:p>
    <w:p>
      <w:pPr>
        <w:pStyle w:val="FirstParagraph"/>
      </w:pPr>
      <w:r>
        <w:t xml:space="preserve">END OF SECTION 10</w:t>
      </w:r>
    </w:p>
    <w:p>
      <w:r>
        <w:pict>
          <v:rect style="width:0;height:1.5pt" o:hralign="center" o:hrstd="t" o:hr="t"/>
        </w:pict>
      </w:r>
    </w:p>
    <w:bookmarkEnd w:id="125"/>
    <w:bookmarkEnd w:id="126"/>
    <w:bookmarkStart w:id="143" w:name="cost-plan-boq-framework"/>
    <w:p>
      <w:pPr>
        <w:pStyle w:val="Heading1"/>
      </w:pPr>
      <w:r>
        <w:t xml:space="preserve">11. Cost Plan &amp; BOQ Framework</w:t>
      </w:r>
    </w:p>
    <w:bookmarkStart w:id="127" w:name="cost-planning-methodology"/>
    <w:p>
      <w:pPr>
        <w:pStyle w:val="Heading2"/>
      </w:pPr>
      <w:r>
        <w:t xml:space="preserve">11.1 Cost Planning Methodology</w:t>
      </w:r>
    </w:p>
    <w:p>
      <w:pPr>
        <w:pStyle w:val="FirstParagraph"/>
      </w:pPr>
      <w:r>
        <w:t xml:space="preserve">The cost plan for the PISES New Campus is structured using a layered methodology aligned with construction delivery stages:</w:t>
      </w:r>
    </w:p>
    <w:p>
      <w:pPr>
        <w:pStyle w:val="Compact"/>
        <w:numPr>
          <w:ilvl w:val="0"/>
          <w:numId w:val="1008"/>
        </w:numPr>
      </w:pPr>
      <w:r>
        <w:t xml:space="preserve">Core &amp; Shell (C&amp;S)</w:t>
      </w:r>
      <w:r>
        <w:br/>
      </w:r>
    </w:p>
    <w:p>
      <w:pPr>
        <w:pStyle w:val="Compact"/>
        <w:numPr>
          <w:ilvl w:val="0"/>
          <w:numId w:val="1008"/>
        </w:numPr>
      </w:pPr>
      <w:r>
        <w:t xml:space="preserve">First Fix (Services Rough-In)</w:t>
      </w:r>
      <w:r>
        <w:br/>
      </w:r>
    </w:p>
    <w:p>
      <w:pPr>
        <w:pStyle w:val="Compact"/>
        <w:numPr>
          <w:ilvl w:val="0"/>
          <w:numId w:val="1008"/>
        </w:numPr>
      </w:pPr>
      <w:r>
        <w:t xml:space="preserve">Second Fix (Fit-Off &amp; Finishes)</w:t>
      </w:r>
      <w:r>
        <w:br/>
      </w:r>
    </w:p>
    <w:p>
      <w:pPr>
        <w:pStyle w:val="Compact"/>
        <w:numPr>
          <w:ilvl w:val="0"/>
          <w:numId w:val="1008"/>
        </w:numPr>
      </w:pPr>
      <w:r>
        <w:t xml:space="preserve">Third Fix (FF&amp;E + Specialist Systems + Commissioning)</w:t>
      </w:r>
    </w:p>
    <w:p>
      <w:pPr>
        <w:pStyle w:val="FirstParagraph"/>
      </w:pPr>
      <w:r>
        <w:t xml:space="preserve">This structure enables transparency in budgeting, value engineering, and phased procurement strategies.</w:t>
      </w:r>
    </w:p>
    <w:p>
      <w:pPr>
        <w:pStyle w:val="BodyText"/>
      </w:pPr>
      <w:r>
        <w:t xml:space="preserve">All figures in this section represent planning-level budget estimates for feasibility and SMC approval purposes.</w:t>
      </w:r>
    </w:p>
    <w:p>
      <w:r>
        <w:pict>
          <v:rect style="width:0;height:1.5pt" o:hralign="center" o:hrstd="t" o:hr="t"/>
        </w:pict>
      </w:r>
    </w:p>
    <w:bookmarkEnd w:id="127"/>
    <w:bookmarkStart w:id="128" w:name="core-shell-cs-scope-definition"/>
    <w:p>
      <w:pPr>
        <w:pStyle w:val="Heading2"/>
      </w:pPr>
      <w:r>
        <w:t xml:space="preserve">11.2 Core &amp; Shell (C&amp;S) Scope Definition</w:t>
      </w:r>
    </w:p>
    <w:p>
      <w:pPr>
        <w:pStyle w:val="FirstParagraph"/>
      </w:pPr>
      <w:r>
        <w:t xml:space="preserve">Core &amp; Shell includes:</w:t>
      </w:r>
    </w:p>
    <w:p>
      <w:pPr>
        <w:pStyle w:val="BodyText"/>
      </w:pPr>
      <w:r>
        <w:t xml:space="preserve">• Substructure (excavation, foundations, basement structure)</w:t>
      </w:r>
      <w:r>
        <w:br/>
      </w:r>
      <w:r>
        <w:t xml:space="preserve">• Superstructure (columns, beams, slabs, stair cores)</w:t>
      </w:r>
      <w:r>
        <w:br/>
      </w:r>
      <w:r>
        <w:t xml:space="preserve">• External envelope (façade, glazing, insulation, roofing)</w:t>
      </w:r>
      <w:r>
        <w:br/>
      </w:r>
      <w:r>
        <w:t xml:space="preserve">• Primary vertical shafts</w:t>
      </w:r>
      <w:r>
        <w:br/>
      </w:r>
      <w:r>
        <w:t xml:space="preserve">• Structural provisions for MEP systems</w:t>
      </w:r>
      <w:r>
        <w:br/>
      </w:r>
      <w:r>
        <w:t xml:space="preserve">• Main plant room enclosures</w:t>
      </w:r>
    </w:p>
    <w:p>
      <w:pPr>
        <w:pStyle w:val="BodyText"/>
      </w:pPr>
      <w:r>
        <w:t xml:space="preserve">Indicative planning allowance (Riyadh, multi-storey institutional):</w:t>
      </w:r>
      <w:r>
        <w:br/>
      </w:r>
      <w:r>
        <w:t xml:space="preserve">SAR 2,600–3,200 per m² of GFA</w:t>
      </w:r>
    </w:p>
    <w:p>
      <w:r>
        <w:pict>
          <v:rect style="width:0;height:1.5pt" o:hralign="center" o:hrstd="t" o:hr="t"/>
        </w:pict>
      </w:r>
    </w:p>
    <w:bookmarkEnd w:id="128"/>
    <w:bookmarkStart w:id="129" w:name="first-fix-scope-definition"/>
    <w:p>
      <w:pPr>
        <w:pStyle w:val="Heading2"/>
      </w:pPr>
      <w:r>
        <w:t xml:space="preserve">11.3 First Fix Scope Definition</w:t>
      </w:r>
    </w:p>
    <w:p>
      <w:pPr>
        <w:pStyle w:val="FirstParagraph"/>
      </w:pPr>
      <w:r>
        <w:t xml:space="preserve">First Fix includes concealed building services installation:</w:t>
      </w:r>
    </w:p>
    <w:p>
      <w:pPr>
        <w:pStyle w:val="BodyText"/>
      </w:pPr>
      <w:r>
        <w:t xml:space="preserve">• HVAC ducting and chilled water piping</w:t>
      </w:r>
      <w:r>
        <w:br/>
      </w:r>
      <w:r>
        <w:t xml:space="preserve">• Electrical containment and conduits</w:t>
      </w:r>
      <w:r>
        <w:br/>
      </w:r>
      <w:r>
        <w:t xml:space="preserve">• Plumbing rough-in</w:t>
      </w:r>
      <w:r>
        <w:br/>
      </w:r>
      <w:r>
        <w:t xml:space="preserve">• Fire alarm and sprinkler pipework rough-in</w:t>
      </w:r>
      <w:r>
        <w:br/>
      </w:r>
      <w:r>
        <w:t xml:space="preserve">• Data containment systems</w:t>
      </w:r>
      <w:r>
        <w:br/>
      </w:r>
      <w:r>
        <w:t xml:space="preserve">• Builders work in connection (BWIC)</w:t>
      </w:r>
    </w:p>
    <w:p>
      <w:pPr>
        <w:pStyle w:val="BodyText"/>
      </w:pPr>
      <w:r>
        <w:t xml:space="preserve">This stage prepares the building for final fit-out.</w:t>
      </w:r>
    </w:p>
    <w:p>
      <w:r>
        <w:pict>
          <v:rect style="width:0;height:1.5pt" o:hralign="center" o:hrstd="t" o:hr="t"/>
        </w:pict>
      </w:r>
    </w:p>
    <w:bookmarkEnd w:id="129"/>
    <w:bookmarkStart w:id="130" w:name="second-fix-scope-definition"/>
    <w:p>
      <w:pPr>
        <w:pStyle w:val="Heading2"/>
      </w:pPr>
      <w:r>
        <w:t xml:space="preserve">11.4 Second Fix Scope Definition</w:t>
      </w:r>
    </w:p>
    <w:p>
      <w:pPr>
        <w:pStyle w:val="FirstParagraph"/>
      </w:pPr>
      <w:r>
        <w:t xml:space="preserve">Second Fix includes visible fittings and system completion:</w:t>
      </w:r>
    </w:p>
    <w:p>
      <w:pPr>
        <w:pStyle w:val="BodyText"/>
      </w:pPr>
      <w:r>
        <w:t xml:space="preserve">• Lighting fixtures</w:t>
      </w:r>
      <w:r>
        <w:br/>
      </w:r>
      <w:r>
        <w:t xml:space="preserve">• Switches and socket outlets</w:t>
      </w:r>
      <w:r>
        <w:br/>
      </w:r>
      <w:r>
        <w:t xml:space="preserve">• Diffusers and grilles</w:t>
      </w:r>
      <w:r>
        <w:br/>
      </w:r>
      <w:r>
        <w:t xml:space="preserve">• Sanitary fixtures</w:t>
      </w:r>
      <w:r>
        <w:br/>
      </w:r>
      <w:r>
        <w:t xml:space="preserve">• Door hardware</w:t>
      </w:r>
      <w:r>
        <w:br/>
      </w:r>
      <w:r>
        <w:t xml:space="preserve">• Ceiling installation</w:t>
      </w:r>
      <w:r>
        <w:br/>
      </w:r>
      <w:r>
        <w:t xml:space="preserve">• Final mechanical and electrical connections</w:t>
      </w:r>
    </w:p>
    <w:p>
      <w:pPr>
        <w:pStyle w:val="BodyText"/>
      </w:pPr>
      <w:r>
        <w:t xml:space="preserve">Second Fix represents the completion of built-in architectural and MEP finishes.</w:t>
      </w:r>
    </w:p>
    <w:p>
      <w:r>
        <w:pict>
          <v:rect style="width:0;height:1.5pt" o:hralign="center" o:hrstd="t" o:hr="t"/>
        </w:pict>
      </w:r>
    </w:p>
    <w:bookmarkEnd w:id="130"/>
    <w:bookmarkStart w:id="131" w:name="third-fix-scope-definition"/>
    <w:p>
      <w:pPr>
        <w:pStyle w:val="Heading2"/>
      </w:pPr>
      <w:r>
        <w:t xml:space="preserve">11.5 Third Fix Scope Definition</w:t>
      </w:r>
    </w:p>
    <w:p>
      <w:pPr>
        <w:pStyle w:val="FirstParagraph"/>
      </w:pPr>
      <w:r>
        <w:t xml:space="preserve">Third Fix includes operational readiness elements:</w:t>
      </w:r>
    </w:p>
    <w:p>
      <w:pPr>
        <w:pStyle w:val="BodyText"/>
      </w:pPr>
      <w:r>
        <w:t xml:space="preserve">• Classroom furniture</w:t>
      </w:r>
      <w:r>
        <w:br/>
      </w:r>
      <w:r>
        <w:t xml:space="preserve">• Specialist lab benches and storage</w:t>
      </w:r>
      <w:r>
        <w:br/>
      </w:r>
      <w:r>
        <w:t xml:space="preserve">• ICT active equipment</w:t>
      </w:r>
      <w:r>
        <w:br/>
      </w:r>
      <w:r>
        <w:t xml:space="preserve">• Auditorium AV systems (line item)</w:t>
      </w:r>
      <w:r>
        <w:br/>
      </w:r>
      <w:r>
        <w:t xml:space="preserve">• Kitchen equipment (optional package)</w:t>
      </w:r>
      <w:r>
        <w:br/>
      </w:r>
      <w:r>
        <w:t xml:space="preserve">• Final commissioning and training</w:t>
      </w:r>
      <w:r>
        <w:br/>
      </w:r>
      <w:r>
        <w:t xml:space="preserve">• As-built documentation and O&amp;M manuals</w:t>
      </w:r>
    </w:p>
    <w:p>
      <w:pPr>
        <w:pStyle w:val="BodyText"/>
      </w:pPr>
      <w:r>
        <w:t xml:space="preserve">This stage transitions the building from construction to operational status.</w:t>
      </w:r>
    </w:p>
    <w:p>
      <w:r>
        <w:pict>
          <v:rect style="width:0;height:1.5pt" o:hralign="center" o:hrstd="t" o:hr="t"/>
        </w:pict>
      </w:r>
    </w:p>
    <w:bookmarkEnd w:id="131"/>
    <w:bookmarkStart w:id="132" w:name="X94cec840be96d514236ff9064a060bd606adee9"/>
    <w:p>
      <w:pPr>
        <w:pStyle w:val="Heading2"/>
      </w:pPr>
      <w:r>
        <w:t xml:space="preserve">11.6 Wing-Level Cost Summary (Planning Estimate)</w:t>
      </w:r>
    </w:p>
    <w:p>
      <w:pPr>
        <w:pStyle w:val="FirstParagraph"/>
      </w:pPr>
      <w:r>
        <w:t xml:space="preserve">Based on approximately 52,400 m² BUA and mid-level institutional finish:</w:t>
      </w:r>
    </w:p>
    <w:p>
      <w:pPr>
        <w:pStyle w:val="BodyText"/>
      </w:pPr>
      <w:r>
        <w:t xml:space="preserve">Primary Zone: ~SAR 69M</w:t>
      </w:r>
      <w:r>
        <w:br/>
      </w:r>
      <w:r>
        <w:t xml:space="preserve">Boys Wing: ~SAR 62M</w:t>
      </w:r>
      <w:r>
        <w:br/>
      </w:r>
      <w:r>
        <w:t xml:space="preserve">Girls Wing: ~SAR 62M</w:t>
      </w:r>
      <w:r>
        <w:br/>
      </w:r>
      <w:r>
        <w:t xml:space="preserve">Shared Facilities: ~SAR 56M</w:t>
      </w:r>
    </w:p>
    <w:p>
      <w:pPr>
        <w:pStyle w:val="BodyText"/>
      </w:pPr>
      <w:r>
        <w:t xml:space="preserve">Estimated Total Construction Cost (excluding land and fees):</w:t>
      </w:r>
      <w:r>
        <w:br/>
      </w:r>
      <w:r>
        <w:t xml:space="preserve">~SAR 240M–260M (mid-scenario)</w:t>
      </w:r>
    </w:p>
    <w:p>
      <w:pPr>
        <w:pStyle w:val="BodyText"/>
      </w:pPr>
      <w:r>
        <w:t xml:space="preserve">Professional fees, authority fees, and contingency (7–10%) shall be added separately.</w:t>
      </w:r>
    </w:p>
    <w:p>
      <w:r>
        <w:pict>
          <v:rect style="width:0;height:1.5pt" o:hralign="center" o:hrstd="t" o:hr="t"/>
        </w:pict>
      </w:r>
    </w:p>
    <w:bookmarkEnd w:id="132"/>
    <w:bookmarkStart w:id="136" w:name="scenario-comparison"/>
    <w:p>
      <w:pPr>
        <w:pStyle w:val="Heading2"/>
      </w:pPr>
      <w:r>
        <w:t xml:space="preserve">11.7 Scenario Comparison</w:t>
      </w:r>
    </w:p>
    <w:bookmarkStart w:id="133" w:name="scenario-1-code-minimum"/>
    <w:p>
      <w:pPr>
        <w:pStyle w:val="Heading3"/>
      </w:pPr>
      <w:r>
        <w:t xml:space="preserve">Scenario 1 – Code Minimum</w:t>
      </w:r>
    </w:p>
    <w:p>
      <w:pPr>
        <w:pStyle w:val="FirstParagraph"/>
      </w:pPr>
      <w:r>
        <w:t xml:space="preserve">• VRF HVAC</w:t>
      </w:r>
      <w:r>
        <w:br/>
      </w:r>
      <w:r>
        <w:t xml:space="preserve">• Reduced finish specification</w:t>
      </w:r>
      <w:r>
        <w:br/>
      </w:r>
      <w:r>
        <w:t xml:space="preserve">• Limited acoustic treatment</w:t>
      </w:r>
      <w:r>
        <w:br/>
      </w:r>
      <w:r>
        <w:t xml:space="preserve">• Reduced assembly capacity</w:t>
      </w:r>
    </w:p>
    <w:p>
      <w:pPr>
        <w:pStyle w:val="BodyText"/>
      </w:pPr>
      <w:r>
        <w:t xml:space="preserve">Estimated Range: SAR 205M–220M</w:t>
      </w:r>
      <w:r>
        <w:br/>
      </w:r>
      <w:r>
        <w:t xml:space="preserve">Higher long-term operational cost</w:t>
      </w:r>
    </w:p>
    <w:p>
      <w:r>
        <w:pict>
          <v:rect style="width:0;height:1.5pt" o:hralign="center" o:hrstd="t" o:hr="t"/>
        </w:pict>
      </w:r>
    </w:p>
    <w:bookmarkEnd w:id="133"/>
    <w:bookmarkStart w:id="134" w:name="X50733d06c8a7c43d9f9d0c1b1fd3bd9ec90611c"/>
    <w:p>
      <w:pPr>
        <w:pStyle w:val="Heading3"/>
      </w:pPr>
      <w:r>
        <w:t xml:space="preserve">Scenario 2 – Mid-Level Institutional (Adopted Baseline)</w:t>
      </w:r>
    </w:p>
    <w:p>
      <w:pPr>
        <w:pStyle w:val="FirstParagraph"/>
      </w:pPr>
      <w:r>
        <w:t xml:space="preserve">• Central CHW HVAC</w:t>
      </w:r>
      <w:r>
        <w:br/>
      </w:r>
      <w:r>
        <w:t xml:space="preserve">• Mid institutional finishes</w:t>
      </w:r>
      <w:r>
        <w:br/>
      </w:r>
      <w:r>
        <w:t xml:space="preserve">• Full ICT integration</w:t>
      </w:r>
      <w:r>
        <w:br/>
      </w:r>
      <w:r>
        <w:t xml:space="preserve">• Auditorium AV included</w:t>
      </w:r>
      <w:r>
        <w:br/>
      </w:r>
      <w:r>
        <w:t xml:space="preserve">• Kitchen equipment optional</w:t>
      </w:r>
    </w:p>
    <w:p>
      <w:pPr>
        <w:pStyle w:val="BodyText"/>
      </w:pPr>
      <w:r>
        <w:t xml:space="preserve">Estimated Range: SAR 240M–260M</w:t>
      </w:r>
      <w:r>
        <w:br/>
      </w:r>
      <w:r>
        <w:t xml:space="preserve">Balanced CAPEX and OPEX</w:t>
      </w:r>
    </w:p>
    <w:p>
      <w:r>
        <w:pict>
          <v:rect style="width:0;height:1.5pt" o:hralign="center" o:hrstd="t" o:hr="t"/>
        </w:pict>
      </w:r>
    </w:p>
    <w:bookmarkEnd w:id="134"/>
    <w:bookmarkStart w:id="135" w:name="scenario-3-enhanced-campus-model"/>
    <w:p>
      <w:pPr>
        <w:pStyle w:val="Heading3"/>
      </w:pPr>
      <w:r>
        <w:t xml:space="preserve">Scenario 3 – Enhanced Campus Model</w:t>
      </w:r>
    </w:p>
    <w:p>
      <w:pPr>
        <w:pStyle w:val="FirstParagraph"/>
      </w:pPr>
      <w:r>
        <w:t xml:space="preserve">• High-performance façade</w:t>
      </w:r>
      <w:r>
        <w:br/>
      </w:r>
      <w:r>
        <w:t xml:space="preserve">• Expanded learning commons</w:t>
      </w:r>
      <w:r>
        <w:br/>
      </w:r>
      <w:r>
        <w:t xml:space="preserve">• Advanced BMS &amp; energy systems</w:t>
      </w:r>
      <w:r>
        <w:br/>
      </w:r>
      <w:r>
        <w:t xml:space="preserve">• Premium acoustic treatments</w:t>
      </w:r>
    </w:p>
    <w:p>
      <w:pPr>
        <w:pStyle w:val="BodyText"/>
      </w:pPr>
      <w:r>
        <w:t xml:space="preserve">Estimated Range: SAR 270M–295M</w:t>
      </w:r>
    </w:p>
    <w:p>
      <w:r>
        <w:pict>
          <v:rect style="width:0;height:1.5pt" o:hralign="center" o:hrstd="t" o:hr="t"/>
        </w:pict>
      </w:r>
    </w:p>
    <w:bookmarkEnd w:id="135"/>
    <w:bookmarkEnd w:id="136"/>
    <w:bookmarkStart w:id="142" w:name="value-engineering-strategy"/>
    <w:p>
      <w:pPr>
        <w:pStyle w:val="Heading2"/>
      </w:pPr>
      <w:r>
        <w:t xml:space="preserve">11.8 Value Engineering Strategy</w:t>
      </w:r>
    </w:p>
    <w:bookmarkStart w:id="137" w:name="definition-of-value-engineering-ve"/>
    <w:p>
      <w:pPr>
        <w:pStyle w:val="Heading3"/>
      </w:pPr>
      <w:r>
        <w:t xml:space="preserve">11.8.1 Definition of Value Engineering (VE)</w:t>
      </w:r>
    </w:p>
    <w:p>
      <w:pPr>
        <w:pStyle w:val="FirstParagraph"/>
      </w:pPr>
      <w:r>
        <w:t xml:space="preserve">Value Engineering (VE) is a structured and systematic process used to optimize project cost without reducing functionality, safety, compliance, or long-term performance.</w:t>
      </w:r>
    </w:p>
    <w:p>
      <w:pPr>
        <w:pStyle w:val="BodyText"/>
      </w:pPr>
      <w:r>
        <w:t xml:space="preserve">For the PISES New Campus, VE shall not be interpreted as</w:t>
      </w:r>
      <w:r>
        <w:t xml:space="preserve"> </w:t>
      </w:r>
      <w:r>
        <w:t xml:space="preserve">“cost cutting.”</w:t>
      </w:r>
      <w:r>
        <w:br/>
      </w:r>
      <w:r>
        <w:t xml:space="preserve">It shall mean achieving the required educational performance, durability, and compliance at the most efficient lifecycle cost.</w:t>
      </w:r>
    </w:p>
    <w:p>
      <w:pPr>
        <w:pStyle w:val="BodyText"/>
      </w:pPr>
      <w:r>
        <w:t xml:space="preserve">The objective is to balance:</w:t>
      </w:r>
    </w:p>
    <w:p>
      <w:pPr>
        <w:pStyle w:val="BodyText"/>
      </w:pPr>
      <w:r>
        <w:t xml:space="preserve">• Capital Expenditure (CAPEX)</w:t>
      </w:r>
      <w:r>
        <w:br/>
      </w:r>
      <w:r>
        <w:t xml:space="preserve">• Operational Expenditure (OPEX)</w:t>
      </w:r>
      <w:r>
        <w:br/>
      </w:r>
      <w:r>
        <w:t xml:space="preserve">• Maintenance complexity</w:t>
      </w:r>
      <w:r>
        <w:br/>
      </w:r>
      <w:r>
        <w:t xml:space="preserve">• Lifecycle durability</w:t>
      </w:r>
      <w:r>
        <w:br/>
      </w:r>
      <w:r>
        <w:t xml:space="preserve">• Educational quality outcomes</w:t>
      </w:r>
    </w:p>
    <w:p>
      <w:r>
        <w:pict>
          <v:rect style="width:0;height:1.5pt" o:hralign="center" o:hrstd="t" o:hr="t"/>
        </w:pict>
      </w:r>
    </w:p>
    <w:bookmarkEnd w:id="137"/>
    <w:bookmarkStart w:id="138" w:name="ve-principles-for-pises"/>
    <w:p>
      <w:pPr>
        <w:pStyle w:val="Heading3"/>
      </w:pPr>
      <w:r>
        <w:t xml:space="preserve">11.8.2 VE Principles for PISES</w:t>
      </w:r>
    </w:p>
    <w:p>
      <w:pPr>
        <w:pStyle w:val="FirstParagraph"/>
      </w:pPr>
      <w:r>
        <w:t xml:space="preserve">The following principles shall govern all VE decisions:</w:t>
      </w:r>
    </w:p>
    <w:p>
      <w:pPr>
        <w:pStyle w:val="Compact"/>
        <w:numPr>
          <w:ilvl w:val="0"/>
          <w:numId w:val="1009"/>
        </w:numPr>
      </w:pPr>
      <w:r>
        <w:t xml:space="preserve">Life safety systems shall not be reduced.</w:t>
      </w:r>
      <w:r>
        <w:br/>
      </w:r>
    </w:p>
    <w:p>
      <w:pPr>
        <w:pStyle w:val="Compact"/>
        <w:numPr>
          <w:ilvl w:val="0"/>
          <w:numId w:val="1009"/>
        </w:numPr>
      </w:pPr>
      <w:r>
        <w:t xml:space="preserve">Accessibility provisions shall not be reduced.</w:t>
      </w:r>
      <w:r>
        <w:br/>
      </w:r>
    </w:p>
    <w:p>
      <w:pPr>
        <w:pStyle w:val="Compact"/>
        <w:numPr>
          <w:ilvl w:val="0"/>
          <w:numId w:val="1009"/>
        </w:numPr>
      </w:pPr>
      <w:r>
        <w:t xml:space="preserve">Structural integrity shall not be compromised.</w:t>
      </w:r>
      <w:r>
        <w:br/>
      </w:r>
    </w:p>
    <w:p>
      <w:pPr>
        <w:pStyle w:val="Compact"/>
        <w:numPr>
          <w:ilvl w:val="0"/>
          <w:numId w:val="1009"/>
        </w:numPr>
      </w:pPr>
      <w:r>
        <w:t xml:space="preserve">Educational space standards (area per student) shall not fall below adopted minimums.</w:t>
      </w:r>
      <w:r>
        <w:br/>
      </w:r>
    </w:p>
    <w:p>
      <w:pPr>
        <w:pStyle w:val="Compact"/>
        <w:numPr>
          <w:ilvl w:val="0"/>
          <w:numId w:val="1009"/>
        </w:numPr>
      </w:pPr>
      <w:r>
        <w:t xml:space="preserve">Long-term operational cost must be evaluated before reducing CAPEX.</w:t>
      </w:r>
    </w:p>
    <w:p>
      <w:r>
        <w:pict>
          <v:rect style="width:0;height:1.5pt" o:hralign="center" o:hrstd="t" o:hr="t"/>
        </w:pict>
      </w:r>
    </w:p>
    <w:bookmarkEnd w:id="138"/>
    <w:bookmarkStart w:id="139" w:name="ve-target-areas-permissible-optimization"/>
    <w:p>
      <w:pPr>
        <w:pStyle w:val="Heading3"/>
      </w:pPr>
      <w:r>
        <w:t xml:space="preserve">11.8.3 VE Target Areas (Permissible Optimization)</w:t>
      </w:r>
    </w:p>
    <w:p>
      <w:pPr>
        <w:pStyle w:val="FirstParagraph"/>
      </w:pPr>
      <w:r>
        <w:t xml:space="preserve">Value engineering may be applied to:</w:t>
      </w:r>
    </w:p>
    <w:p>
      <w:pPr>
        <w:pStyle w:val="BodyText"/>
      </w:pPr>
      <w:r>
        <w:t xml:space="preserve">• HVAC system selection (CHW vs optimized VRF in limited zones)</w:t>
      </w:r>
      <w:r>
        <w:br/>
      </w:r>
      <w:r>
        <w:t xml:space="preserve">• Façade material selection while maintaining thermal performance</w:t>
      </w:r>
      <w:r>
        <w:br/>
      </w:r>
      <w:r>
        <w:t xml:space="preserve">• Structural grid rationalization to reduce column count</w:t>
      </w:r>
      <w:r>
        <w:br/>
      </w:r>
      <w:r>
        <w:t xml:space="preserve">• Standardized classroom modules to reduce design repetition cost</w:t>
      </w:r>
      <w:r>
        <w:br/>
      </w:r>
      <w:r>
        <w:t xml:space="preserve">• Phasing of non-critical shared facilities</w:t>
      </w:r>
      <w:r>
        <w:br/>
      </w:r>
      <w:r>
        <w:t xml:space="preserve">• Selection of durable mid-range finishes instead of premium brands</w:t>
      </w:r>
    </w:p>
    <w:p>
      <w:pPr>
        <w:pStyle w:val="BodyText"/>
      </w:pPr>
      <w:r>
        <w:t xml:space="preserve">Each VE proposal must be supported by:</w:t>
      </w:r>
    </w:p>
    <w:p>
      <w:pPr>
        <w:pStyle w:val="BodyText"/>
      </w:pPr>
      <w:r>
        <w:t xml:space="preserve">• Cost comparison</w:t>
      </w:r>
      <w:r>
        <w:br/>
      </w:r>
      <w:r>
        <w:t xml:space="preserve">• Lifecycle cost analysis</w:t>
      </w:r>
      <w:r>
        <w:br/>
      </w:r>
      <w:r>
        <w:t xml:space="preserve">• Impact assessment on student experience</w:t>
      </w:r>
      <w:r>
        <w:br/>
      </w:r>
      <w:r>
        <w:t xml:space="preserve">• Compliance verification</w:t>
      </w:r>
    </w:p>
    <w:p>
      <w:r>
        <w:pict>
          <v:rect style="width:0;height:1.5pt" o:hralign="center" o:hrstd="t" o:hr="t"/>
        </w:pict>
      </w:r>
    </w:p>
    <w:bookmarkEnd w:id="139"/>
    <w:bookmarkStart w:id="140" w:name="ve-risk-controls"/>
    <w:p>
      <w:pPr>
        <w:pStyle w:val="Heading3"/>
      </w:pPr>
      <w:r>
        <w:t xml:space="preserve">11.8.4 VE Risk Controls</w:t>
      </w:r>
    </w:p>
    <w:p>
      <w:pPr>
        <w:pStyle w:val="FirstParagraph"/>
      </w:pPr>
      <w:r>
        <w:t xml:space="preserve">Risks associated with improper VE include:</w:t>
      </w:r>
    </w:p>
    <w:p>
      <w:pPr>
        <w:pStyle w:val="BodyText"/>
      </w:pPr>
      <w:r>
        <w:t xml:space="preserve">• Higher long-term maintenance costs</w:t>
      </w:r>
      <w:r>
        <w:br/>
      </w:r>
      <w:r>
        <w:t xml:space="preserve">• Increased energy consumption</w:t>
      </w:r>
      <w:r>
        <w:br/>
      </w:r>
      <w:r>
        <w:t xml:space="preserve">• Reduced acoustic comfort</w:t>
      </w:r>
      <w:r>
        <w:br/>
      </w:r>
      <w:r>
        <w:t xml:space="preserve">• Premature material failure</w:t>
      </w:r>
      <w:r>
        <w:br/>
      </w:r>
      <w:r>
        <w:t xml:space="preserve">• Future retrofit expenses</w:t>
      </w:r>
    </w:p>
    <w:p>
      <w:pPr>
        <w:pStyle w:val="BodyText"/>
      </w:pPr>
      <w:r>
        <w:t xml:space="preserve">To mitigate these risks, all VE proposals shall be reviewed by:</w:t>
      </w:r>
    </w:p>
    <w:p>
      <w:pPr>
        <w:pStyle w:val="BodyText"/>
      </w:pPr>
      <w:r>
        <w:t xml:space="preserve">• Project consultant team</w:t>
      </w:r>
      <w:r>
        <w:br/>
      </w:r>
      <w:r>
        <w:t xml:space="preserve">• MEP specialist</w:t>
      </w:r>
      <w:r>
        <w:br/>
      </w:r>
      <w:r>
        <w:t xml:space="preserve">• SMC technical subcommittee</w:t>
      </w:r>
    </w:p>
    <w:p>
      <w:pPr>
        <w:pStyle w:val="BodyText"/>
      </w:pPr>
      <w:r>
        <w:t xml:space="preserve">Formal approval shall be documented before implementation.</w:t>
      </w:r>
    </w:p>
    <w:p>
      <w:r>
        <w:pict>
          <v:rect style="width:0;height:1.5pt" o:hralign="center" o:hrstd="t" o:hr="t"/>
        </w:pict>
      </w:r>
    </w:p>
    <w:bookmarkEnd w:id="140"/>
    <w:bookmarkStart w:id="141" w:name="ve-decision-matrix"/>
    <w:p>
      <w:pPr>
        <w:pStyle w:val="Heading3"/>
      </w:pPr>
      <w:r>
        <w:t xml:space="preserve">11.8.5 VE Decision Matrix</w:t>
      </w:r>
    </w:p>
    <w:p>
      <w:pPr>
        <w:pStyle w:val="FirstParagraph"/>
      </w:pPr>
      <w:r>
        <w:t xml:space="preserve">Each VE proposal shall be evaluated against the following criteria:</w:t>
      </w:r>
    </w:p>
    <w:p>
      <w:pPr>
        <w:pStyle w:val="Compact"/>
        <w:numPr>
          <w:ilvl w:val="0"/>
          <w:numId w:val="1010"/>
        </w:numPr>
      </w:pPr>
      <w:r>
        <w:t xml:space="preserve">Cost saving percentage</w:t>
      </w:r>
      <w:r>
        <w:br/>
      </w:r>
    </w:p>
    <w:p>
      <w:pPr>
        <w:pStyle w:val="Compact"/>
        <w:numPr>
          <w:ilvl w:val="0"/>
          <w:numId w:val="1010"/>
        </w:numPr>
      </w:pPr>
      <w:r>
        <w:t xml:space="preserve">Lifecycle impact</w:t>
      </w:r>
      <w:r>
        <w:br/>
      </w:r>
    </w:p>
    <w:p>
      <w:pPr>
        <w:pStyle w:val="Compact"/>
        <w:numPr>
          <w:ilvl w:val="0"/>
          <w:numId w:val="1010"/>
        </w:numPr>
      </w:pPr>
      <w:r>
        <w:t xml:space="preserve">Compliance impact</w:t>
      </w:r>
      <w:r>
        <w:br/>
      </w:r>
    </w:p>
    <w:p>
      <w:pPr>
        <w:pStyle w:val="Compact"/>
        <w:numPr>
          <w:ilvl w:val="0"/>
          <w:numId w:val="1010"/>
        </w:numPr>
      </w:pPr>
      <w:r>
        <w:t xml:space="preserve">Educational impact</w:t>
      </w:r>
      <w:r>
        <w:br/>
      </w:r>
    </w:p>
    <w:p>
      <w:pPr>
        <w:pStyle w:val="Compact"/>
        <w:numPr>
          <w:ilvl w:val="0"/>
          <w:numId w:val="1010"/>
        </w:numPr>
      </w:pPr>
      <w:r>
        <w:t xml:space="preserve">Maintenance complexity</w:t>
      </w:r>
    </w:p>
    <w:p>
      <w:pPr>
        <w:pStyle w:val="FirstParagraph"/>
      </w:pPr>
      <w:r>
        <w:t xml:space="preserve">Only proposals achieving a positive lifecycle balance without compromising safety or academic function shall be adopted.</w:t>
      </w:r>
    </w:p>
    <w:p>
      <w:r>
        <w:pict>
          <v:rect style="width:0;height:1.5pt" o:hralign="center" o:hrstd="t" o:hr="t"/>
        </w:pict>
      </w:r>
    </w:p>
    <w:p>
      <w:pPr>
        <w:pStyle w:val="FirstParagraph"/>
      </w:pPr>
      <w:r>
        <w:t xml:space="preserve">END OF SECTION 11</w:t>
      </w:r>
    </w:p>
    <w:p>
      <w:r>
        <w:pict>
          <v:rect style="width:0;height:1.5pt" o:hralign="center" o:hrstd="t" o:hr="t"/>
        </w:pict>
      </w:r>
    </w:p>
    <w:bookmarkEnd w:id="141"/>
    <w:bookmarkEnd w:id="142"/>
    <w:bookmarkEnd w:id="143"/>
    <w:bookmarkStart w:id="150" w:name="phasing-expansion-strategy"/>
    <w:p>
      <w:pPr>
        <w:pStyle w:val="Heading1"/>
      </w:pPr>
      <w:r>
        <w:t xml:space="preserve">12. Phasing &amp; Expansion Strategy</w:t>
      </w:r>
    </w:p>
    <w:bookmarkStart w:id="144" w:name="strategic-intent"/>
    <w:p>
      <w:pPr>
        <w:pStyle w:val="Heading2"/>
      </w:pPr>
      <w:r>
        <w:t xml:space="preserve">12.1 Strategic Intent</w:t>
      </w:r>
    </w:p>
    <w:p>
      <w:pPr>
        <w:pStyle w:val="FirstParagraph"/>
      </w:pPr>
      <w:r>
        <w:t xml:space="preserve">The PISES New Campus is planned for an ultimate capacity of 7,000 students.</w:t>
      </w:r>
      <w:r>
        <w:br/>
      </w:r>
      <w:r>
        <w:t xml:space="preserve">This section defines whether full capacity is delivered in a single phase or through controlled modular expansion.</w:t>
      </w:r>
    </w:p>
    <w:p>
      <w:pPr>
        <w:pStyle w:val="BodyText"/>
      </w:pPr>
      <w:r>
        <w:t xml:space="preserve">The phasing strategy must balance:</w:t>
      </w:r>
    </w:p>
    <w:p>
      <w:pPr>
        <w:pStyle w:val="BodyText"/>
      </w:pPr>
      <w:r>
        <w:t xml:space="preserve">• Capital availability</w:t>
      </w:r>
      <w:r>
        <w:br/>
      </w:r>
      <w:r>
        <w:t xml:space="preserve">• Construction timeline</w:t>
      </w:r>
      <w:r>
        <w:br/>
      </w:r>
      <w:r>
        <w:t xml:space="preserve">• Enrollment projections</w:t>
      </w:r>
      <w:r>
        <w:br/>
      </w:r>
      <w:r>
        <w:t xml:space="preserve">• Operational readiness</w:t>
      </w:r>
      <w:r>
        <w:br/>
      </w:r>
      <w:r>
        <w:t xml:space="preserve">• Site density constraints</w:t>
      </w:r>
    </w:p>
    <w:p>
      <w:r>
        <w:pict>
          <v:rect style="width:0;height:1.5pt" o:hralign="center" o:hrstd="t" o:hr="t"/>
        </w:pict>
      </w:r>
    </w:p>
    <w:bookmarkEnd w:id="144"/>
    <w:bookmarkStart w:id="145" w:name="phase-1-full-build-strategy-option-a"/>
    <w:p>
      <w:pPr>
        <w:pStyle w:val="Heading2"/>
      </w:pPr>
      <w:r>
        <w:t xml:space="preserve">12.2 Phase 1 – Full Build Strategy (Option A)</w:t>
      </w:r>
    </w:p>
    <w:p>
      <w:pPr>
        <w:pStyle w:val="FirstParagraph"/>
      </w:pPr>
      <w:r>
        <w:t xml:space="preserve">Under this approach:</w:t>
      </w:r>
    </w:p>
    <w:p>
      <w:pPr>
        <w:pStyle w:val="BodyText"/>
      </w:pPr>
      <w:r>
        <w:t xml:space="preserve">• Entire 7,000-student infrastructure is constructed in Phase 1</w:t>
      </w:r>
      <w:r>
        <w:br/>
      </w:r>
      <w:r>
        <w:t xml:space="preserve">• All academic wings completed</w:t>
      </w:r>
      <w:r>
        <w:br/>
      </w:r>
      <w:r>
        <w:t xml:space="preserve">• Shared facilities delivered at full scale</w:t>
      </w:r>
      <w:r>
        <w:br/>
      </w:r>
      <w:r>
        <w:t xml:space="preserve">• Central plant sized for ultimate load</w:t>
      </w:r>
    </w:p>
    <w:p>
      <w:pPr>
        <w:pStyle w:val="BodyText"/>
      </w:pPr>
      <w:r>
        <w:t xml:space="preserve">Advantages:</w:t>
      </w:r>
    </w:p>
    <w:p>
      <w:pPr>
        <w:pStyle w:val="BodyText"/>
      </w:pPr>
      <w:r>
        <w:t xml:space="preserve">• Single construction disruption period</w:t>
      </w:r>
      <w:r>
        <w:br/>
      </w:r>
      <w:r>
        <w:t xml:space="preserve">• Economies of scale in procurement</w:t>
      </w:r>
      <w:r>
        <w:br/>
      </w:r>
      <w:r>
        <w:t xml:space="preserve">• No future structural retrofit</w:t>
      </w:r>
      <w:r>
        <w:br/>
      </w:r>
      <w:r>
        <w:t xml:space="preserve">• Full compliance with long-term vision</w:t>
      </w:r>
    </w:p>
    <w:p>
      <w:pPr>
        <w:pStyle w:val="BodyText"/>
      </w:pPr>
      <w:r>
        <w:t xml:space="preserve">Risks:</w:t>
      </w:r>
    </w:p>
    <w:p>
      <w:pPr>
        <w:pStyle w:val="BodyText"/>
      </w:pPr>
      <w:r>
        <w:t xml:space="preserve">• Higher upfront capital requirement</w:t>
      </w:r>
      <w:r>
        <w:br/>
      </w:r>
      <w:r>
        <w:t xml:space="preserve">• Early years under-utilization of some facilities</w:t>
      </w:r>
    </w:p>
    <w:p>
      <w:r>
        <w:pict>
          <v:rect style="width:0;height:1.5pt" o:hralign="center" o:hrstd="t" o:hr="t"/>
        </w:pict>
      </w:r>
    </w:p>
    <w:bookmarkEnd w:id="145"/>
    <w:bookmarkStart w:id="146" w:name="X752547a5d40ea79b22ae4cc692d7e0a38d33037"/>
    <w:p>
      <w:pPr>
        <w:pStyle w:val="Heading2"/>
      </w:pPr>
      <w:r>
        <w:t xml:space="preserve">12.3 Phase 1 + Phase 2 Modular Strategy (Option B)</w:t>
      </w:r>
    </w:p>
    <w:p>
      <w:pPr>
        <w:pStyle w:val="FirstParagraph"/>
      </w:pPr>
      <w:r>
        <w:t xml:space="preserve">Under this approach:</w:t>
      </w:r>
    </w:p>
    <w:p>
      <w:pPr>
        <w:pStyle w:val="BodyText"/>
      </w:pPr>
      <w:r>
        <w:t xml:space="preserve">Phase 1 capacity target: 4,500–5,000 students</w:t>
      </w:r>
      <w:r>
        <w:br/>
      </w:r>
      <w:r>
        <w:t xml:space="preserve">Phase 2 expansion: 2,000–2,500 additional capacity</w:t>
      </w:r>
    </w:p>
    <w:p>
      <w:pPr>
        <w:pStyle w:val="BodyText"/>
      </w:pPr>
      <w:r>
        <w:t xml:space="preserve">Phase 1 would include:</w:t>
      </w:r>
    </w:p>
    <w:p>
      <w:pPr>
        <w:pStyle w:val="BodyText"/>
      </w:pPr>
      <w:r>
        <w:t xml:space="preserve">• Primary zone</w:t>
      </w:r>
      <w:r>
        <w:br/>
      </w:r>
      <w:r>
        <w:t xml:space="preserve">• One full secondary wing</w:t>
      </w:r>
      <w:r>
        <w:br/>
      </w:r>
      <w:r>
        <w:t xml:space="preserve">• Scaled shared facilities</w:t>
      </w:r>
      <w:r>
        <w:br/>
      </w:r>
      <w:r>
        <w:t xml:space="preserve">• Central plant designed for future expansion</w:t>
      </w:r>
    </w:p>
    <w:p>
      <w:pPr>
        <w:pStyle w:val="BodyText"/>
      </w:pPr>
      <w:r>
        <w:t xml:space="preserve">Phase 2 would include:</w:t>
      </w:r>
    </w:p>
    <w:p>
      <w:pPr>
        <w:pStyle w:val="BodyText"/>
      </w:pPr>
      <w:r>
        <w:t xml:space="preserve">• Remaining academic wing</w:t>
      </w:r>
      <w:r>
        <w:br/>
      </w:r>
      <w:r>
        <w:t xml:space="preserve">• Expanded assembly and sports facilities</w:t>
      </w:r>
      <w:r>
        <w:br/>
      </w:r>
      <w:r>
        <w:t xml:space="preserve">• Additional classroom clusters</w:t>
      </w:r>
    </w:p>
    <w:p>
      <w:pPr>
        <w:pStyle w:val="BodyText"/>
      </w:pPr>
      <w:r>
        <w:t xml:space="preserve">Advantages:</w:t>
      </w:r>
    </w:p>
    <w:p>
      <w:pPr>
        <w:pStyle w:val="BodyText"/>
      </w:pPr>
      <w:r>
        <w:t xml:space="preserve">• Reduced initial CAPEX</w:t>
      </w:r>
      <w:r>
        <w:br/>
      </w:r>
      <w:r>
        <w:t xml:space="preserve">• Demand-based growth</w:t>
      </w:r>
      <w:r>
        <w:br/>
      </w:r>
      <w:r>
        <w:t xml:space="preserve">• Financial risk mitigation</w:t>
      </w:r>
    </w:p>
    <w:p>
      <w:pPr>
        <w:pStyle w:val="BodyText"/>
      </w:pPr>
      <w:r>
        <w:t xml:space="preserve">Risks:</w:t>
      </w:r>
    </w:p>
    <w:p>
      <w:pPr>
        <w:pStyle w:val="BodyText"/>
      </w:pPr>
      <w:r>
        <w:t xml:space="preserve">• Future construction disruption</w:t>
      </w:r>
      <w:r>
        <w:br/>
      </w:r>
      <w:r>
        <w:t xml:space="preserve">• Higher total lifecycle cost due to remobilization</w:t>
      </w:r>
      <w:r>
        <w:br/>
      </w:r>
      <w:r>
        <w:t xml:space="preserve">• Site logistics complexity during expansion</w:t>
      </w:r>
    </w:p>
    <w:p>
      <w:r>
        <w:pict>
          <v:rect style="width:0;height:1.5pt" o:hralign="center" o:hrstd="t" o:hr="t"/>
        </w:pict>
      </w:r>
    </w:p>
    <w:bookmarkEnd w:id="146"/>
    <w:bookmarkStart w:id="147" w:name="Xe1d1206c8c085566adb1ff44edb8cf5cf9792b9"/>
    <w:p>
      <w:pPr>
        <w:pStyle w:val="Heading2"/>
      </w:pPr>
      <w:r>
        <w:t xml:space="preserve">12.4 Infrastructure Pre-Provisioning Requirement</w:t>
      </w:r>
    </w:p>
    <w:p>
      <w:pPr>
        <w:pStyle w:val="FirstParagraph"/>
      </w:pPr>
      <w:r>
        <w:t xml:space="preserve">If phased delivery is adopted, Phase 1 must include:</w:t>
      </w:r>
    </w:p>
    <w:p>
      <w:pPr>
        <w:pStyle w:val="BodyText"/>
      </w:pPr>
      <w:r>
        <w:t xml:space="preserve">• Oversized electrical infrastructure</w:t>
      </w:r>
      <w:r>
        <w:br/>
      </w:r>
      <w:r>
        <w:t xml:space="preserve">• Plant space allowance</w:t>
      </w:r>
      <w:r>
        <w:br/>
      </w:r>
      <w:r>
        <w:t xml:space="preserve">• Structural provisions for vertical or horizontal expansion</w:t>
      </w:r>
      <w:r>
        <w:br/>
      </w:r>
      <w:r>
        <w:t xml:space="preserve">• Underground utility capacity sized for ultimate build-out</w:t>
      </w:r>
    </w:p>
    <w:p>
      <w:pPr>
        <w:pStyle w:val="BodyText"/>
      </w:pPr>
      <w:r>
        <w:t xml:space="preserve">Failure to pre-provision significantly increases future cost.</w:t>
      </w:r>
    </w:p>
    <w:p>
      <w:r>
        <w:pict>
          <v:rect style="width:0;height:1.5pt" o:hralign="center" o:hrstd="t" o:hr="t"/>
        </w:pict>
      </w:r>
    </w:p>
    <w:bookmarkEnd w:id="147"/>
    <w:bookmarkStart w:id="148" w:name="enrollment-sensitivity-analysis"/>
    <w:p>
      <w:pPr>
        <w:pStyle w:val="Heading2"/>
      </w:pPr>
      <w:r>
        <w:t xml:space="preserve">12.5 Enrollment Sensitivity Analysis</w:t>
      </w:r>
    </w:p>
    <w:p>
      <w:pPr>
        <w:pStyle w:val="FirstParagraph"/>
      </w:pPr>
      <w:r>
        <w:t xml:space="preserve">The phasing decision shall consider:</w:t>
      </w:r>
    </w:p>
    <w:p>
      <w:pPr>
        <w:pStyle w:val="BodyText"/>
      </w:pPr>
      <w:r>
        <w:t xml:space="preserve">• Current student distribution</w:t>
      </w:r>
      <w:r>
        <w:br/>
      </w:r>
      <w:r>
        <w:t xml:space="preserve">• Projected annual growth rate</w:t>
      </w:r>
      <w:r>
        <w:br/>
      </w:r>
      <w:r>
        <w:t xml:space="preserve">• Retention trends</w:t>
      </w:r>
      <w:r>
        <w:br/>
      </w:r>
      <w:r>
        <w:t xml:space="preserve">• Gender distribution balance</w:t>
      </w:r>
    </w:p>
    <w:p>
      <w:pPr>
        <w:pStyle w:val="BodyText"/>
      </w:pPr>
      <w:r>
        <w:t xml:space="preserve">Final decision shall be supported by updated enrollment projections from the existing campus.</w:t>
      </w:r>
    </w:p>
    <w:p>
      <w:r>
        <w:pict>
          <v:rect style="width:0;height:1.5pt" o:hralign="center" o:hrstd="t" o:hr="t"/>
        </w:pict>
      </w:r>
    </w:p>
    <w:bookmarkEnd w:id="148"/>
    <w:bookmarkStart w:id="149" w:name="recommended-approach-planning-stage"/>
    <w:p>
      <w:pPr>
        <w:pStyle w:val="Heading2"/>
      </w:pPr>
      <w:r>
        <w:t xml:space="preserve">12.6 Recommended Approach (Planning Stage)</w:t>
      </w:r>
    </w:p>
    <w:p>
      <w:pPr>
        <w:pStyle w:val="FirstParagraph"/>
      </w:pPr>
      <w:r>
        <w:t xml:space="preserve">At Basis of Design stage, the preferred strategy is:</w:t>
      </w:r>
    </w:p>
    <w:p>
      <w:pPr>
        <w:pStyle w:val="BodyText"/>
      </w:pPr>
      <w:r>
        <w:t xml:space="preserve">• Structural and infrastructure design for full 7,000 capacity</w:t>
      </w:r>
      <w:r>
        <w:br/>
      </w:r>
      <w:r>
        <w:t xml:space="preserve">• Evaluate financial viability of phased academic block delivery</w:t>
      </w:r>
      <w:r>
        <w:br/>
      </w:r>
      <w:r>
        <w:t xml:space="preserve">• Avoid downsizing critical shared facilities</w:t>
      </w:r>
    </w:p>
    <w:p>
      <w:pPr>
        <w:pStyle w:val="BodyText"/>
      </w:pPr>
      <w:r>
        <w:t xml:space="preserve">This approach preserves long-term flexibility while protecting the institutional vision.</w:t>
      </w:r>
    </w:p>
    <w:p>
      <w:r>
        <w:pict>
          <v:rect style="width:0;height:1.5pt" o:hralign="center" o:hrstd="t" o:hr="t"/>
        </w:pict>
      </w:r>
    </w:p>
    <w:p>
      <w:pPr>
        <w:pStyle w:val="FirstParagraph"/>
      </w:pPr>
      <w:r>
        <w:t xml:space="preserve">END OF SECTION 12</w:t>
      </w:r>
    </w:p>
    <w:p>
      <w:r>
        <w:pict>
          <v:rect style="width:0;height:1.5pt" o:hralign="center" o:hrstd="t" o:hr="t"/>
        </w:pict>
      </w:r>
    </w:p>
    <w:bookmarkEnd w:id="149"/>
    <w:bookmarkEnd w:id="150"/>
    <w:bookmarkStart w:id="162" w:name="risk-register-governance-controls"/>
    <w:p>
      <w:pPr>
        <w:pStyle w:val="Heading1"/>
      </w:pPr>
      <w:r>
        <w:t xml:space="preserve">13. Risk Register &amp; Governance Controls</w:t>
      </w:r>
    </w:p>
    <w:bookmarkStart w:id="151" w:name="purpose"/>
    <w:p>
      <w:pPr>
        <w:pStyle w:val="Heading2"/>
      </w:pPr>
      <w:r>
        <w:t xml:space="preserve">13.1 Purpose</w:t>
      </w:r>
    </w:p>
    <w:p>
      <w:pPr>
        <w:pStyle w:val="FirstParagraph"/>
      </w:pPr>
      <w:r>
        <w:t xml:space="preserve">This section establishes a structured risk management and governance framework for the PISES New Campus project.</w:t>
      </w:r>
    </w:p>
    <w:p>
      <w:pPr>
        <w:pStyle w:val="BodyText"/>
      </w:pPr>
      <w:r>
        <w:t xml:space="preserve">Given the scale (~SAR 240–260M) and stakeholder complexity (SMC, Embassy oversight, consultants, contractors), formal risk controls are mandatory.</w:t>
      </w:r>
    </w:p>
    <w:p>
      <w:pPr>
        <w:pStyle w:val="BodyText"/>
      </w:pPr>
      <w:r>
        <w:t xml:space="preserve">The objective is to:</w:t>
      </w:r>
    </w:p>
    <w:p>
      <w:pPr>
        <w:pStyle w:val="BodyText"/>
      </w:pPr>
      <w:r>
        <w:t xml:space="preserve">• Protect institutional capital</w:t>
      </w:r>
      <w:r>
        <w:br/>
      </w:r>
      <w:r>
        <w:t xml:space="preserve">• Protect SMC decision makers</w:t>
      </w:r>
      <w:r>
        <w:br/>
      </w:r>
      <w:r>
        <w:t xml:space="preserve">• Ensure regulatory compliance</w:t>
      </w:r>
      <w:r>
        <w:br/>
      </w:r>
      <w:r>
        <w:t xml:space="preserve">• Maintain transparency and accountability</w:t>
      </w:r>
      <w:r>
        <w:br/>
      </w:r>
      <w:r>
        <w:t xml:space="preserve">• Prevent scope creep and uncontrolled cost escalation</w:t>
      </w:r>
    </w:p>
    <w:p>
      <w:r>
        <w:pict>
          <v:rect style="width:0;height:1.5pt" o:hralign="center" o:hrstd="t" o:hr="t"/>
        </w:pict>
      </w:r>
    </w:p>
    <w:bookmarkEnd w:id="151"/>
    <w:bookmarkStart w:id="157" w:name="primary-risk-categories"/>
    <w:p>
      <w:pPr>
        <w:pStyle w:val="Heading2"/>
      </w:pPr>
      <w:r>
        <w:t xml:space="preserve">13.2 Primary Risk Categories</w:t>
      </w:r>
    </w:p>
    <w:bookmarkStart w:id="152" w:name="financial-risks"/>
    <w:p>
      <w:pPr>
        <w:pStyle w:val="Heading3"/>
      </w:pPr>
      <w:r>
        <w:t xml:space="preserve">13.2.1 Financial Risks</w:t>
      </w:r>
    </w:p>
    <w:p>
      <w:pPr>
        <w:pStyle w:val="FirstParagraph"/>
      </w:pPr>
      <w:r>
        <w:t xml:space="preserve">• Cost overruns due to scope growth</w:t>
      </w:r>
      <w:r>
        <w:br/>
      </w:r>
      <w:r>
        <w:t xml:space="preserve">• Underestimation of MEP plant requirements</w:t>
      </w:r>
      <w:r>
        <w:br/>
      </w:r>
      <w:r>
        <w:t xml:space="preserve">• Inflation and material price volatility</w:t>
      </w:r>
      <w:r>
        <w:br/>
      </w:r>
      <w:r>
        <w:t xml:space="preserve">• Incomplete VE lifecycle evaluation</w:t>
      </w:r>
      <w:r>
        <w:br/>
      </w:r>
      <w:r>
        <w:t xml:space="preserve">• Delayed enrollment affecting revenue projections</w:t>
      </w:r>
    </w:p>
    <w:p>
      <w:pPr>
        <w:pStyle w:val="BodyText"/>
      </w:pPr>
      <w:r>
        <w:t xml:space="preserve">Mitigation:</w:t>
      </w:r>
    </w:p>
    <w:p>
      <w:pPr>
        <w:pStyle w:val="BodyText"/>
      </w:pPr>
      <w:r>
        <w:t xml:space="preserve">• Independent cost consultant review</w:t>
      </w:r>
      <w:r>
        <w:br/>
      </w:r>
      <w:r>
        <w:t xml:space="preserve">• 7–10% contingency allowance</w:t>
      </w:r>
      <w:r>
        <w:br/>
      </w:r>
      <w:r>
        <w:t xml:space="preserve">• Formal change control process</w:t>
      </w:r>
      <w:r>
        <w:br/>
      </w:r>
      <w:r>
        <w:t xml:space="preserve">• Stage-gate approvals before tender</w:t>
      </w:r>
    </w:p>
    <w:p>
      <w:r>
        <w:pict>
          <v:rect style="width:0;height:1.5pt" o:hralign="center" o:hrstd="t" o:hr="t"/>
        </w:pict>
      </w:r>
    </w:p>
    <w:bookmarkEnd w:id="152"/>
    <w:bookmarkStart w:id="153" w:name="regulatory-approval-risks"/>
    <w:p>
      <w:pPr>
        <w:pStyle w:val="Heading3"/>
      </w:pPr>
      <w:r>
        <w:t xml:space="preserve">13.2.2 Regulatory &amp; Approval Risks</w:t>
      </w:r>
    </w:p>
    <w:p>
      <w:pPr>
        <w:pStyle w:val="FirstParagraph"/>
      </w:pPr>
      <w:r>
        <w:t xml:space="preserve">• Delays in SBC compliance approvals</w:t>
      </w:r>
      <w:r>
        <w:br/>
      </w:r>
      <w:r>
        <w:t xml:space="preserve">• Civil Defense design revisions</w:t>
      </w:r>
      <w:r>
        <w:br/>
      </w:r>
      <w:r>
        <w:t xml:space="preserve">• Municipal traffic authority objections</w:t>
      </w:r>
      <w:r>
        <w:br/>
      </w:r>
      <w:r>
        <w:t xml:space="preserve">• TBC category compliance issues</w:t>
      </w:r>
    </w:p>
    <w:p>
      <w:pPr>
        <w:pStyle w:val="BodyText"/>
      </w:pPr>
      <w:r>
        <w:t xml:space="preserve">Mitigation:</w:t>
      </w:r>
    </w:p>
    <w:p>
      <w:pPr>
        <w:pStyle w:val="BodyText"/>
      </w:pPr>
      <w:r>
        <w:t xml:space="preserve">• Early authority engagement</w:t>
      </w:r>
      <w:r>
        <w:br/>
      </w:r>
      <w:r>
        <w:t xml:space="preserve">• Pre-submission compliance review</w:t>
      </w:r>
      <w:r>
        <w:br/>
      </w:r>
      <w:r>
        <w:t xml:space="preserve">• Dedicated approvals tracker</w:t>
      </w:r>
      <w:r>
        <w:br/>
      </w:r>
      <w:r>
        <w:t xml:space="preserve">• Third-party code consultant verification</w:t>
      </w:r>
    </w:p>
    <w:p>
      <w:r>
        <w:pict>
          <v:rect style="width:0;height:1.5pt" o:hralign="center" o:hrstd="t" o:hr="t"/>
        </w:pict>
      </w:r>
    </w:p>
    <w:bookmarkEnd w:id="153"/>
    <w:bookmarkStart w:id="154" w:name="design-technical-risks"/>
    <w:p>
      <w:pPr>
        <w:pStyle w:val="Heading3"/>
      </w:pPr>
      <w:r>
        <w:t xml:space="preserve">13.2.3 Design &amp; Technical Risks</w:t>
      </w:r>
    </w:p>
    <w:p>
      <w:pPr>
        <w:pStyle w:val="FirstParagraph"/>
      </w:pPr>
      <w:r>
        <w:t xml:space="preserve">• Undersized stair cores or corridors</w:t>
      </w:r>
      <w:r>
        <w:br/>
      </w:r>
      <w:r>
        <w:t xml:space="preserve">• Insufficient HVAC plant sizing</w:t>
      </w:r>
      <w:r>
        <w:br/>
      </w:r>
      <w:r>
        <w:t xml:space="preserve">• Acoustic performance shortfalls</w:t>
      </w:r>
      <w:r>
        <w:br/>
      </w:r>
      <w:r>
        <w:t xml:space="preserve">• Structural grid inefficiencies</w:t>
      </w:r>
      <w:r>
        <w:br/>
      </w:r>
      <w:r>
        <w:t xml:space="preserve">• Basement waterproofing risks</w:t>
      </w:r>
    </w:p>
    <w:p>
      <w:pPr>
        <w:pStyle w:val="BodyText"/>
      </w:pPr>
      <w:r>
        <w:t xml:space="preserve">Mitigation:</w:t>
      </w:r>
    </w:p>
    <w:p>
      <w:pPr>
        <w:pStyle w:val="BodyText"/>
      </w:pPr>
      <w:r>
        <w:t xml:space="preserve">• Independent peer review of schematic design</w:t>
      </w:r>
      <w:r>
        <w:br/>
      </w:r>
      <w:r>
        <w:t xml:space="preserve">• Detailed load calculations before IFC stage</w:t>
      </w:r>
      <w:r>
        <w:br/>
      </w:r>
      <w:r>
        <w:t xml:space="preserve">• Simulation modeling (energy, egress, traffic)</w:t>
      </w:r>
    </w:p>
    <w:p>
      <w:r>
        <w:pict>
          <v:rect style="width:0;height:1.5pt" o:hralign="center" o:hrstd="t" o:hr="t"/>
        </w:pict>
      </w:r>
    </w:p>
    <w:bookmarkEnd w:id="154"/>
    <w:bookmarkStart w:id="155" w:name="operational-risks"/>
    <w:p>
      <w:pPr>
        <w:pStyle w:val="Heading3"/>
      </w:pPr>
      <w:r>
        <w:t xml:space="preserve">13.2.4 Operational Risks</w:t>
      </w:r>
    </w:p>
    <w:p>
      <w:pPr>
        <w:pStyle w:val="FirstParagraph"/>
      </w:pPr>
      <w:r>
        <w:t xml:space="preserve">• Traffic congestion during dismissal</w:t>
      </w:r>
      <w:r>
        <w:br/>
      </w:r>
      <w:r>
        <w:t xml:space="preserve">• Underestimated maintenance staffing</w:t>
      </w:r>
      <w:r>
        <w:br/>
      </w:r>
      <w:r>
        <w:t xml:space="preserve">• Energy cost escalation</w:t>
      </w:r>
      <w:r>
        <w:br/>
      </w:r>
      <w:r>
        <w:t xml:space="preserve">• Future retrofit due to undersizing</w:t>
      </w:r>
    </w:p>
    <w:p>
      <w:pPr>
        <w:pStyle w:val="BodyText"/>
      </w:pPr>
      <w:r>
        <w:t xml:space="preserve">Mitigation:</w:t>
      </w:r>
    </w:p>
    <w:p>
      <w:pPr>
        <w:pStyle w:val="BodyText"/>
      </w:pPr>
      <w:r>
        <w:t xml:space="preserve">• Lifecycle OPEX modeling</w:t>
      </w:r>
      <w:r>
        <w:br/>
      </w:r>
      <w:r>
        <w:t xml:space="preserve">• Facilities management input during design</w:t>
      </w:r>
      <w:r>
        <w:br/>
      </w:r>
      <w:r>
        <w:t xml:space="preserve">• Phased commissioning and operational training</w:t>
      </w:r>
    </w:p>
    <w:p>
      <w:r>
        <w:pict>
          <v:rect style="width:0;height:1.5pt" o:hralign="center" o:hrstd="t" o:hr="t"/>
        </w:pict>
      </w:r>
    </w:p>
    <w:bookmarkEnd w:id="155"/>
    <w:bookmarkStart w:id="156" w:name="governance-procurement-risks"/>
    <w:p>
      <w:pPr>
        <w:pStyle w:val="Heading3"/>
      </w:pPr>
      <w:r>
        <w:t xml:space="preserve">13.2.5 Governance &amp; Procurement Risks</w:t>
      </w:r>
    </w:p>
    <w:p>
      <w:pPr>
        <w:pStyle w:val="FirstParagraph"/>
      </w:pPr>
      <w:r>
        <w:t xml:space="preserve">• Non-transparent contractor selection</w:t>
      </w:r>
      <w:r>
        <w:br/>
      </w:r>
      <w:r>
        <w:t xml:space="preserve">• Conflict of interest concerns</w:t>
      </w:r>
      <w:r>
        <w:br/>
      </w:r>
      <w:r>
        <w:t xml:space="preserve">• Inadequate documentation control</w:t>
      </w:r>
      <w:r>
        <w:br/>
      </w:r>
      <w:r>
        <w:t xml:space="preserve">• Informal scope changes</w:t>
      </w:r>
    </w:p>
    <w:p>
      <w:pPr>
        <w:pStyle w:val="BodyText"/>
      </w:pPr>
      <w:r>
        <w:t xml:space="preserve">Mitigation:</w:t>
      </w:r>
    </w:p>
    <w:p>
      <w:pPr>
        <w:pStyle w:val="BodyText"/>
      </w:pPr>
      <w:r>
        <w:t xml:space="preserve">• Formal RFP and tender procedures</w:t>
      </w:r>
      <w:r>
        <w:br/>
      </w:r>
      <w:r>
        <w:t xml:space="preserve">• Conflict of interest declarations</w:t>
      </w:r>
      <w:r>
        <w:br/>
      </w:r>
      <w:r>
        <w:t xml:space="preserve">• Document control system (version tracked)</w:t>
      </w:r>
      <w:r>
        <w:br/>
      </w:r>
      <w:r>
        <w:t xml:space="preserve">• Written SMC resolution for all major decisions</w:t>
      </w:r>
    </w:p>
    <w:p>
      <w:r>
        <w:pict>
          <v:rect style="width:0;height:1.5pt" o:hralign="center" o:hrstd="t" o:hr="t"/>
        </w:pict>
      </w:r>
    </w:p>
    <w:bookmarkEnd w:id="156"/>
    <w:bookmarkEnd w:id="157"/>
    <w:bookmarkStart w:id="158" w:name="change-management-protocol"/>
    <w:p>
      <w:pPr>
        <w:pStyle w:val="Heading2"/>
      </w:pPr>
      <w:r>
        <w:t xml:space="preserve">13.3 Change Management Protocol</w:t>
      </w:r>
    </w:p>
    <w:p>
      <w:pPr>
        <w:pStyle w:val="FirstParagraph"/>
      </w:pPr>
      <w:r>
        <w:t xml:space="preserve">All scope, cost, or schedule changes shall follow a structured process:</w:t>
      </w:r>
    </w:p>
    <w:p>
      <w:pPr>
        <w:pStyle w:val="Compact"/>
        <w:numPr>
          <w:ilvl w:val="0"/>
          <w:numId w:val="1011"/>
        </w:numPr>
      </w:pPr>
      <w:r>
        <w:t xml:space="preserve">Written change proposal</w:t>
      </w:r>
      <w:r>
        <w:br/>
      </w:r>
    </w:p>
    <w:p>
      <w:pPr>
        <w:pStyle w:val="Compact"/>
        <w:numPr>
          <w:ilvl w:val="0"/>
          <w:numId w:val="1011"/>
        </w:numPr>
      </w:pPr>
      <w:r>
        <w:t xml:space="preserve">Cost impact analysis</w:t>
      </w:r>
      <w:r>
        <w:br/>
      </w:r>
    </w:p>
    <w:p>
      <w:pPr>
        <w:pStyle w:val="Compact"/>
        <w:numPr>
          <w:ilvl w:val="0"/>
          <w:numId w:val="1011"/>
        </w:numPr>
      </w:pPr>
      <w:r>
        <w:t xml:space="preserve">Lifecycle review</w:t>
      </w:r>
      <w:r>
        <w:br/>
      </w:r>
    </w:p>
    <w:p>
      <w:pPr>
        <w:pStyle w:val="Compact"/>
        <w:numPr>
          <w:ilvl w:val="0"/>
          <w:numId w:val="1011"/>
        </w:numPr>
      </w:pPr>
      <w:r>
        <w:t xml:space="preserve">Consultant technical endorsement</w:t>
      </w:r>
      <w:r>
        <w:br/>
      </w:r>
    </w:p>
    <w:p>
      <w:pPr>
        <w:pStyle w:val="Compact"/>
        <w:numPr>
          <w:ilvl w:val="0"/>
          <w:numId w:val="1011"/>
        </w:numPr>
      </w:pPr>
      <w:r>
        <w:t xml:space="preserve">SMC subcommittee review</w:t>
      </w:r>
      <w:r>
        <w:br/>
      </w:r>
    </w:p>
    <w:p>
      <w:pPr>
        <w:pStyle w:val="Compact"/>
        <w:numPr>
          <w:ilvl w:val="0"/>
          <w:numId w:val="1011"/>
        </w:numPr>
      </w:pPr>
      <w:r>
        <w:t xml:space="preserve">Formal approval recorded in minutes</w:t>
      </w:r>
    </w:p>
    <w:p>
      <w:pPr>
        <w:pStyle w:val="FirstParagraph"/>
      </w:pPr>
      <w:r>
        <w:t xml:space="preserve">No verbal approvals shall be binding.</w:t>
      </w:r>
    </w:p>
    <w:p>
      <w:r>
        <w:pict>
          <v:rect style="width:0;height:1.5pt" o:hralign="center" o:hrstd="t" o:hr="t"/>
        </w:pict>
      </w:r>
    </w:p>
    <w:bookmarkEnd w:id="158"/>
    <w:bookmarkStart w:id="159" w:name="decision-gate-structure"/>
    <w:p>
      <w:pPr>
        <w:pStyle w:val="Heading2"/>
      </w:pPr>
      <w:r>
        <w:t xml:space="preserve">13.4 Decision Gate Structure</w:t>
      </w:r>
    </w:p>
    <w:p>
      <w:pPr>
        <w:pStyle w:val="FirstParagraph"/>
      </w:pPr>
      <w:r>
        <w:t xml:space="preserve">The project shall follow formal stage gates:</w:t>
      </w:r>
    </w:p>
    <w:p>
      <w:pPr>
        <w:pStyle w:val="BodyText"/>
      </w:pPr>
      <w:r>
        <w:t xml:space="preserve">• Gate 1 – Basis of Design Approval</w:t>
      </w:r>
      <w:r>
        <w:br/>
      </w:r>
      <w:r>
        <w:t xml:space="preserve">• Gate 2 – Concept Design Approval</w:t>
      </w:r>
      <w:r>
        <w:br/>
      </w:r>
      <w:r>
        <w:t xml:space="preserve">• Gate 3 – Schematic Design Approval</w:t>
      </w:r>
      <w:r>
        <w:br/>
      </w:r>
      <w:r>
        <w:t xml:space="preserve">• Gate 4 – IFC Approval &amp; Tender Release</w:t>
      </w:r>
      <w:r>
        <w:br/>
      </w:r>
      <w:r>
        <w:t xml:space="preserve">• Gate 5 – Contract Award Approval</w:t>
      </w:r>
    </w:p>
    <w:p>
      <w:pPr>
        <w:pStyle w:val="BodyText"/>
      </w:pPr>
      <w:r>
        <w:t xml:space="preserve">Each gate requires documented SMC approval.</w:t>
      </w:r>
    </w:p>
    <w:p>
      <w:r>
        <w:pict>
          <v:rect style="width:0;height:1.5pt" o:hralign="center" o:hrstd="t" o:hr="t"/>
        </w:pict>
      </w:r>
    </w:p>
    <w:bookmarkEnd w:id="159"/>
    <w:bookmarkStart w:id="160" w:name="independent-oversight-recommendation"/>
    <w:p>
      <w:pPr>
        <w:pStyle w:val="Heading2"/>
      </w:pPr>
      <w:r>
        <w:t xml:space="preserve">13.5 Independent Oversight Recommendation</w:t>
      </w:r>
    </w:p>
    <w:p>
      <w:pPr>
        <w:pStyle w:val="FirstParagraph"/>
      </w:pPr>
      <w:r>
        <w:t xml:space="preserve">Given project scale, the following is recommended:</w:t>
      </w:r>
    </w:p>
    <w:p>
      <w:pPr>
        <w:pStyle w:val="BodyText"/>
      </w:pPr>
      <w:r>
        <w:t xml:space="preserve">• Independent cost consultant</w:t>
      </w:r>
      <w:r>
        <w:br/>
      </w:r>
      <w:r>
        <w:t xml:space="preserve">• Independent code compliance review</w:t>
      </w:r>
      <w:r>
        <w:br/>
      </w:r>
      <w:r>
        <w:t xml:space="preserve">• External technical advisor for major VE decisions</w:t>
      </w:r>
    </w:p>
    <w:p>
      <w:pPr>
        <w:pStyle w:val="BodyText"/>
      </w:pPr>
      <w:r>
        <w:t xml:space="preserve">This protects the institution and individual SMC members from future audit or governance concerns.</w:t>
      </w:r>
    </w:p>
    <w:p>
      <w:r>
        <w:pict>
          <v:rect style="width:0;height:1.5pt" o:hralign="center" o:hrstd="t" o:hr="t"/>
        </w:pict>
      </w:r>
    </w:p>
    <w:bookmarkEnd w:id="160"/>
    <w:bookmarkStart w:id="161" w:name="risk-monitoring-framework"/>
    <w:p>
      <w:pPr>
        <w:pStyle w:val="Heading2"/>
      </w:pPr>
      <w:r>
        <w:t xml:space="preserve">13.6 Risk Monitoring Framework</w:t>
      </w:r>
    </w:p>
    <w:p>
      <w:pPr>
        <w:pStyle w:val="FirstParagraph"/>
      </w:pPr>
      <w:r>
        <w:t xml:space="preserve">A live Risk Register shall be maintained including:</w:t>
      </w:r>
    </w:p>
    <w:p>
      <w:pPr>
        <w:pStyle w:val="BodyText"/>
      </w:pPr>
      <w:r>
        <w:t xml:space="preserve">• Risk description</w:t>
      </w:r>
      <w:r>
        <w:br/>
      </w:r>
      <w:r>
        <w:t xml:space="preserve">• Probability (Low / Medium / High)</w:t>
      </w:r>
      <w:r>
        <w:br/>
      </w:r>
      <w:r>
        <w:t xml:space="preserve">• Impact (Financial / Technical / Regulatory)</w:t>
      </w:r>
      <w:r>
        <w:br/>
      </w:r>
      <w:r>
        <w:t xml:space="preserve">• Mitigation owner</w:t>
      </w:r>
      <w:r>
        <w:br/>
      </w:r>
      <w:r>
        <w:t xml:space="preserve">• Status tracking</w:t>
      </w:r>
    </w:p>
    <w:p>
      <w:pPr>
        <w:pStyle w:val="BodyText"/>
      </w:pPr>
      <w:r>
        <w:t xml:space="preserve">The Risk Register shall be reviewed monthly during active design and construction phases.</w:t>
      </w:r>
    </w:p>
    <w:p>
      <w:r>
        <w:pict>
          <v:rect style="width:0;height:1.5pt" o:hralign="center" o:hrstd="t" o:hr="t"/>
        </w:pict>
      </w:r>
    </w:p>
    <w:p>
      <w:pPr>
        <w:pStyle w:val="FirstParagraph"/>
      </w:pPr>
      <w:r>
        <w:t xml:space="preserve">END OF SECTION 13</w:t>
      </w:r>
    </w:p>
    <w:p>
      <w:r>
        <w:pict>
          <v:rect style="width:0;height:1.5pt" o:hralign="center" o:hrstd="t" o:hr="t"/>
        </w:pict>
      </w:r>
    </w:p>
    <w:bookmarkEnd w:id="161"/>
    <w:bookmarkEnd w:id="162"/>
    <w:bookmarkStart w:id="180" w:name="X7407270b0fc9fbbd217d3363c701a43e9d53785"/>
    <w:p>
      <w:pPr>
        <w:pStyle w:val="Heading1"/>
      </w:pPr>
      <w:r>
        <w:t xml:space="preserve">14. Implementation Timeline &amp; Delivery Strategy</w:t>
      </w:r>
    </w:p>
    <w:bookmarkStart w:id="163" w:name="delivery-objectives"/>
    <w:p>
      <w:pPr>
        <w:pStyle w:val="Heading2"/>
      </w:pPr>
      <w:r>
        <w:t xml:space="preserve">14.1 Delivery Objectives</w:t>
      </w:r>
    </w:p>
    <w:p>
      <w:pPr>
        <w:pStyle w:val="FirstParagraph"/>
      </w:pPr>
      <w:r>
        <w:t xml:space="preserve">The implementation strategy for the PISES New Campus shall ensure:</w:t>
      </w:r>
    </w:p>
    <w:p>
      <w:pPr>
        <w:pStyle w:val="BodyText"/>
      </w:pPr>
      <w:r>
        <w:t xml:space="preserve">• Regulatory compliance</w:t>
      </w:r>
      <w:r>
        <w:br/>
      </w:r>
      <w:r>
        <w:t xml:space="preserve">• Cost control</w:t>
      </w:r>
      <w:r>
        <w:br/>
      </w:r>
      <w:r>
        <w:t xml:space="preserve">• Quality assurance</w:t>
      </w:r>
      <w:r>
        <w:br/>
      </w:r>
      <w:r>
        <w:t xml:space="preserve">• Minimal operational disruption</w:t>
      </w:r>
      <w:r>
        <w:br/>
      </w:r>
      <w:r>
        <w:t xml:space="preserve">• Transparent governance reporting</w:t>
      </w:r>
    </w:p>
    <w:p>
      <w:pPr>
        <w:pStyle w:val="BodyText"/>
      </w:pPr>
      <w:r>
        <w:t xml:space="preserve">The total project duration is expected to range between 30–36 months depending on phasing and authority approvals.</w:t>
      </w:r>
    </w:p>
    <w:p>
      <w:r>
        <w:pict>
          <v:rect style="width:0;height:1.5pt" o:hralign="center" o:hrstd="t" o:hr="t"/>
        </w:pict>
      </w:r>
    </w:p>
    <w:bookmarkEnd w:id="163"/>
    <w:bookmarkStart w:id="171" w:name="project-stages-overview"/>
    <w:p>
      <w:pPr>
        <w:pStyle w:val="Heading2"/>
      </w:pPr>
      <w:r>
        <w:t xml:space="preserve">14.2 Project Stages Overview</w:t>
      </w:r>
    </w:p>
    <w:bookmarkStart w:id="164" w:name="stage-1-basis-of-design-completed"/>
    <w:p>
      <w:pPr>
        <w:pStyle w:val="Heading3"/>
      </w:pPr>
      <w:r>
        <w:t xml:space="preserve">Stage 1 – Basis of Design (Completed)</w:t>
      </w:r>
    </w:p>
    <w:p>
      <w:pPr>
        <w:pStyle w:val="FirstParagraph"/>
      </w:pPr>
      <w:r>
        <w:t xml:space="preserve">Duration: 2–3 months</w:t>
      </w:r>
      <w:r>
        <w:br/>
      </w:r>
      <w:r>
        <w:t xml:space="preserve">Output: Approved BoD document and budget framework</w:t>
      </w:r>
    </w:p>
    <w:bookmarkEnd w:id="164"/>
    <w:bookmarkStart w:id="165" w:name="stage-2-concept-design"/>
    <w:p>
      <w:pPr>
        <w:pStyle w:val="Heading3"/>
      </w:pPr>
      <w:r>
        <w:t xml:space="preserve">Stage 2 – Concept Design</w:t>
      </w:r>
    </w:p>
    <w:p>
      <w:pPr>
        <w:pStyle w:val="FirstParagraph"/>
      </w:pPr>
      <w:r>
        <w:t xml:space="preserve">Duration: 3–4 months</w:t>
      </w:r>
      <w:r>
        <w:br/>
      </w:r>
      <w:r>
        <w:t xml:space="preserve">Output: Site masterplan, block diagrams, preliminary elevations, authority pre-consultation</w:t>
      </w:r>
    </w:p>
    <w:bookmarkEnd w:id="165"/>
    <w:bookmarkStart w:id="166" w:name="stage-3-schematic-design"/>
    <w:p>
      <w:pPr>
        <w:pStyle w:val="Heading3"/>
      </w:pPr>
      <w:r>
        <w:t xml:space="preserve">Stage 3 – Schematic Design</w:t>
      </w:r>
    </w:p>
    <w:p>
      <w:pPr>
        <w:pStyle w:val="FirstParagraph"/>
      </w:pPr>
      <w:r>
        <w:t xml:space="preserve">Duration: 4–6 months</w:t>
      </w:r>
      <w:r>
        <w:br/>
      </w:r>
      <w:r>
        <w:t xml:space="preserve">Output: Detailed space layouts, structural grid, MEP strategy confirmation, updated cost plan</w:t>
      </w:r>
    </w:p>
    <w:p>
      <w:pPr>
        <w:pStyle w:val="BodyText"/>
      </w:pPr>
      <w:r>
        <w:t xml:space="preserve">Authority coordination begins formally at this stage.</w:t>
      </w:r>
    </w:p>
    <w:bookmarkEnd w:id="166"/>
    <w:bookmarkStart w:id="167" w:name="stage-4-detailed-design-ifc"/>
    <w:p>
      <w:pPr>
        <w:pStyle w:val="Heading3"/>
      </w:pPr>
      <w:r>
        <w:t xml:space="preserve">Stage 4 – Detailed Design / IFC</w:t>
      </w:r>
    </w:p>
    <w:p>
      <w:pPr>
        <w:pStyle w:val="FirstParagraph"/>
      </w:pPr>
      <w:r>
        <w:t xml:space="preserve">Duration: 4–5 months</w:t>
      </w:r>
      <w:r>
        <w:br/>
      </w:r>
      <w:r>
        <w:t xml:space="preserve">Output: Construction-ready drawings, BOQ, technical specifications</w:t>
      </w:r>
    </w:p>
    <w:bookmarkEnd w:id="167"/>
    <w:bookmarkStart w:id="168" w:name="stage-5-tender-contractor-appointment"/>
    <w:p>
      <w:pPr>
        <w:pStyle w:val="Heading3"/>
      </w:pPr>
      <w:r>
        <w:t xml:space="preserve">Stage 5 – Tender &amp; Contractor Appointment</w:t>
      </w:r>
    </w:p>
    <w:p>
      <w:pPr>
        <w:pStyle w:val="FirstParagraph"/>
      </w:pPr>
      <w:r>
        <w:t xml:space="preserve">Duration: 2–3 months</w:t>
      </w:r>
      <w:r>
        <w:br/>
      </w:r>
      <w:r>
        <w:t xml:space="preserve">Output: Contractor selection, contract award, mobilization</w:t>
      </w:r>
    </w:p>
    <w:bookmarkEnd w:id="168"/>
    <w:bookmarkStart w:id="169" w:name="stage-6-construction-phase"/>
    <w:p>
      <w:pPr>
        <w:pStyle w:val="Heading3"/>
      </w:pPr>
      <w:r>
        <w:t xml:space="preserve">Stage 6 – Construction Phase</w:t>
      </w:r>
    </w:p>
    <w:p>
      <w:pPr>
        <w:pStyle w:val="FirstParagraph"/>
      </w:pPr>
      <w:r>
        <w:t xml:space="preserve">Duration: 18–22 months (single phase full build)</w:t>
      </w:r>
    </w:p>
    <w:p>
      <w:pPr>
        <w:pStyle w:val="BodyText"/>
      </w:pPr>
      <w:r>
        <w:t xml:space="preserve">Includes:</w:t>
      </w:r>
      <w:r>
        <w:t xml:space="preserve"> </w:t>
      </w:r>
      <w:r>
        <w:t xml:space="preserve">• Civil works</w:t>
      </w:r>
      <w:r>
        <w:br/>
      </w:r>
      <w:r>
        <w:t xml:space="preserve">• MEP installation</w:t>
      </w:r>
      <w:r>
        <w:br/>
      </w:r>
      <w:r>
        <w:t xml:space="preserve">• Finishing</w:t>
      </w:r>
      <w:r>
        <w:br/>
      </w:r>
      <w:r>
        <w:t xml:space="preserve">• Testing &amp; commissioning</w:t>
      </w:r>
    </w:p>
    <w:bookmarkEnd w:id="169"/>
    <w:bookmarkStart w:id="170" w:name="stage-7-handover-commissioning"/>
    <w:p>
      <w:pPr>
        <w:pStyle w:val="Heading3"/>
      </w:pPr>
      <w:r>
        <w:t xml:space="preserve">Stage 7 – Handover &amp; Commissioning</w:t>
      </w:r>
    </w:p>
    <w:p>
      <w:pPr>
        <w:pStyle w:val="FirstParagraph"/>
      </w:pPr>
      <w:r>
        <w:t xml:space="preserve">Duration: 2–3 months</w:t>
      </w:r>
      <w:r>
        <w:br/>
      </w:r>
      <w:r>
        <w:t xml:space="preserve">Output: Occupancy certification, Civil Defense approval, operational readiness</w:t>
      </w:r>
    </w:p>
    <w:p>
      <w:r>
        <w:pict>
          <v:rect style="width:0;height:1.5pt" o:hralign="center" o:hrstd="t" o:hr="t"/>
        </w:pict>
      </w:r>
    </w:p>
    <w:bookmarkEnd w:id="170"/>
    <w:bookmarkEnd w:id="171"/>
    <w:bookmarkStart w:id="175" w:name="delivery-models-considered"/>
    <w:p>
      <w:pPr>
        <w:pStyle w:val="Heading2"/>
      </w:pPr>
      <w:r>
        <w:t xml:space="preserve">14.3 Delivery Models Considered</w:t>
      </w:r>
    </w:p>
    <w:bookmarkStart w:id="172" w:name="X082e3fd58c7ad174def45cce94a4ee15b28bd86"/>
    <w:p>
      <w:pPr>
        <w:pStyle w:val="Heading3"/>
      </w:pPr>
      <w:r>
        <w:t xml:space="preserve">Model A – Traditional Design-Bid-Build (Recommended Baseline)</w:t>
      </w:r>
    </w:p>
    <w:p>
      <w:pPr>
        <w:pStyle w:val="FirstParagraph"/>
      </w:pPr>
      <w:r>
        <w:t xml:space="preserve">• Consultant completes full design</w:t>
      </w:r>
      <w:r>
        <w:br/>
      </w:r>
      <w:r>
        <w:t xml:space="preserve">• Competitive tender issued</w:t>
      </w:r>
      <w:r>
        <w:br/>
      </w:r>
      <w:r>
        <w:t xml:space="preserve">• Contractor selected based on technical &amp; financial evaluation</w:t>
      </w:r>
    </w:p>
    <w:p>
      <w:pPr>
        <w:pStyle w:val="BodyText"/>
      </w:pPr>
      <w:r>
        <w:t xml:space="preserve">Advantages:</w:t>
      </w:r>
      <w:r>
        <w:t xml:space="preserve"> </w:t>
      </w:r>
      <w:r>
        <w:t xml:space="preserve">• Greater cost transparency</w:t>
      </w:r>
      <w:r>
        <w:br/>
      </w:r>
      <w:r>
        <w:t xml:space="preserve">• Stronger design control</w:t>
      </w:r>
      <w:r>
        <w:br/>
      </w:r>
      <w:r>
        <w:t xml:space="preserve">• Clear governance structure</w:t>
      </w:r>
    </w:p>
    <w:p>
      <w:r>
        <w:pict>
          <v:rect style="width:0;height:1.5pt" o:hralign="center" o:hrstd="t" o:hr="t"/>
        </w:pict>
      </w:r>
    </w:p>
    <w:bookmarkEnd w:id="172"/>
    <w:bookmarkStart w:id="173" w:name="model-b-design-build-db"/>
    <w:p>
      <w:pPr>
        <w:pStyle w:val="Heading3"/>
      </w:pPr>
      <w:r>
        <w:t xml:space="preserve">Model B – Design &amp; Build (D&amp;B)</w:t>
      </w:r>
    </w:p>
    <w:p>
      <w:pPr>
        <w:pStyle w:val="FirstParagraph"/>
      </w:pPr>
      <w:r>
        <w:t xml:space="preserve">• Contractor responsible for detailed design and execution</w:t>
      </w:r>
    </w:p>
    <w:p>
      <w:pPr>
        <w:pStyle w:val="BodyText"/>
      </w:pPr>
      <w:r>
        <w:t xml:space="preserve">Advantages:</w:t>
      </w:r>
      <w:r>
        <w:t xml:space="preserve"> </w:t>
      </w:r>
      <w:r>
        <w:t xml:space="preserve">• Faster delivery</w:t>
      </w:r>
      <w:r>
        <w:br/>
      </w:r>
      <w:r>
        <w:t xml:space="preserve">• Single point of responsibility</w:t>
      </w:r>
    </w:p>
    <w:p>
      <w:pPr>
        <w:pStyle w:val="BodyText"/>
      </w:pPr>
      <w:r>
        <w:t xml:space="preserve">Risks:</w:t>
      </w:r>
      <w:r>
        <w:t xml:space="preserve"> </w:t>
      </w:r>
      <w:r>
        <w:t xml:space="preserve">• Reduced design control</w:t>
      </w:r>
      <w:r>
        <w:br/>
      </w:r>
      <w:r>
        <w:t xml:space="preserve">• Potential cost ambiguity</w:t>
      </w:r>
    </w:p>
    <w:p>
      <w:r>
        <w:pict>
          <v:rect style="width:0;height:1.5pt" o:hralign="center" o:hrstd="t" o:hr="t"/>
        </w:pict>
      </w:r>
    </w:p>
    <w:bookmarkEnd w:id="173"/>
    <w:bookmarkStart w:id="174" w:name="model-c-construction-management-cm"/>
    <w:p>
      <w:pPr>
        <w:pStyle w:val="Heading3"/>
      </w:pPr>
      <w:r>
        <w:t xml:space="preserve">Model C – Construction Management (CM)</w:t>
      </w:r>
    </w:p>
    <w:p>
      <w:pPr>
        <w:pStyle w:val="FirstParagraph"/>
      </w:pPr>
      <w:r>
        <w:t xml:space="preserve">• Multiple trade packages</w:t>
      </w:r>
      <w:r>
        <w:br/>
      </w:r>
      <w:r>
        <w:t xml:space="preserve">• Construction manager oversight</w:t>
      </w:r>
    </w:p>
    <w:p>
      <w:pPr>
        <w:pStyle w:val="BodyText"/>
      </w:pPr>
      <w:r>
        <w:t xml:space="preserve">Advantages:</w:t>
      </w:r>
      <w:r>
        <w:t xml:space="preserve"> </w:t>
      </w:r>
      <w:r>
        <w:t xml:space="preserve">• Flexibility in procurement</w:t>
      </w:r>
      <w:r>
        <w:br/>
      </w:r>
      <w:r>
        <w:t xml:space="preserve">• Potential cost optimization</w:t>
      </w:r>
    </w:p>
    <w:p>
      <w:pPr>
        <w:pStyle w:val="BodyText"/>
      </w:pPr>
      <w:r>
        <w:t xml:space="preserve">Risks:</w:t>
      </w:r>
      <w:r>
        <w:t xml:space="preserve"> </w:t>
      </w:r>
      <w:r>
        <w:t xml:space="preserve">• Higher governance complexity</w:t>
      </w:r>
      <w:r>
        <w:br/>
      </w:r>
      <w:r>
        <w:t xml:space="preserve">• Greater management demand on SMC</w:t>
      </w:r>
    </w:p>
    <w:p>
      <w:r>
        <w:pict>
          <v:rect style="width:0;height:1.5pt" o:hralign="center" o:hrstd="t" o:hr="t"/>
        </w:pict>
      </w:r>
    </w:p>
    <w:bookmarkEnd w:id="174"/>
    <w:bookmarkEnd w:id="175"/>
    <w:bookmarkStart w:id="176" w:name="recommended-delivery-approach"/>
    <w:p>
      <w:pPr>
        <w:pStyle w:val="Heading2"/>
      </w:pPr>
      <w:r>
        <w:t xml:space="preserve">14.4 Recommended Delivery Approach</w:t>
      </w:r>
    </w:p>
    <w:p>
      <w:pPr>
        <w:pStyle w:val="FirstParagraph"/>
      </w:pPr>
      <w:r>
        <w:t xml:space="preserve">At BoD stage, the preferred approach is:</w:t>
      </w:r>
    </w:p>
    <w:p>
      <w:pPr>
        <w:pStyle w:val="BodyText"/>
      </w:pPr>
      <w:r>
        <w:t xml:space="preserve">• Traditional Design-Bid-Build</w:t>
      </w:r>
      <w:r>
        <w:br/>
      </w:r>
      <w:r>
        <w:t xml:space="preserve">• Independent cost consultant oversight</w:t>
      </w:r>
      <w:r>
        <w:br/>
      </w:r>
      <w:r>
        <w:t xml:space="preserve">• Formal stage-gate approvals</w:t>
      </w:r>
      <w:r>
        <w:br/>
      </w:r>
      <w:r>
        <w:t xml:space="preserve">• Clear tender evaluation criteria</w:t>
      </w:r>
    </w:p>
    <w:p>
      <w:pPr>
        <w:pStyle w:val="BodyText"/>
      </w:pPr>
      <w:r>
        <w:t xml:space="preserve">This approach aligns best with institutional governance and audit protection requirements.</w:t>
      </w:r>
    </w:p>
    <w:p>
      <w:r>
        <w:pict>
          <v:rect style="width:0;height:1.5pt" o:hralign="center" o:hrstd="t" o:hr="t"/>
        </w:pict>
      </w:r>
    </w:p>
    <w:bookmarkEnd w:id="176"/>
    <w:bookmarkStart w:id="177" w:name="procurement-controls"/>
    <w:p>
      <w:pPr>
        <w:pStyle w:val="Heading2"/>
      </w:pPr>
      <w:r>
        <w:t xml:space="preserve">14.5 Procurement Controls</w:t>
      </w:r>
    </w:p>
    <w:p>
      <w:pPr>
        <w:pStyle w:val="FirstParagraph"/>
      </w:pPr>
      <w:r>
        <w:t xml:space="preserve">Procurement framework shall include:</w:t>
      </w:r>
    </w:p>
    <w:p>
      <w:pPr>
        <w:pStyle w:val="BodyText"/>
      </w:pPr>
      <w:r>
        <w:t xml:space="preserve">• Prequalification of contractors</w:t>
      </w:r>
      <w:r>
        <w:br/>
      </w:r>
      <w:r>
        <w:t xml:space="preserve">• Technical scoring matrix</w:t>
      </w:r>
      <w:r>
        <w:br/>
      </w:r>
      <w:r>
        <w:t xml:space="preserve">• Financial evaluation transparency</w:t>
      </w:r>
      <w:r>
        <w:br/>
      </w:r>
      <w:r>
        <w:t xml:space="preserve">• Conflict of interest declarations</w:t>
      </w:r>
      <w:r>
        <w:br/>
      </w:r>
      <w:r>
        <w:t xml:space="preserve">• Documented tender clarifications</w:t>
      </w:r>
    </w:p>
    <w:p>
      <w:pPr>
        <w:pStyle w:val="BodyText"/>
      </w:pPr>
      <w:r>
        <w:t xml:space="preserve">Tender evaluation shall be recorded and archived.</w:t>
      </w:r>
    </w:p>
    <w:p>
      <w:r>
        <w:pict>
          <v:rect style="width:0;height:1.5pt" o:hralign="center" o:hrstd="t" o:hr="t"/>
        </w:pict>
      </w:r>
    </w:p>
    <w:bookmarkEnd w:id="177"/>
    <w:bookmarkStart w:id="178" w:name="critical-path-considerations"/>
    <w:p>
      <w:pPr>
        <w:pStyle w:val="Heading2"/>
      </w:pPr>
      <w:r>
        <w:t xml:space="preserve">14.6 Critical Path Considerations</w:t>
      </w:r>
    </w:p>
    <w:p>
      <w:pPr>
        <w:pStyle w:val="FirstParagraph"/>
      </w:pPr>
      <w:r>
        <w:t xml:space="preserve">The following elements are expected to influence timeline risk:</w:t>
      </w:r>
    </w:p>
    <w:p>
      <w:pPr>
        <w:pStyle w:val="BodyText"/>
      </w:pPr>
      <w:r>
        <w:t xml:space="preserve">• Authority approvals</w:t>
      </w:r>
      <w:r>
        <w:br/>
      </w:r>
      <w:r>
        <w:t xml:space="preserve">• Basement excavation duration</w:t>
      </w:r>
      <w:r>
        <w:br/>
      </w:r>
      <w:r>
        <w:t xml:space="preserve">• Chiller plant procurement lead time</w:t>
      </w:r>
      <w:r>
        <w:br/>
      </w:r>
      <w:r>
        <w:t xml:space="preserve">• Electrical transformer approvals</w:t>
      </w:r>
      <w:r>
        <w:br/>
      </w:r>
      <w:r>
        <w:t xml:space="preserve">• Civil Defense inspection scheduling</w:t>
      </w:r>
    </w:p>
    <w:p>
      <w:pPr>
        <w:pStyle w:val="BodyText"/>
      </w:pPr>
      <w:r>
        <w:t xml:space="preserve">Early engagement with utilities and authorities is strongly recommended.</w:t>
      </w:r>
    </w:p>
    <w:p>
      <w:r>
        <w:pict>
          <v:rect style="width:0;height:1.5pt" o:hralign="center" o:hrstd="t" o:hr="t"/>
        </w:pict>
      </w:r>
    </w:p>
    <w:bookmarkEnd w:id="178"/>
    <w:bookmarkStart w:id="179" w:name="operational-readiness-planning"/>
    <w:p>
      <w:pPr>
        <w:pStyle w:val="Heading2"/>
      </w:pPr>
      <w:r>
        <w:t xml:space="preserve">14.7 Operational Readiness Planning</w:t>
      </w:r>
    </w:p>
    <w:p>
      <w:pPr>
        <w:pStyle w:val="FirstParagraph"/>
      </w:pPr>
      <w:r>
        <w:t xml:space="preserve">Prior to handover, the following must be completed:</w:t>
      </w:r>
    </w:p>
    <w:p>
      <w:pPr>
        <w:pStyle w:val="BodyText"/>
      </w:pPr>
      <w:r>
        <w:t xml:space="preserve">• Facilities management training</w:t>
      </w:r>
      <w:r>
        <w:br/>
      </w:r>
      <w:r>
        <w:t xml:space="preserve">• O&amp;M manuals review</w:t>
      </w:r>
      <w:r>
        <w:br/>
      </w:r>
      <w:r>
        <w:t xml:space="preserve">• BMS training</w:t>
      </w:r>
      <w:r>
        <w:br/>
      </w:r>
      <w:r>
        <w:t xml:space="preserve">• Fire evacuation drills</w:t>
      </w:r>
      <w:r>
        <w:br/>
      </w:r>
      <w:r>
        <w:t xml:space="preserve">• ICT system testing</w:t>
      </w:r>
      <w:r>
        <w:br/>
      </w:r>
      <w:r>
        <w:t xml:space="preserve">• Mock classroom setup validation</w:t>
      </w:r>
    </w:p>
    <w:p>
      <w:pPr>
        <w:pStyle w:val="BodyText"/>
      </w:pPr>
      <w:r>
        <w:t xml:space="preserve">Operational planning shall begin at least 6 months before practical completion.</w:t>
      </w:r>
    </w:p>
    <w:p>
      <w:r>
        <w:pict>
          <v:rect style="width:0;height:1.5pt" o:hralign="center" o:hrstd="t" o:hr="t"/>
        </w:pict>
      </w:r>
    </w:p>
    <w:p>
      <w:pPr>
        <w:pStyle w:val="FirstParagraph"/>
      </w:pPr>
      <w:r>
        <w:t xml:space="preserve">END OF SECTION 14</w:t>
      </w:r>
    </w:p>
    <w:p>
      <w:r>
        <w:pict>
          <v:rect style="width:0;height:1.5pt" o:hralign="center" o:hrstd="t" o:hr="t"/>
        </w:pict>
      </w:r>
    </w:p>
    <w:bookmarkEnd w:id="179"/>
    <w:bookmarkEnd w:id="180"/>
    <w:bookmarkStart w:id="190" w:name="Xc68c4033e9d3a0766551b9290c63afaaa5bd801"/>
    <w:p>
      <w:pPr>
        <w:pStyle w:val="Heading1"/>
      </w:pPr>
      <w:r>
        <w:t xml:space="preserve">15. Compliance Matrix – Regulatory &amp; Standards Cross-Reference</w:t>
      </w:r>
    </w:p>
    <w:bookmarkStart w:id="181" w:name="purpose-1"/>
    <w:p>
      <w:pPr>
        <w:pStyle w:val="Heading2"/>
      </w:pPr>
      <w:r>
        <w:t xml:space="preserve">15.1 Purpose</w:t>
      </w:r>
    </w:p>
    <w:p>
      <w:pPr>
        <w:pStyle w:val="FirstParagraph"/>
      </w:pPr>
      <w:r>
        <w:t xml:space="preserve">This section establishes a structured compliance matrix aligning the PISES New Campus Basis of Design with:</w:t>
      </w:r>
    </w:p>
    <w:p>
      <w:pPr>
        <w:pStyle w:val="BodyText"/>
      </w:pPr>
      <w:r>
        <w:t xml:space="preserve">• Saudi Building Code (SBC)</w:t>
      </w:r>
      <w:r>
        <w:br/>
      </w:r>
      <w:r>
        <w:t xml:space="preserve">• Civil Defense requirements</w:t>
      </w:r>
      <w:r>
        <w:br/>
      </w:r>
      <w:r>
        <w:t xml:space="preserve">• TBC Category A Educational Guidelines</w:t>
      </w:r>
      <w:r>
        <w:br/>
      </w:r>
      <w:r>
        <w:t xml:space="preserve">• Municipal &amp; utility authority requirements</w:t>
      </w:r>
      <w:r>
        <w:br/>
      </w:r>
      <w:r>
        <w:t xml:space="preserve">• Adopted international best practice standards (where applicable)</w:t>
      </w:r>
    </w:p>
    <w:p>
      <w:pPr>
        <w:pStyle w:val="BodyText"/>
      </w:pPr>
      <w:r>
        <w:t xml:space="preserve">The objective is to ensure traceability between design intent and regulatory obligations.</w:t>
      </w:r>
    </w:p>
    <w:p>
      <w:r>
        <w:pict>
          <v:rect style="width:0;height:1.5pt" o:hralign="center" o:hrstd="t" o:hr="t"/>
        </w:pict>
      </w:r>
    </w:p>
    <w:bookmarkEnd w:id="181"/>
    <w:bookmarkStart w:id="182" w:name="regulatory-hierarchy-order-of-authority"/>
    <w:p>
      <w:pPr>
        <w:pStyle w:val="Heading2"/>
      </w:pPr>
      <w:r>
        <w:t xml:space="preserve">15.2 Regulatory Hierarchy (Order of Authority)</w:t>
      </w:r>
    </w:p>
    <w:p>
      <w:pPr>
        <w:pStyle w:val="FirstParagraph"/>
      </w:pPr>
      <w:r>
        <w:t xml:space="preserve">The following order of precedence shall apply:</w:t>
      </w:r>
    </w:p>
    <w:p>
      <w:pPr>
        <w:pStyle w:val="Compact"/>
        <w:numPr>
          <w:ilvl w:val="0"/>
          <w:numId w:val="1012"/>
        </w:numPr>
      </w:pPr>
      <w:r>
        <w:t xml:space="preserve">Saudi Building Code (SBC) – Mandatory</w:t>
      </w:r>
      <w:r>
        <w:br/>
      </w:r>
    </w:p>
    <w:p>
      <w:pPr>
        <w:pStyle w:val="Compact"/>
        <w:numPr>
          <w:ilvl w:val="0"/>
          <w:numId w:val="1012"/>
        </w:numPr>
      </w:pPr>
      <w:r>
        <w:t xml:space="preserve">Civil Defense directives – Mandatory</w:t>
      </w:r>
      <w:r>
        <w:br/>
      </w:r>
    </w:p>
    <w:p>
      <w:pPr>
        <w:pStyle w:val="Compact"/>
        <w:numPr>
          <w:ilvl w:val="0"/>
          <w:numId w:val="1012"/>
        </w:numPr>
      </w:pPr>
      <w:r>
        <w:t xml:space="preserve">Municipal and utility authority regulations – Mandatory</w:t>
      </w:r>
      <w:r>
        <w:br/>
      </w:r>
    </w:p>
    <w:p>
      <w:pPr>
        <w:pStyle w:val="Compact"/>
        <w:numPr>
          <w:ilvl w:val="0"/>
          <w:numId w:val="1012"/>
        </w:numPr>
      </w:pPr>
      <w:r>
        <w:t xml:space="preserve">TBC Educational Facility Guidelines – Advisory / Programmatic</w:t>
      </w:r>
      <w:r>
        <w:br/>
      </w:r>
    </w:p>
    <w:p>
      <w:pPr>
        <w:pStyle w:val="Compact"/>
        <w:numPr>
          <w:ilvl w:val="0"/>
          <w:numId w:val="1012"/>
        </w:numPr>
      </w:pPr>
      <w:r>
        <w:t xml:space="preserve">International standards (IBC, NFPA, ASHRAE, etc.) – Reference where not conflicting with SBC</w:t>
      </w:r>
    </w:p>
    <w:p>
      <w:pPr>
        <w:pStyle w:val="FirstParagraph"/>
      </w:pPr>
      <w:r>
        <w:t xml:space="preserve">Where conflicts arise, SBC requirements shall prevail.</w:t>
      </w:r>
    </w:p>
    <w:p>
      <w:r>
        <w:pict>
          <v:rect style="width:0;height:1.5pt" o:hralign="center" o:hrstd="t" o:hr="t"/>
        </w:pict>
      </w:r>
    </w:p>
    <w:bookmarkEnd w:id="182"/>
    <w:bookmarkStart w:id="183" w:name="compliance-matrix-architectural"/>
    <w:p>
      <w:pPr>
        <w:pStyle w:val="Heading2"/>
      </w:pPr>
      <w:r>
        <w:t xml:space="preserve">15.3 Compliance Matrix – Architectural</w:t>
      </w:r>
    </w:p>
    <w:tbl>
      <w:tblPr>
        <w:tblStyle w:val="Table"/>
        <w:tblW w:type="pct" w:w="5000"/>
        <w:tblLayout w:type="fixed"/>
        <w:tblLook w:firstRow="1" w:lastRow="0" w:firstColumn="0" w:lastColumn="0" w:noHBand="0" w:noVBand="0" w:val="0020"/>
      </w:tblPr>
      <w:tblGrid>
        <w:gridCol w:w="1673"/>
        <w:gridCol w:w="2119"/>
        <w:gridCol w:w="2007"/>
        <w:gridCol w:w="2119"/>
      </w:tblGrid>
      <w:tr>
        <w:trPr>
          <w:tblHeader w:val="on"/>
        </w:trPr>
        <w:tc>
          <w:tcPr/>
          <w:p>
            <w:pPr>
              <w:pStyle w:val="Compact"/>
            </w:pPr>
            <w:r>
              <w:t xml:space="preserve">Design Element</w:t>
            </w:r>
          </w:p>
        </w:tc>
        <w:tc>
          <w:tcPr/>
          <w:p>
            <w:pPr>
              <w:pStyle w:val="Compact"/>
            </w:pPr>
            <w:r>
              <w:t xml:space="preserve">Governing Standard</w:t>
            </w:r>
          </w:p>
        </w:tc>
        <w:tc>
          <w:tcPr/>
          <w:p>
            <w:pPr>
              <w:pStyle w:val="Compact"/>
            </w:pPr>
            <w:r>
              <w:t xml:space="preserve">Section Reference</w:t>
            </w:r>
          </w:p>
        </w:tc>
        <w:tc>
          <w:tcPr/>
          <w:p>
            <w:pPr>
              <w:pStyle w:val="Compact"/>
            </w:pPr>
            <w:r>
              <w:t xml:space="preserve">Compliance Method</w:t>
            </w:r>
          </w:p>
        </w:tc>
      </w:tr>
      <w:tr>
        <w:tc>
          <w:tcPr/>
          <w:p>
            <w:pPr>
              <w:pStyle w:val="Compact"/>
            </w:pPr>
            <w:r>
              <w:t xml:space="preserve">Occupancy Classification</w:t>
            </w:r>
          </w:p>
        </w:tc>
        <w:tc>
          <w:tcPr/>
          <w:p>
            <w:pPr>
              <w:pStyle w:val="Compact"/>
            </w:pPr>
            <w:r>
              <w:t xml:space="preserve">SBC 201</w:t>
            </w:r>
          </w:p>
        </w:tc>
        <w:tc>
          <w:tcPr/>
          <w:p>
            <w:pPr>
              <w:pStyle w:val="Compact"/>
            </w:pPr>
            <w:r>
              <w:t xml:space="preserve">Group E</w:t>
            </w:r>
          </w:p>
        </w:tc>
        <w:tc>
          <w:tcPr/>
          <w:p>
            <w:pPr>
              <w:pStyle w:val="Compact"/>
            </w:pPr>
            <w:r>
              <w:t xml:space="preserve">Defined in Section 08</w:t>
            </w:r>
          </w:p>
        </w:tc>
      </w:tr>
      <w:tr>
        <w:tc>
          <w:tcPr/>
          <w:p>
            <w:pPr>
              <w:pStyle w:val="Compact"/>
            </w:pPr>
            <w:r>
              <w:t xml:space="preserve">Means of Egress</w:t>
            </w:r>
          </w:p>
        </w:tc>
        <w:tc>
          <w:tcPr/>
          <w:p>
            <w:pPr>
              <w:pStyle w:val="Compact"/>
            </w:pPr>
            <w:r>
              <w:t xml:space="preserve">SBC 201</w:t>
            </w:r>
          </w:p>
        </w:tc>
        <w:tc>
          <w:tcPr/>
          <w:p>
            <w:pPr>
              <w:pStyle w:val="Compact"/>
            </w:pPr>
            <w:r>
              <w:t xml:space="preserve">Egress provisions</w:t>
            </w:r>
          </w:p>
        </w:tc>
        <w:tc>
          <w:tcPr/>
          <w:p>
            <w:pPr>
              <w:pStyle w:val="Compact"/>
            </w:pPr>
            <w:r>
              <w:t xml:space="preserve">Occupant load calculations at SD stage</w:t>
            </w:r>
          </w:p>
        </w:tc>
      </w:tr>
      <w:tr>
        <w:tc>
          <w:tcPr/>
          <w:p>
            <w:pPr>
              <w:pStyle w:val="Compact"/>
            </w:pPr>
            <w:r>
              <w:t xml:space="preserve">Accessibility</w:t>
            </w:r>
          </w:p>
        </w:tc>
        <w:tc>
          <w:tcPr/>
          <w:p>
            <w:pPr>
              <w:pStyle w:val="Compact"/>
            </w:pPr>
            <w:r>
              <w:t xml:space="preserve">SBC Accessibility Code</w:t>
            </w:r>
          </w:p>
        </w:tc>
        <w:tc>
          <w:tcPr/>
          <w:p>
            <w:pPr>
              <w:pStyle w:val="Compact"/>
            </w:pPr>
            <w:r>
              <w:t xml:space="preserve">Relevant chapters</w:t>
            </w:r>
          </w:p>
        </w:tc>
        <w:tc>
          <w:tcPr/>
          <w:p>
            <w:pPr>
              <w:pStyle w:val="Compact"/>
            </w:pPr>
            <w:r>
              <w:t xml:space="preserve">Barrier-free routes defined in Section 07</w:t>
            </w:r>
          </w:p>
        </w:tc>
      </w:tr>
      <w:tr>
        <w:tc>
          <w:tcPr/>
          <w:p>
            <w:pPr>
              <w:pStyle w:val="Compact"/>
            </w:pPr>
            <w:r>
              <w:t xml:space="preserve">Fire Separation</w:t>
            </w:r>
          </w:p>
        </w:tc>
        <w:tc>
          <w:tcPr/>
          <w:p>
            <w:pPr>
              <w:pStyle w:val="Compact"/>
            </w:pPr>
            <w:r>
              <w:t xml:space="preserve">SBC Fire Code</w:t>
            </w:r>
          </w:p>
        </w:tc>
        <w:tc>
          <w:tcPr/>
          <w:p>
            <w:pPr>
              <w:pStyle w:val="Compact"/>
            </w:pPr>
            <w:r>
              <w:t xml:space="preserve">Mixed occupancy provisions</w:t>
            </w:r>
          </w:p>
        </w:tc>
        <w:tc>
          <w:tcPr/>
          <w:p>
            <w:pPr>
              <w:pStyle w:val="Compact"/>
            </w:pPr>
            <w:r>
              <w:t xml:space="preserve">Compartmentation strategy Section 08</w:t>
            </w:r>
          </w:p>
        </w:tc>
      </w:tr>
      <w:tr>
        <w:tc>
          <w:tcPr/>
          <w:p>
            <w:pPr>
              <w:pStyle w:val="Compact"/>
            </w:pPr>
            <w:r>
              <w:t xml:space="preserve">Travel Distance</w:t>
            </w:r>
          </w:p>
        </w:tc>
        <w:tc>
          <w:tcPr/>
          <w:p>
            <w:pPr>
              <w:pStyle w:val="Compact"/>
            </w:pPr>
            <w:r>
              <w:t xml:space="preserve">SBC 201</w:t>
            </w:r>
          </w:p>
        </w:tc>
        <w:tc>
          <w:tcPr/>
          <w:p>
            <w:pPr>
              <w:pStyle w:val="Compact"/>
            </w:pPr>
            <w:r>
              <w:t xml:space="preserve">Egress limits</w:t>
            </w:r>
          </w:p>
        </w:tc>
        <w:tc>
          <w:tcPr/>
          <w:p>
            <w:pPr>
              <w:pStyle w:val="Compact"/>
            </w:pPr>
            <w:r>
              <w:t xml:space="preserve">Corridor planning Section 07</w:t>
            </w:r>
          </w:p>
        </w:tc>
      </w:tr>
    </w:tbl>
    <w:p>
      <w:r>
        <w:pict>
          <v:rect style="width:0;height:1.5pt" o:hralign="center" o:hrstd="t" o:hr="t"/>
        </w:pict>
      </w:r>
    </w:p>
    <w:bookmarkEnd w:id="183"/>
    <w:bookmarkStart w:id="184" w:name="compliance-matrix-mechanical"/>
    <w:p>
      <w:pPr>
        <w:pStyle w:val="Heading2"/>
      </w:pPr>
      <w:r>
        <w:t xml:space="preserve">15.4 Compliance Matrix – Mechanical</w:t>
      </w:r>
    </w:p>
    <w:tbl>
      <w:tblPr>
        <w:tblStyle w:val="Table"/>
        <w:tblW w:type="pct" w:w="5000"/>
        <w:tblLayout w:type="fixed"/>
        <w:tblLook w:firstRow="1" w:lastRow="0" w:firstColumn="0" w:lastColumn="0" w:noHBand="0" w:noVBand="0" w:val="0020"/>
      </w:tblPr>
      <w:tblGrid>
        <w:gridCol w:w="1348"/>
        <w:gridCol w:w="3201"/>
        <w:gridCol w:w="3370"/>
      </w:tblGrid>
      <w:tr>
        <w:trPr>
          <w:tblHeader w:val="on"/>
        </w:trPr>
        <w:tc>
          <w:tcPr/>
          <w:p>
            <w:pPr>
              <w:pStyle w:val="Compact"/>
            </w:pPr>
            <w:r>
              <w:t xml:space="preserve">System</w:t>
            </w:r>
          </w:p>
        </w:tc>
        <w:tc>
          <w:tcPr/>
          <w:p>
            <w:pPr>
              <w:pStyle w:val="Compact"/>
            </w:pPr>
            <w:r>
              <w:t xml:space="preserve">Governing Standard</w:t>
            </w:r>
          </w:p>
        </w:tc>
        <w:tc>
          <w:tcPr/>
          <w:p>
            <w:pPr>
              <w:pStyle w:val="Compact"/>
            </w:pPr>
            <w:r>
              <w:t xml:space="preserve">Compliance Approach</w:t>
            </w:r>
          </w:p>
        </w:tc>
      </w:tr>
      <w:tr>
        <w:tc>
          <w:tcPr/>
          <w:p>
            <w:pPr>
              <w:pStyle w:val="Compact"/>
            </w:pPr>
            <w:r>
              <w:t xml:space="preserve">HVAC Design</w:t>
            </w:r>
          </w:p>
        </w:tc>
        <w:tc>
          <w:tcPr/>
          <w:p>
            <w:pPr>
              <w:pStyle w:val="Compact"/>
            </w:pPr>
            <w:r>
              <w:t xml:space="preserve">SBC Mechanical Code</w:t>
            </w:r>
          </w:p>
        </w:tc>
        <w:tc>
          <w:tcPr/>
          <w:p>
            <w:pPr>
              <w:pStyle w:val="Compact"/>
            </w:pPr>
            <w:r>
              <w:t xml:space="preserve">CHW baseline with load calculations</w:t>
            </w:r>
          </w:p>
        </w:tc>
      </w:tr>
      <w:tr>
        <w:tc>
          <w:tcPr/>
          <w:p>
            <w:pPr>
              <w:pStyle w:val="Compact"/>
            </w:pPr>
            <w:r>
              <w:t xml:space="preserve">Ventilation</w:t>
            </w:r>
          </w:p>
        </w:tc>
        <w:tc>
          <w:tcPr/>
          <w:p>
            <w:pPr>
              <w:pStyle w:val="Compact"/>
            </w:pPr>
            <w:r>
              <w:t xml:space="preserve">SBC Mechanical</w:t>
            </w:r>
          </w:p>
        </w:tc>
        <w:tc>
          <w:tcPr/>
          <w:p>
            <w:pPr>
              <w:pStyle w:val="Compact"/>
            </w:pPr>
            <w:r>
              <w:t xml:space="preserve">Fresh air rates validated at SD stage</w:t>
            </w:r>
          </w:p>
        </w:tc>
      </w:tr>
      <w:tr>
        <w:tc>
          <w:tcPr/>
          <w:p>
            <w:pPr>
              <w:pStyle w:val="Compact"/>
            </w:pPr>
            <w:r>
              <w:t xml:space="preserve">Smoke Control</w:t>
            </w:r>
          </w:p>
        </w:tc>
        <w:tc>
          <w:tcPr/>
          <w:p>
            <w:pPr>
              <w:pStyle w:val="Compact"/>
            </w:pPr>
            <w:r>
              <w:t xml:space="preserve">SBC Fire Code</w:t>
            </w:r>
          </w:p>
        </w:tc>
        <w:tc>
          <w:tcPr/>
          <w:p>
            <w:pPr>
              <w:pStyle w:val="Compact"/>
            </w:pPr>
            <w:r>
              <w:t xml:space="preserve">Pressurization &amp; extraction strategy Section 08</w:t>
            </w:r>
          </w:p>
        </w:tc>
      </w:tr>
      <w:tr>
        <w:tc>
          <w:tcPr/>
          <w:p>
            <w:pPr>
              <w:pStyle w:val="Compact"/>
            </w:pPr>
            <w:r>
              <w:t xml:space="preserve">Energy Performance</w:t>
            </w:r>
          </w:p>
        </w:tc>
        <w:tc>
          <w:tcPr/>
          <w:p>
            <w:pPr>
              <w:pStyle w:val="Compact"/>
            </w:pPr>
            <w:r>
              <w:t xml:space="preserve">SBC Energy Code</w:t>
            </w:r>
          </w:p>
        </w:tc>
        <w:tc>
          <w:tcPr/>
          <w:p>
            <w:pPr>
              <w:pStyle w:val="Compact"/>
            </w:pPr>
            <w:r>
              <w:t xml:space="preserve">Envelope + system efficiency modeling</w:t>
            </w:r>
          </w:p>
        </w:tc>
      </w:tr>
    </w:tbl>
    <w:p>
      <w:r>
        <w:pict>
          <v:rect style="width:0;height:1.5pt" o:hralign="center" o:hrstd="t" o:hr="t"/>
        </w:pict>
      </w:r>
    </w:p>
    <w:bookmarkEnd w:id="184"/>
    <w:bookmarkStart w:id="185" w:name="compliance-matrix-electrical-ict"/>
    <w:p>
      <w:pPr>
        <w:pStyle w:val="Heading2"/>
      </w:pPr>
      <w:r>
        <w:t xml:space="preserve">15.5 Compliance Matrix – Electrical &amp; ICT</w:t>
      </w:r>
    </w:p>
    <w:tbl>
      <w:tblPr>
        <w:tblStyle w:val="Table"/>
        <w:tblW w:type="pct" w:w="5000"/>
        <w:tblLayout w:type="fixed"/>
        <w:tblLook w:firstRow="1" w:lastRow="0" w:firstColumn="0" w:lastColumn="0" w:noHBand="0" w:noVBand="0" w:val="0020"/>
      </w:tblPr>
      <w:tblGrid>
        <w:gridCol w:w="1348"/>
        <w:gridCol w:w="3201"/>
        <w:gridCol w:w="3370"/>
      </w:tblGrid>
      <w:tr>
        <w:trPr>
          <w:tblHeader w:val="on"/>
        </w:trPr>
        <w:tc>
          <w:tcPr/>
          <w:p>
            <w:pPr>
              <w:pStyle w:val="Compact"/>
            </w:pPr>
            <w:r>
              <w:t xml:space="preserve">System</w:t>
            </w:r>
          </w:p>
        </w:tc>
        <w:tc>
          <w:tcPr/>
          <w:p>
            <w:pPr>
              <w:pStyle w:val="Compact"/>
            </w:pPr>
            <w:r>
              <w:t xml:space="preserve">Governing Standard</w:t>
            </w:r>
          </w:p>
        </w:tc>
        <w:tc>
          <w:tcPr/>
          <w:p>
            <w:pPr>
              <w:pStyle w:val="Compact"/>
            </w:pPr>
            <w:r>
              <w:t xml:space="preserve">Compliance Approach</w:t>
            </w:r>
          </w:p>
        </w:tc>
      </w:tr>
      <w:tr>
        <w:tc>
          <w:tcPr/>
          <w:p>
            <w:pPr>
              <w:pStyle w:val="Compact"/>
            </w:pPr>
            <w:r>
              <w:t xml:space="preserve">Power Distribution</w:t>
            </w:r>
          </w:p>
        </w:tc>
        <w:tc>
          <w:tcPr/>
          <w:p>
            <w:pPr>
              <w:pStyle w:val="Compact"/>
            </w:pPr>
            <w:r>
              <w:t xml:space="preserve">SBC Electrical Code</w:t>
            </w:r>
          </w:p>
        </w:tc>
        <w:tc>
          <w:tcPr/>
          <w:p>
            <w:pPr>
              <w:pStyle w:val="Compact"/>
            </w:pPr>
            <w:r>
              <w:t xml:space="preserve">Load calculations at detailed design</w:t>
            </w:r>
          </w:p>
        </w:tc>
      </w:tr>
      <w:tr>
        <w:tc>
          <w:tcPr/>
          <w:p>
            <w:pPr>
              <w:pStyle w:val="Compact"/>
            </w:pPr>
            <w:r>
              <w:t xml:space="preserve">Emergency Power</w:t>
            </w:r>
          </w:p>
        </w:tc>
        <w:tc>
          <w:tcPr/>
          <w:p>
            <w:pPr>
              <w:pStyle w:val="Compact"/>
            </w:pPr>
            <w:r>
              <w:t xml:space="preserve">SBC + Civil Defense</w:t>
            </w:r>
          </w:p>
        </w:tc>
        <w:tc>
          <w:tcPr/>
          <w:p>
            <w:pPr>
              <w:pStyle w:val="Compact"/>
            </w:pPr>
            <w:r>
              <w:t xml:space="preserve">Generator &amp; UPS provisions</w:t>
            </w:r>
          </w:p>
        </w:tc>
      </w:tr>
      <w:tr>
        <w:tc>
          <w:tcPr/>
          <w:p>
            <w:pPr>
              <w:pStyle w:val="Compact"/>
            </w:pPr>
            <w:r>
              <w:t xml:space="preserve">Fire Alarm</w:t>
            </w:r>
          </w:p>
        </w:tc>
        <w:tc>
          <w:tcPr/>
          <w:p>
            <w:pPr>
              <w:pStyle w:val="Compact"/>
            </w:pPr>
            <w:r>
              <w:t xml:space="preserve">SBC Fire Code</w:t>
            </w:r>
          </w:p>
        </w:tc>
        <w:tc>
          <w:tcPr/>
          <w:p>
            <w:pPr>
              <w:pStyle w:val="Compact"/>
            </w:pPr>
            <w:r>
              <w:t xml:space="preserve">Integrated life safety system</w:t>
            </w:r>
          </w:p>
        </w:tc>
      </w:tr>
      <w:tr>
        <w:tc>
          <w:tcPr/>
          <w:p>
            <w:pPr>
              <w:pStyle w:val="Compact"/>
            </w:pPr>
            <w:r>
              <w:t xml:space="preserve">Structured Cabling</w:t>
            </w:r>
          </w:p>
        </w:tc>
        <w:tc>
          <w:tcPr/>
          <w:p>
            <w:pPr>
              <w:pStyle w:val="Compact"/>
            </w:pPr>
            <w:r>
              <w:t xml:space="preserve">International telecom standards</w:t>
            </w:r>
          </w:p>
        </w:tc>
        <w:tc>
          <w:tcPr/>
          <w:p>
            <w:pPr>
              <w:pStyle w:val="Compact"/>
            </w:pPr>
            <w:r>
              <w:t xml:space="preserve">Included in Section 10 scope</w:t>
            </w:r>
          </w:p>
        </w:tc>
      </w:tr>
    </w:tbl>
    <w:p>
      <w:r>
        <w:pict>
          <v:rect style="width:0;height:1.5pt" o:hralign="center" o:hrstd="t" o:hr="t"/>
        </w:pict>
      </w:r>
    </w:p>
    <w:bookmarkEnd w:id="185"/>
    <w:bookmarkStart w:id="186" w:name="compliance-matrix-site-traffic"/>
    <w:p>
      <w:pPr>
        <w:pStyle w:val="Heading2"/>
      </w:pPr>
      <w:r>
        <w:t xml:space="preserve">15.6 Compliance Matrix – Site &amp; Traffic</w:t>
      </w:r>
    </w:p>
    <w:tbl>
      <w:tblPr>
        <w:tblStyle w:val="Table"/>
        <w:tblW w:type="pct" w:w="5000"/>
        <w:tblLayout w:type="fixed"/>
        <w:tblLook w:firstRow="1" w:lastRow="0" w:firstColumn="0" w:lastColumn="0" w:noHBand="0" w:noVBand="0" w:val="0020"/>
      </w:tblPr>
      <w:tblGrid>
        <w:gridCol w:w="1616"/>
        <w:gridCol w:w="3071"/>
        <w:gridCol w:w="3232"/>
      </w:tblGrid>
      <w:tr>
        <w:trPr>
          <w:tblHeader w:val="on"/>
        </w:trPr>
        <w:tc>
          <w:tcPr/>
          <w:p>
            <w:pPr>
              <w:pStyle w:val="Compact"/>
            </w:pPr>
            <w:r>
              <w:t xml:space="preserve">Element</w:t>
            </w:r>
          </w:p>
        </w:tc>
        <w:tc>
          <w:tcPr/>
          <w:p>
            <w:pPr>
              <w:pStyle w:val="Compact"/>
            </w:pPr>
            <w:r>
              <w:t xml:space="preserve">Governing Authority</w:t>
            </w:r>
          </w:p>
        </w:tc>
        <w:tc>
          <w:tcPr/>
          <w:p>
            <w:pPr>
              <w:pStyle w:val="Compact"/>
            </w:pPr>
            <w:r>
              <w:t xml:space="preserve">Compliance Approach</w:t>
            </w:r>
          </w:p>
        </w:tc>
      </w:tr>
      <w:tr>
        <w:tc>
          <w:tcPr/>
          <w:p>
            <w:pPr>
              <w:pStyle w:val="Compact"/>
            </w:pPr>
            <w:r>
              <w:t xml:space="preserve">Fire Access</w:t>
            </w:r>
          </w:p>
        </w:tc>
        <w:tc>
          <w:tcPr/>
          <w:p>
            <w:pPr>
              <w:pStyle w:val="Compact"/>
            </w:pPr>
            <w:r>
              <w:t xml:space="preserve">Civil Defense</w:t>
            </w:r>
          </w:p>
        </w:tc>
        <w:tc>
          <w:tcPr/>
          <w:p>
            <w:pPr>
              <w:pStyle w:val="Compact"/>
            </w:pPr>
            <w:r>
              <w:t xml:space="preserve">Perimeter access defined Section 06</w:t>
            </w:r>
          </w:p>
        </w:tc>
      </w:tr>
      <w:tr>
        <w:tc>
          <w:tcPr/>
          <w:p>
            <w:pPr>
              <w:pStyle w:val="Compact"/>
            </w:pPr>
            <w:r>
              <w:t xml:space="preserve">Bus Drop-off</w:t>
            </w:r>
          </w:p>
        </w:tc>
        <w:tc>
          <w:tcPr/>
          <w:p>
            <w:pPr>
              <w:pStyle w:val="Compact"/>
            </w:pPr>
            <w:r>
              <w:t xml:space="preserve">Municipality / Traffic Authority</w:t>
            </w:r>
          </w:p>
        </w:tc>
        <w:tc>
          <w:tcPr/>
          <w:p>
            <w:pPr>
              <w:pStyle w:val="Compact"/>
            </w:pPr>
            <w:r>
              <w:t xml:space="preserve">Traffic study required</w:t>
            </w:r>
          </w:p>
        </w:tc>
      </w:tr>
      <w:tr>
        <w:tc>
          <w:tcPr/>
          <w:p>
            <w:pPr>
              <w:pStyle w:val="Compact"/>
            </w:pPr>
            <w:r>
              <w:t xml:space="preserve">Assembly Areas</w:t>
            </w:r>
          </w:p>
        </w:tc>
        <w:tc>
          <w:tcPr/>
          <w:p>
            <w:pPr>
              <w:pStyle w:val="Compact"/>
            </w:pPr>
            <w:r>
              <w:t xml:space="preserve">SBC Fire Code</w:t>
            </w:r>
          </w:p>
        </w:tc>
        <w:tc>
          <w:tcPr/>
          <w:p>
            <w:pPr>
              <w:pStyle w:val="Compact"/>
            </w:pPr>
            <w:r>
              <w:t xml:space="preserve">0.8–1.0 m² per occupant assumption</w:t>
            </w:r>
          </w:p>
        </w:tc>
      </w:tr>
      <w:tr>
        <w:tc>
          <w:tcPr/>
          <w:p>
            <w:pPr>
              <w:pStyle w:val="Compact"/>
            </w:pPr>
            <w:r>
              <w:t xml:space="preserve">Utility Connections</w:t>
            </w:r>
          </w:p>
        </w:tc>
        <w:tc>
          <w:tcPr/>
          <w:p>
            <w:pPr>
              <w:pStyle w:val="Compact"/>
            </w:pPr>
            <w:r>
              <w:t xml:space="preserve">Utility Providers</w:t>
            </w:r>
          </w:p>
        </w:tc>
        <w:tc>
          <w:tcPr/>
          <w:p>
            <w:pPr>
              <w:pStyle w:val="Compact"/>
            </w:pPr>
            <w:r>
              <w:t xml:space="preserve">Early coordination required</w:t>
            </w:r>
          </w:p>
        </w:tc>
      </w:tr>
    </w:tbl>
    <w:p>
      <w:r>
        <w:pict>
          <v:rect style="width:0;height:1.5pt" o:hralign="center" o:hrstd="t" o:hr="t"/>
        </w:pict>
      </w:r>
    </w:p>
    <w:bookmarkEnd w:id="186"/>
    <w:bookmarkStart w:id="187" w:name="internal-institutional-standards"/>
    <w:p>
      <w:pPr>
        <w:pStyle w:val="Heading2"/>
      </w:pPr>
      <w:r>
        <w:t xml:space="preserve">15.7 Internal Institutional Standards</w:t>
      </w:r>
    </w:p>
    <w:p>
      <w:pPr>
        <w:pStyle w:val="FirstParagraph"/>
      </w:pPr>
      <w:r>
        <w:t xml:space="preserve">In addition to regulatory compliance, the project adopts internal PISES standards including:</w:t>
      </w:r>
    </w:p>
    <w:p>
      <w:pPr>
        <w:pStyle w:val="BodyText"/>
      </w:pPr>
      <w:r>
        <w:t xml:space="preserve">• Area per student planning baseline</w:t>
      </w:r>
      <w:r>
        <w:br/>
      </w:r>
      <w:r>
        <w:t xml:space="preserve">• Acoustic performance targets</w:t>
      </w:r>
      <w:r>
        <w:br/>
      </w:r>
      <w:r>
        <w:t xml:space="preserve">• Mid-level institutional finish specification</w:t>
      </w:r>
      <w:r>
        <w:br/>
      </w:r>
      <w:r>
        <w:t xml:space="preserve">• ICT integration requirements</w:t>
      </w:r>
      <w:r>
        <w:br/>
      </w:r>
      <w:r>
        <w:t xml:space="preserve">• Governance stage-gate approvals</w:t>
      </w:r>
    </w:p>
    <w:p>
      <w:pPr>
        <w:pStyle w:val="BodyText"/>
      </w:pPr>
      <w:r>
        <w:t xml:space="preserve">These standards exceed minimum code requirements where necessary to support long-term educational performance.</w:t>
      </w:r>
    </w:p>
    <w:p>
      <w:r>
        <w:pict>
          <v:rect style="width:0;height:1.5pt" o:hralign="center" o:hrstd="t" o:hr="t"/>
        </w:pict>
      </w:r>
    </w:p>
    <w:bookmarkEnd w:id="187"/>
    <w:bookmarkStart w:id="188" w:name="compliance-verification-process"/>
    <w:p>
      <w:pPr>
        <w:pStyle w:val="Heading2"/>
      </w:pPr>
      <w:r>
        <w:t xml:space="preserve">15.8 Compliance Verification Process</w:t>
      </w:r>
    </w:p>
    <w:p>
      <w:pPr>
        <w:pStyle w:val="FirstParagraph"/>
      </w:pPr>
      <w:r>
        <w:t xml:space="preserve">Compliance verification shall occur at the following stages:</w:t>
      </w:r>
    </w:p>
    <w:p>
      <w:pPr>
        <w:pStyle w:val="BodyText"/>
      </w:pPr>
      <w:r>
        <w:t xml:space="preserve">• Concept Design – Preliminary compliance check</w:t>
      </w:r>
      <w:r>
        <w:br/>
      </w:r>
      <w:r>
        <w:t xml:space="preserve">• Schematic Design – Formal compliance review</w:t>
      </w:r>
      <w:r>
        <w:br/>
      </w:r>
      <w:r>
        <w:t xml:space="preserve">• Detailed Design – Code consultant verification</w:t>
      </w:r>
      <w:r>
        <w:br/>
      </w:r>
      <w:r>
        <w:t xml:space="preserve">• Pre-Construction – Authority submission &amp; approval</w:t>
      </w:r>
    </w:p>
    <w:p>
      <w:pPr>
        <w:pStyle w:val="BodyText"/>
      </w:pPr>
      <w:r>
        <w:t xml:space="preserve">No construction shall commence without documented compliance confirmation.</w:t>
      </w:r>
    </w:p>
    <w:p>
      <w:r>
        <w:pict>
          <v:rect style="width:0;height:1.5pt" o:hralign="center" o:hrstd="t" o:hr="t"/>
        </w:pict>
      </w:r>
    </w:p>
    <w:bookmarkEnd w:id="188"/>
    <w:bookmarkStart w:id="189" w:name="documentation-traceability"/>
    <w:p>
      <w:pPr>
        <w:pStyle w:val="Heading2"/>
      </w:pPr>
      <w:r>
        <w:t xml:space="preserve">15.9 Documentation &amp; Traceability</w:t>
      </w:r>
    </w:p>
    <w:p>
      <w:pPr>
        <w:pStyle w:val="FirstParagraph"/>
      </w:pPr>
      <w:r>
        <w:t xml:space="preserve">All compliance-related documentation shall be:</w:t>
      </w:r>
    </w:p>
    <w:p>
      <w:pPr>
        <w:pStyle w:val="BodyText"/>
      </w:pPr>
      <w:r>
        <w:t xml:space="preserve">• Version controlled</w:t>
      </w:r>
      <w:r>
        <w:br/>
      </w:r>
      <w:r>
        <w:t xml:space="preserve">• Cross-referenced to BoD sections</w:t>
      </w:r>
      <w:r>
        <w:br/>
      </w:r>
      <w:r>
        <w:t xml:space="preserve">• Archived within the project document management system</w:t>
      </w:r>
      <w:r>
        <w:br/>
      </w:r>
      <w:r>
        <w:t xml:space="preserve">• Available for audit review if required</w:t>
      </w:r>
    </w:p>
    <w:p>
      <w:pPr>
        <w:pStyle w:val="BodyText"/>
      </w:pPr>
      <w:r>
        <w:t xml:space="preserve">This ensures institutional protection and regulatory transparency.</w:t>
      </w:r>
    </w:p>
    <w:p>
      <w:r>
        <w:pict>
          <v:rect style="width:0;height:1.5pt" o:hralign="center" o:hrstd="t" o:hr="t"/>
        </w:pict>
      </w:r>
    </w:p>
    <w:p>
      <w:pPr>
        <w:pStyle w:val="FirstParagraph"/>
      </w:pPr>
      <w:r>
        <w:t xml:space="preserve">END OF SECTION 15</w:t>
      </w:r>
    </w:p>
    <w:p>
      <w:r>
        <w:pict>
          <v:rect style="width:0;height:1.5pt" o:hralign="center" o:hrstd="t" o:hr="t"/>
        </w:pict>
      </w:r>
    </w:p>
    <w:bookmarkEnd w:id="189"/>
    <w:bookmarkEnd w:id="190"/>
    <w:bookmarkStart w:id="192" w:name="appendices-reference-documents"/>
    <w:p>
      <w:pPr>
        <w:pStyle w:val="Heading1"/>
      </w:pPr>
      <w:r>
        <w:t xml:space="preserve">16. Appendices &amp; Reference Documents</w:t>
      </w:r>
    </w:p>
    <w:bookmarkStart w:id="191" w:name="purpose-2"/>
    <w:p>
      <w:pPr>
        <w:pStyle w:val="Heading2"/>
      </w:pPr>
      <w:r>
        <w:t xml:space="preserve">16.1 Purpose</w:t>
      </w:r>
    </w:p>
    <w:p>
      <w:pPr>
        <w:pStyle w:val="FirstParagraph"/>
      </w:pPr>
      <w:r>
        <w:t xml:space="preserve">This section consolidates all technical backup, templates, calculation frameworks, and governance documentation supporting the Basis of Design (BoD).</w:t>
      </w:r>
    </w:p>
    <w:p>
      <w:pPr>
        <w:pStyle w:val="BodyText"/>
      </w:pPr>
      <w:r>
        <w:t xml:space="preserve">The appendices form the operational backbone of the project and shall be used during Concept, Schematic, Detailed Design, and Tender stages.</w:t>
      </w:r>
    </w:p>
    <w:p>
      <w:r>
        <w:pict>
          <v:rect style="width:0;height:1.5pt" o:hralign="center" o:hrstd="t" o:hr="t"/>
        </w:pict>
      </w:r>
    </w:p>
    <w:bookmarkEnd w:id="191"/>
    <w:bookmarkEnd w:id="192"/>
    <w:bookmarkStart w:id="194" w:name="appendix-a-academic-space-program-table"/>
    <w:p>
      <w:pPr>
        <w:pStyle w:val="Heading1"/>
      </w:pPr>
      <w:r>
        <w:t xml:space="preserve">APPENDIX A – Academic Space Program Table</w:t>
      </w:r>
    </w:p>
    <w:bookmarkStart w:id="193" w:name="a.1-classroom-planning-matrix-template"/>
    <w:p>
      <w:pPr>
        <w:pStyle w:val="Heading2"/>
      </w:pPr>
      <w:r>
        <w:t xml:space="preserve">A.1 Classroom Planning Matrix (Template)</w:t>
      </w:r>
    </w:p>
    <w:tbl>
      <w:tblPr>
        <w:tblStyle w:val="Table"/>
        <w:tblW w:type="pct" w:w="5000"/>
        <w:tblLayout w:type="fixed"/>
        <w:tblLook w:firstRow="1" w:lastRow="0" w:firstColumn="0" w:lastColumn="0" w:noHBand="0" w:noVBand="0" w:val="0020"/>
      </w:tblPr>
      <w:tblGrid>
        <w:gridCol w:w="416"/>
        <w:gridCol w:w="903"/>
        <w:gridCol w:w="694"/>
        <w:gridCol w:w="1250"/>
        <w:gridCol w:w="1250"/>
        <w:gridCol w:w="1945"/>
        <w:gridCol w:w="1458"/>
      </w:tblGrid>
      <w:tr>
        <w:trPr>
          <w:tblHeader w:val="on"/>
        </w:trPr>
        <w:tc>
          <w:tcPr/>
          <w:p>
            <w:pPr>
              <w:pStyle w:val="Compact"/>
            </w:pPr>
            <w:r>
              <w:t xml:space="preserve">Wing</w:t>
            </w:r>
          </w:p>
        </w:tc>
        <w:tc>
          <w:tcPr/>
          <w:p>
            <w:pPr>
              <w:pStyle w:val="Compact"/>
            </w:pPr>
            <w:r>
              <w:t xml:space="preserve">Grade Range</w:t>
            </w:r>
          </w:p>
        </w:tc>
        <w:tc>
          <w:tcPr/>
          <w:p>
            <w:pPr>
              <w:pStyle w:val="Compact"/>
            </w:pPr>
            <w:r>
              <w:t xml:space="preserve">Students</w:t>
            </w:r>
          </w:p>
        </w:tc>
        <w:tc>
          <w:tcPr/>
          <w:p>
            <w:pPr>
              <w:pStyle w:val="Compact"/>
            </w:pPr>
            <w:r>
              <w:t xml:space="preserve">Target Class Size</w:t>
            </w:r>
          </w:p>
        </w:tc>
        <w:tc>
          <w:tcPr/>
          <w:p>
            <w:pPr>
              <w:pStyle w:val="Compact"/>
            </w:pPr>
            <w:r>
              <w:t xml:space="preserve">No. of Classrooms</w:t>
            </w:r>
          </w:p>
        </w:tc>
        <w:tc>
          <w:tcPr/>
          <w:p>
            <w:pPr>
              <w:pStyle w:val="Compact"/>
            </w:pPr>
            <w:r>
              <w:t xml:space="preserve">Net Area per Classroom (m²)</w:t>
            </w:r>
          </w:p>
        </w:tc>
        <w:tc>
          <w:tcPr/>
          <w:p>
            <w:pPr>
              <w:pStyle w:val="Compact"/>
            </w:pPr>
            <w:r>
              <w:t xml:space="preserve">Total Net Area (m²)</w:t>
            </w:r>
          </w:p>
        </w:tc>
      </w:tr>
      <w:tr>
        <w:tc>
          <w:tcPr/>
          <w:p>
            <w:pPr>
              <w:pStyle w:val="Compact"/>
            </w:pPr>
            <w:r>
              <w:t xml:space="preserve">Preschool</w:t>
            </w:r>
          </w:p>
        </w:tc>
        <w:tc>
          <w:tcPr/>
          <w:p>
            <w:pPr>
              <w:pStyle w:val="Compact"/>
            </w:pPr>
            <w:r>
              <w:t xml:space="preserve">KG1–KG3</w:t>
            </w:r>
          </w:p>
        </w:tc>
        <w:tc>
          <w:tcPr/>
          <w:p>
            <w:pPr>
              <w:pStyle w:val="Compact"/>
            </w:pPr>
            <w:r>
              <w:t xml:space="preserve">TBD</w:t>
            </w:r>
          </w:p>
        </w:tc>
        <w:tc>
          <w:tcPr/>
          <w:p>
            <w:pPr>
              <w:pStyle w:val="Compact"/>
            </w:pPr>
            <w:r>
              <w:t xml:space="preserve">20–22</w:t>
            </w:r>
          </w:p>
        </w:tc>
        <w:tc>
          <w:tcPr/>
          <w:p>
            <w:pPr>
              <w:pStyle w:val="Compact"/>
            </w:pPr>
            <w:r>
              <w:t xml:space="preserve">TBD</w:t>
            </w:r>
          </w:p>
        </w:tc>
        <w:tc>
          <w:tcPr/>
          <w:p>
            <w:pPr>
              <w:pStyle w:val="Compact"/>
            </w:pPr>
            <w:r>
              <w:t xml:space="preserve">60–70</w:t>
            </w:r>
          </w:p>
        </w:tc>
        <w:tc>
          <w:tcPr/>
          <w:p>
            <w:pPr>
              <w:pStyle w:val="Compact"/>
            </w:pPr>
            <w:r>
              <w:t xml:space="preserve">TBD</w:t>
            </w:r>
          </w:p>
        </w:tc>
      </w:tr>
      <w:tr>
        <w:tc>
          <w:tcPr/>
          <w:p>
            <w:pPr>
              <w:pStyle w:val="Compact"/>
            </w:pPr>
            <w:r>
              <w:t xml:space="preserve">Primary</w:t>
            </w:r>
          </w:p>
        </w:tc>
        <w:tc>
          <w:tcPr/>
          <w:p>
            <w:pPr>
              <w:pStyle w:val="Compact"/>
            </w:pPr>
            <w:r>
              <w:t xml:space="preserve">G1–G4</w:t>
            </w:r>
          </w:p>
        </w:tc>
        <w:tc>
          <w:tcPr/>
          <w:p>
            <w:pPr>
              <w:pStyle w:val="Compact"/>
            </w:pPr>
            <w:r>
              <w:t xml:space="preserve">TBD</w:t>
            </w:r>
          </w:p>
        </w:tc>
        <w:tc>
          <w:tcPr/>
          <w:p>
            <w:pPr>
              <w:pStyle w:val="Compact"/>
            </w:pPr>
            <w:r>
              <w:t xml:space="preserve">24–26</w:t>
            </w:r>
          </w:p>
        </w:tc>
        <w:tc>
          <w:tcPr/>
          <w:p>
            <w:pPr>
              <w:pStyle w:val="Compact"/>
            </w:pPr>
            <w:r>
              <w:t xml:space="preserve">TBD</w:t>
            </w:r>
          </w:p>
        </w:tc>
        <w:tc>
          <w:tcPr/>
          <w:p>
            <w:pPr>
              <w:pStyle w:val="Compact"/>
            </w:pPr>
            <w:r>
              <w:t xml:space="preserve">65–70</w:t>
            </w:r>
          </w:p>
        </w:tc>
        <w:tc>
          <w:tcPr/>
          <w:p>
            <w:pPr>
              <w:pStyle w:val="Compact"/>
            </w:pPr>
            <w:r>
              <w:t xml:space="preserve">TBD</w:t>
            </w:r>
          </w:p>
        </w:tc>
      </w:tr>
      <w:tr>
        <w:tc>
          <w:tcPr/>
          <w:p>
            <w:pPr>
              <w:pStyle w:val="Compact"/>
            </w:pPr>
            <w:r>
              <w:t xml:space="preserve">Boys Secondary</w:t>
            </w:r>
          </w:p>
        </w:tc>
        <w:tc>
          <w:tcPr/>
          <w:p>
            <w:pPr>
              <w:pStyle w:val="Compact"/>
            </w:pPr>
            <w:r>
              <w:t xml:space="preserve">G5–G12</w:t>
            </w:r>
          </w:p>
        </w:tc>
        <w:tc>
          <w:tcPr/>
          <w:p>
            <w:pPr>
              <w:pStyle w:val="Compact"/>
            </w:pPr>
            <w:r>
              <w:t xml:space="preserve">TBD</w:t>
            </w:r>
          </w:p>
        </w:tc>
        <w:tc>
          <w:tcPr/>
          <w:p>
            <w:pPr>
              <w:pStyle w:val="Compact"/>
            </w:pPr>
            <w:r>
              <w:t xml:space="preserve">25–28</w:t>
            </w:r>
          </w:p>
        </w:tc>
        <w:tc>
          <w:tcPr/>
          <w:p>
            <w:pPr>
              <w:pStyle w:val="Compact"/>
            </w:pPr>
            <w:r>
              <w:t xml:space="preserve">TBD</w:t>
            </w:r>
          </w:p>
        </w:tc>
        <w:tc>
          <w:tcPr/>
          <w:p>
            <w:pPr>
              <w:pStyle w:val="Compact"/>
            </w:pPr>
            <w:r>
              <w:t xml:space="preserve">70–75</w:t>
            </w:r>
          </w:p>
        </w:tc>
        <w:tc>
          <w:tcPr/>
          <w:p>
            <w:pPr>
              <w:pStyle w:val="Compact"/>
            </w:pPr>
            <w:r>
              <w:t xml:space="preserve">TBD</w:t>
            </w:r>
          </w:p>
        </w:tc>
      </w:tr>
      <w:tr>
        <w:tc>
          <w:tcPr/>
          <w:p>
            <w:pPr>
              <w:pStyle w:val="Compact"/>
            </w:pPr>
            <w:r>
              <w:t xml:space="preserve">Girls Secondary</w:t>
            </w:r>
          </w:p>
        </w:tc>
        <w:tc>
          <w:tcPr/>
          <w:p>
            <w:pPr>
              <w:pStyle w:val="Compact"/>
            </w:pPr>
            <w:r>
              <w:t xml:space="preserve">G5–G12</w:t>
            </w:r>
          </w:p>
        </w:tc>
        <w:tc>
          <w:tcPr/>
          <w:p>
            <w:pPr>
              <w:pStyle w:val="Compact"/>
            </w:pPr>
            <w:r>
              <w:t xml:space="preserve">TBD</w:t>
            </w:r>
          </w:p>
        </w:tc>
        <w:tc>
          <w:tcPr/>
          <w:p>
            <w:pPr>
              <w:pStyle w:val="Compact"/>
            </w:pPr>
            <w:r>
              <w:t xml:space="preserve">25–28</w:t>
            </w:r>
          </w:p>
        </w:tc>
        <w:tc>
          <w:tcPr/>
          <w:p>
            <w:pPr>
              <w:pStyle w:val="Compact"/>
            </w:pPr>
            <w:r>
              <w:t xml:space="preserve">TBD</w:t>
            </w:r>
          </w:p>
        </w:tc>
        <w:tc>
          <w:tcPr/>
          <w:p>
            <w:pPr>
              <w:pStyle w:val="Compact"/>
            </w:pPr>
            <w:r>
              <w:t xml:space="preserve">70–75</w:t>
            </w:r>
          </w:p>
        </w:tc>
        <w:tc>
          <w:tcPr/>
          <w:p>
            <w:pPr>
              <w:pStyle w:val="Compact"/>
            </w:pPr>
            <w:r>
              <w:t xml:space="preserve">TBD</w:t>
            </w:r>
          </w:p>
        </w:tc>
      </w:tr>
    </w:tbl>
    <w:p>
      <w:pPr>
        <w:pStyle w:val="BodyText"/>
      </w:pPr>
      <w:r>
        <w:t xml:space="preserve">Final values to be inserted upon confirmation of real enrollment distribution.</w:t>
      </w:r>
    </w:p>
    <w:p>
      <w:r>
        <w:pict>
          <v:rect style="width:0;height:1.5pt" o:hralign="center" o:hrstd="t" o:hr="t"/>
        </w:pict>
      </w:r>
    </w:p>
    <w:bookmarkEnd w:id="193"/>
    <w:bookmarkEnd w:id="194"/>
    <w:bookmarkStart w:id="195" w:name="X1c638fb7ea7b3fd4a678f1f4626ce2648294f85"/>
    <w:p>
      <w:pPr>
        <w:pStyle w:val="Heading1"/>
      </w:pPr>
      <w:r>
        <w:t xml:space="preserve">APPENDIX B – Specialist &amp; Shared Facilities Table</w:t>
      </w:r>
    </w:p>
    <w:tbl>
      <w:tblPr>
        <w:tblStyle w:val="Table"/>
        <w:tblW w:type="pct" w:w="5000"/>
        <w:tblLayout w:type="fixed"/>
        <w:tblLook w:firstRow="1" w:lastRow="0" w:firstColumn="0" w:lastColumn="0" w:noHBand="0" w:noVBand="0" w:val="0020"/>
      </w:tblPr>
      <w:tblGrid>
        <w:gridCol w:w="1485"/>
        <w:gridCol w:w="1237"/>
        <w:gridCol w:w="2351"/>
        <w:gridCol w:w="1980"/>
        <w:gridCol w:w="866"/>
      </w:tblGrid>
      <w:tr>
        <w:trPr>
          <w:tblHeader w:val="on"/>
        </w:trPr>
        <w:tc>
          <w:tcPr/>
          <w:p>
            <w:pPr>
              <w:pStyle w:val="Compact"/>
            </w:pPr>
            <w:r>
              <w:t xml:space="preserve">Space Type</w:t>
            </w:r>
          </w:p>
        </w:tc>
        <w:tc>
          <w:tcPr/>
          <w:p>
            <w:pPr>
              <w:pStyle w:val="Compact"/>
            </w:pPr>
            <w:r>
              <w:t xml:space="preserve">Quantity</w:t>
            </w:r>
          </w:p>
        </w:tc>
        <w:tc>
          <w:tcPr/>
          <w:p>
            <w:pPr>
              <w:pStyle w:val="Compact"/>
            </w:pPr>
            <w:r>
              <w:t xml:space="preserve">Net Area Each (m²)</w:t>
            </w:r>
          </w:p>
        </w:tc>
        <w:tc>
          <w:tcPr/>
          <w:p>
            <w:pPr>
              <w:pStyle w:val="Compact"/>
            </w:pPr>
            <w:r>
              <w:t xml:space="preserve">Total Net Area</w:t>
            </w:r>
          </w:p>
        </w:tc>
        <w:tc>
          <w:tcPr/>
          <w:p>
            <w:pPr>
              <w:pStyle w:val="Compact"/>
            </w:pPr>
            <w:r>
              <w:t xml:space="preserve">Notes</w:t>
            </w:r>
          </w:p>
        </w:tc>
      </w:tr>
      <w:tr>
        <w:tc>
          <w:tcPr/>
          <w:p>
            <w:pPr>
              <w:pStyle w:val="Compact"/>
            </w:pPr>
            <w:r>
              <w:t xml:space="preserve">Science Labs</w:t>
            </w:r>
          </w:p>
        </w:tc>
        <w:tc>
          <w:tcPr/>
          <w:p>
            <w:pPr>
              <w:pStyle w:val="Compact"/>
            </w:pPr>
            <w:r>
              <w:t xml:space="preserve">TBD</w:t>
            </w:r>
          </w:p>
        </w:tc>
        <w:tc>
          <w:tcPr/>
          <w:p>
            <w:pPr>
              <w:pStyle w:val="Compact"/>
            </w:pPr>
            <w:r>
              <w:t xml:space="preserve">90–110</w:t>
            </w:r>
          </w:p>
        </w:tc>
        <w:tc>
          <w:tcPr/>
          <w:p>
            <w:pPr>
              <w:pStyle w:val="Compact"/>
            </w:pPr>
            <w:r>
              <w:t xml:space="preserve">TBD</w:t>
            </w:r>
          </w:p>
        </w:tc>
        <w:tc>
          <w:tcPr/>
          <w:p>
            <w:pPr>
              <w:pStyle w:val="Compact"/>
            </w:pPr>
            <w:r>
              <w:t xml:space="preserve">Separate boys/girls where required</w:t>
            </w:r>
          </w:p>
        </w:tc>
      </w:tr>
      <w:tr>
        <w:tc>
          <w:tcPr/>
          <w:p>
            <w:pPr>
              <w:pStyle w:val="Compact"/>
            </w:pPr>
            <w:r>
              <w:t xml:space="preserve">ICT Labs</w:t>
            </w:r>
          </w:p>
        </w:tc>
        <w:tc>
          <w:tcPr/>
          <w:p>
            <w:pPr>
              <w:pStyle w:val="Compact"/>
            </w:pPr>
            <w:r>
              <w:t xml:space="preserve">TBD</w:t>
            </w:r>
          </w:p>
        </w:tc>
        <w:tc>
          <w:tcPr/>
          <w:p>
            <w:pPr>
              <w:pStyle w:val="Compact"/>
            </w:pPr>
            <w:r>
              <w:t xml:space="preserve">80–100</w:t>
            </w:r>
          </w:p>
        </w:tc>
        <w:tc>
          <w:tcPr/>
          <w:p>
            <w:pPr>
              <w:pStyle w:val="Compact"/>
            </w:pPr>
            <w:r>
              <w:t xml:space="preserve">TBD</w:t>
            </w:r>
          </w:p>
        </w:tc>
        <w:tc>
          <w:tcPr/>
          <w:p>
            <w:pPr>
              <w:pStyle w:val="Compact"/>
            </w:pPr>
            <w:r>
              <w:t xml:space="preserve">Structured cabling integrated</w:t>
            </w:r>
          </w:p>
        </w:tc>
      </w:tr>
      <w:tr>
        <w:tc>
          <w:tcPr/>
          <w:p>
            <w:pPr>
              <w:pStyle w:val="Compact"/>
            </w:pPr>
            <w:r>
              <w:t xml:space="preserve">Art Rooms</w:t>
            </w:r>
          </w:p>
        </w:tc>
        <w:tc>
          <w:tcPr/>
          <w:p>
            <w:pPr>
              <w:pStyle w:val="Compact"/>
            </w:pPr>
            <w:r>
              <w:t xml:space="preserve">TBD</w:t>
            </w:r>
          </w:p>
        </w:tc>
        <w:tc>
          <w:tcPr/>
          <w:p>
            <w:pPr>
              <w:pStyle w:val="Compact"/>
            </w:pPr>
            <w:r>
              <w:t xml:space="preserve">80–100</w:t>
            </w:r>
          </w:p>
        </w:tc>
        <w:tc>
          <w:tcPr/>
          <w:p>
            <w:pPr>
              <w:pStyle w:val="Compact"/>
            </w:pPr>
            <w:r>
              <w:t xml:space="preserve">TBD</w:t>
            </w:r>
          </w:p>
        </w:tc>
        <w:tc>
          <w:tcPr/>
          <w:p>
            <w:pPr>
              <w:pStyle w:val="Compact"/>
            </w:pPr>
            <w:r>
              <w:t xml:space="preserve">Wet area sinks required</w:t>
            </w:r>
          </w:p>
        </w:tc>
      </w:tr>
      <w:tr>
        <w:tc>
          <w:tcPr/>
          <w:p>
            <w:pPr>
              <w:pStyle w:val="Compact"/>
            </w:pPr>
            <w:r>
              <w:t xml:space="preserve">Music Rooms</w:t>
            </w:r>
          </w:p>
        </w:tc>
        <w:tc>
          <w:tcPr/>
          <w:p>
            <w:pPr>
              <w:pStyle w:val="Compact"/>
            </w:pPr>
            <w:r>
              <w:t xml:space="preserve">TBD</w:t>
            </w:r>
          </w:p>
        </w:tc>
        <w:tc>
          <w:tcPr/>
          <w:p>
            <w:pPr>
              <w:pStyle w:val="Compact"/>
            </w:pPr>
            <w:r>
              <w:t xml:space="preserve">60–80</w:t>
            </w:r>
          </w:p>
        </w:tc>
        <w:tc>
          <w:tcPr/>
          <w:p>
            <w:pPr>
              <w:pStyle w:val="Compact"/>
            </w:pPr>
            <w:r>
              <w:t xml:space="preserve">TBD</w:t>
            </w:r>
          </w:p>
        </w:tc>
        <w:tc>
          <w:tcPr/>
          <w:p>
            <w:pPr>
              <w:pStyle w:val="Compact"/>
            </w:pPr>
            <w:r>
              <w:t xml:space="preserve">Acoustic treatment enhanced</w:t>
            </w:r>
          </w:p>
        </w:tc>
      </w:tr>
      <w:tr>
        <w:tc>
          <w:tcPr/>
          <w:p>
            <w:pPr>
              <w:pStyle w:val="Compact"/>
            </w:pPr>
            <w:r>
              <w:t xml:space="preserve">Library / Media Center</w:t>
            </w:r>
          </w:p>
        </w:tc>
        <w:tc>
          <w:tcPr/>
          <w:p>
            <w:pPr>
              <w:pStyle w:val="Compact"/>
            </w:pPr>
            <w:r>
              <w:t xml:space="preserve">1–2</w:t>
            </w:r>
          </w:p>
        </w:tc>
        <w:tc>
          <w:tcPr/>
          <w:p>
            <w:pPr>
              <w:pStyle w:val="Compact"/>
            </w:pPr>
            <w:r>
              <w:t xml:space="preserve">600–900</w:t>
            </w:r>
          </w:p>
        </w:tc>
        <w:tc>
          <w:tcPr/>
          <w:p>
            <w:pPr>
              <w:pStyle w:val="Compact"/>
            </w:pPr>
            <w:r>
              <w:t xml:space="preserve">TBD</w:t>
            </w:r>
          </w:p>
        </w:tc>
        <w:tc>
          <w:tcPr/>
          <w:p>
            <w:pPr>
              <w:pStyle w:val="Compact"/>
            </w:pPr>
            <w:r>
              <w:t xml:space="preserve">Shared facility</w:t>
            </w:r>
          </w:p>
        </w:tc>
      </w:tr>
      <w:tr>
        <w:tc>
          <w:tcPr/>
          <w:p>
            <w:pPr>
              <w:pStyle w:val="Compact"/>
            </w:pPr>
            <w:r>
              <w:t xml:space="preserve">Auditorium</w:t>
            </w:r>
          </w:p>
        </w:tc>
        <w:tc>
          <w:tcPr/>
          <w:p>
            <w:pPr>
              <w:pStyle w:val="Compact"/>
            </w:pPr>
            <w:r>
              <w:t xml:space="preserve">1</w:t>
            </w:r>
          </w:p>
        </w:tc>
        <w:tc>
          <w:tcPr/>
          <w:p>
            <w:pPr>
              <w:pStyle w:val="Compact"/>
            </w:pPr>
            <w:r>
              <w:t xml:space="preserve">800–1,200</w:t>
            </w:r>
          </w:p>
        </w:tc>
        <w:tc>
          <w:tcPr/>
          <w:p>
            <w:pPr>
              <w:pStyle w:val="Compact"/>
            </w:pPr>
            <w:r>
              <w:t xml:space="preserve">TBD</w:t>
            </w:r>
          </w:p>
        </w:tc>
        <w:tc>
          <w:tcPr/>
          <w:p>
            <w:pPr>
              <w:pStyle w:val="Compact"/>
            </w:pPr>
            <w:r>
              <w:t xml:space="preserve">Assembly load calculation required</w:t>
            </w:r>
          </w:p>
        </w:tc>
      </w:tr>
      <w:tr>
        <w:tc>
          <w:tcPr/>
          <w:p>
            <w:pPr>
              <w:pStyle w:val="Compact"/>
            </w:pPr>
            <w:r>
              <w:t xml:space="preserve">Multipurpose Hall</w:t>
            </w:r>
          </w:p>
        </w:tc>
        <w:tc>
          <w:tcPr/>
          <w:p>
            <w:pPr>
              <w:pStyle w:val="Compact"/>
            </w:pPr>
            <w:r>
              <w:t xml:space="preserve">1</w:t>
            </w:r>
          </w:p>
        </w:tc>
        <w:tc>
          <w:tcPr/>
          <w:p>
            <w:pPr>
              <w:pStyle w:val="Compact"/>
            </w:pPr>
            <w:r>
              <w:t xml:space="preserve">1,000–1,500</w:t>
            </w:r>
          </w:p>
        </w:tc>
        <w:tc>
          <w:tcPr/>
          <w:p>
            <w:pPr>
              <w:pStyle w:val="Compact"/>
            </w:pPr>
            <w:r>
              <w:t xml:space="preserve">TBD</w:t>
            </w:r>
          </w:p>
        </w:tc>
        <w:tc>
          <w:tcPr/>
          <w:p>
            <w:pPr>
              <w:pStyle w:val="Compact"/>
            </w:pPr>
            <w:r>
              <w:t xml:space="preserve">Sports + assembly dual use</w:t>
            </w:r>
          </w:p>
        </w:tc>
      </w:tr>
    </w:tbl>
    <w:p>
      <w:r>
        <w:pict>
          <v:rect style="width:0;height:1.5pt" o:hralign="center" o:hrstd="t" o:hr="t"/>
        </w:pict>
      </w:r>
    </w:p>
    <w:bookmarkEnd w:id="195"/>
    <w:bookmarkStart w:id="196" w:name="appendix-c-mep-plant-area-allocation"/>
    <w:p>
      <w:pPr>
        <w:pStyle w:val="Heading1"/>
      </w:pPr>
      <w:r>
        <w:t xml:space="preserve">APPENDIX C – MEP Plant Area Allocation</w:t>
      </w:r>
    </w:p>
    <w:tbl>
      <w:tblPr>
        <w:tblStyle w:val="Table"/>
        <w:tblW w:type="pct" w:w="5000"/>
        <w:tblLayout w:type="fixed"/>
        <w:tblLook w:firstRow="1" w:lastRow="0" w:firstColumn="0" w:lastColumn="0" w:noHBand="0" w:noVBand="0" w:val="0020"/>
      </w:tblPr>
      <w:tblGrid>
        <w:gridCol w:w="1408"/>
        <w:gridCol w:w="3520"/>
        <w:gridCol w:w="1760"/>
        <w:gridCol w:w="1232"/>
      </w:tblGrid>
      <w:tr>
        <w:trPr>
          <w:tblHeader w:val="on"/>
        </w:trPr>
        <w:tc>
          <w:tcPr/>
          <w:p>
            <w:pPr>
              <w:pStyle w:val="Compact"/>
            </w:pPr>
            <w:r>
              <w:t xml:space="preserve">System</w:t>
            </w:r>
          </w:p>
        </w:tc>
        <w:tc>
          <w:tcPr/>
          <w:p>
            <w:pPr>
              <w:pStyle w:val="Compact"/>
            </w:pPr>
            <w:r>
              <w:t xml:space="preserve">Estimated Area (m²)</w:t>
            </w:r>
          </w:p>
        </w:tc>
        <w:tc>
          <w:tcPr/>
          <w:p>
            <w:pPr>
              <w:pStyle w:val="Compact"/>
            </w:pPr>
            <w:r>
              <w:t xml:space="preserve">Location</w:t>
            </w:r>
          </w:p>
        </w:tc>
        <w:tc>
          <w:tcPr/>
          <w:p>
            <w:pPr>
              <w:pStyle w:val="Compact"/>
            </w:pPr>
            <w:r>
              <w:t xml:space="preserve">Notes</w:t>
            </w:r>
          </w:p>
        </w:tc>
      </w:tr>
      <w:tr>
        <w:tc>
          <w:tcPr/>
          <w:p>
            <w:pPr>
              <w:pStyle w:val="Compact"/>
            </w:pPr>
            <w:r>
              <w:t xml:space="preserve">Chiller Plant</w:t>
            </w:r>
          </w:p>
        </w:tc>
        <w:tc>
          <w:tcPr/>
          <w:p>
            <w:pPr>
              <w:pStyle w:val="Compact"/>
            </w:pPr>
            <w:r>
              <w:t xml:space="preserve">TBD</w:t>
            </w:r>
          </w:p>
        </w:tc>
        <w:tc>
          <w:tcPr/>
          <w:p>
            <w:pPr>
              <w:pStyle w:val="Compact"/>
            </w:pPr>
            <w:r>
              <w:t xml:space="preserve">Basement</w:t>
            </w:r>
          </w:p>
        </w:tc>
        <w:tc>
          <w:tcPr/>
          <w:p>
            <w:pPr>
              <w:pStyle w:val="Compact"/>
            </w:pPr>
            <w:r>
              <w:t xml:space="preserve">Allow future expansion</w:t>
            </w:r>
          </w:p>
        </w:tc>
      </w:tr>
      <w:tr>
        <w:tc>
          <w:tcPr/>
          <w:p>
            <w:pPr>
              <w:pStyle w:val="Compact"/>
            </w:pPr>
            <w:r>
              <w:t xml:space="preserve">Pump Room</w:t>
            </w:r>
          </w:p>
        </w:tc>
        <w:tc>
          <w:tcPr/>
          <w:p>
            <w:pPr>
              <w:pStyle w:val="Compact"/>
            </w:pPr>
            <w:r>
              <w:t xml:space="preserve">TBD</w:t>
            </w:r>
          </w:p>
        </w:tc>
        <w:tc>
          <w:tcPr/>
          <w:p>
            <w:pPr>
              <w:pStyle w:val="Compact"/>
            </w:pPr>
            <w:r>
              <w:t xml:space="preserve">Basement</w:t>
            </w:r>
          </w:p>
        </w:tc>
        <w:tc>
          <w:tcPr/>
          <w:p>
            <w:pPr>
              <w:pStyle w:val="Compact"/>
            </w:pPr>
            <w:r>
              <w:t xml:space="preserve">Fire + CHW pumps</w:t>
            </w:r>
          </w:p>
        </w:tc>
      </w:tr>
      <w:tr>
        <w:tc>
          <w:tcPr/>
          <w:p>
            <w:pPr>
              <w:pStyle w:val="Compact"/>
            </w:pPr>
            <w:r>
              <w:t xml:space="preserve">Electrical LV Room</w:t>
            </w:r>
          </w:p>
        </w:tc>
        <w:tc>
          <w:tcPr/>
          <w:p>
            <w:pPr>
              <w:pStyle w:val="Compact"/>
            </w:pPr>
            <w:r>
              <w:t xml:space="preserve">TBD</w:t>
            </w:r>
          </w:p>
        </w:tc>
        <w:tc>
          <w:tcPr/>
          <w:p>
            <w:pPr>
              <w:pStyle w:val="Compact"/>
            </w:pPr>
            <w:r>
              <w:t xml:space="preserve">Basement / Ground</w:t>
            </w:r>
          </w:p>
        </w:tc>
        <w:tc>
          <w:tcPr/>
          <w:p>
            <w:pPr>
              <w:pStyle w:val="Compact"/>
            </w:pPr>
            <w:r>
              <w:t xml:space="preserve">Separate per wing recommended</w:t>
            </w:r>
          </w:p>
        </w:tc>
      </w:tr>
      <w:tr>
        <w:tc>
          <w:tcPr/>
          <w:p>
            <w:pPr>
              <w:pStyle w:val="Compact"/>
            </w:pPr>
            <w:r>
              <w:t xml:space="preserve">Generator Room</w:t>
            </w:r>
          </w:p>
        </w:tc>
        <w:tc>
          <w:tcPr/>
          <w:p>
            <w:pPr>
              <w:pStyle w:val="Compact"/>
            </w:pPr>
            <w:r>
              <w:t xml:space="preserve">TBD</w:t>
            </w:r>
          </w:p>
        </w:tc>
        <w:tc>
          <w:tcPr/>
          <w:p>
            <w:pPr>
              <w:pStyle w:val="Compact"/>
            </w:pPr>
            <w:r>
              <w:t xml:space="preserve">Basement / Yard</w:t>
            </w:r>
          </w:p>
        </w:tc>
        <w:tc>
          <w:tcPr/>
          <w:p>
            <w:pPr>
              <w:pStyle w:val="Compact"/>
            </w:pPr>
            <w:r>
              <w:t xml:space="preserve">Acoustic enclosure required</w:t>
            </w:r>
          </w:p>
        </w:tc>
      </w:tr>
      <w:tr>
        <w:tc>
          <w:tcPr/>
          <w:p>
            <w:pPr>
              <w:pStyle w:val="Compact"/>
            </w:pPr>
            <w:r>
              <w:t xml:space="preserve">Fire Water Tank</w:t>
            </w:r>
          </w:p>
        </w:tc>
        <w:tc>
          <w:tcPr/>
          <w:p>
            <w:pPr>
              <w:pStyle w:val="Compact"/>
            </w:pPr>
            <w:r>
              <w:t xml:space="preserve">TBD</w:t>
            </w:r>
          </w:p>
        </w:tc>
        <w:tc>
          <w:tcPr/>
          <w:p>
            <w:pPr>
              <w:pStyle w:val="Compact"/>
            </w:pPr>
            <w:r>
              <w:t xml:space="preserve">Basement</w:t>
            </w:r>
          </w:p>
        </w:tc>
        <w:tc>
          <w:tcPr/>
          <w:p>
            <w:pPr>
              <w:pStyle w:val="Compact"/>
            </w:pPr>
            <w:r>
              <w:t xml:space="preserve">Civil Defense compliance</w:t>
            </w:r>
          </w:p>
        </w:tc>
      </w:tr>
      <w:tr>
        <w:tc>
          <w:tcPr/>
          <w:p>
            <w:pPr>
              <w:pStyle w:val="Compact"/>
            </w:pPr>
            <w:r>
              <w:t xml:space="preserve">Water Storage Tanks</w:t>
            </w:r>
          </w:p>
        </w:tc>
        <w:tc>
          <w:tcPr/>
          <w:p>
            <w:pPr>
              <w:pStyle w:val="Compact"/>
            </w:pPr>
            <w:r>
              <w:t xml:space="preserve">TBD</w:t>
            </w:r>
          </w:p>
        </w:tc>
        <w:tc>
          <w:tcPr/>
          <w:p>
            <w:pPr>
              <w:pStyle w:val="Compact"/>
            </w:pPr>
            <w:r>
              <w:t xml:space="preserve">Basement</w:t>
            </w:r>
          </w:p>
        </w:tc>
        <w:tc>
          <w:tcPr/>
          <w:p>
            <w:pPr>
              <w:pStyle w:val="Compact"/>
            </w:pPr>
            <w:r>
              <w:t xml:space="preserve">Municipality requirement</w:t>
            </w:r>
          </w:p>
        </w:tc>
      </w:tr>
    </w:tbl>
    <w:p>
      <w:r>
        <w:pict>
          <v:rect style="width:0;height:1.5pt" o:hralign="center" o:hrstd="t" o:hr="t"/>
        </w:pict>
      </w:r>
    </w:p>
    <w:bookmarkEnd w:id="196"/>
    <w:bookmarkStart w:id="197" w:name="appendix-d-basement-service-allocation"/>
    <w:p>
      <w:pPr>
        <w:pStyle w:val="Heading1"/>
      </w:pPr>
      <w:r>
        <w:t xml:space="preserve">APPENDIX D – Basement &amp; Service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Area Estimate (m²)</w:t>
            </w:r>
          </w:p>
        </w:tc>
        <w:tc>
          <w:tcPr/>
          <w:p>
            <w:pPr>
              <w:pStyle w:val="Compact"/>
            </w:pPr>
            <w:r>
              <w:t xml:space="preserve">Notes</w:t>
            </w:r>
          </w:p>
        </w:tc>
      </w:tr>
      <w:tr>
        <w:tc>
          <w:tcPr/>
          <w:p>
            <w:pPr>
              <w:pStyle w:val="Compact"/>
            </w:pPr>
            <w:r>
              <w:t xml:space="preserve">Staff Parking</w:t>
            </w:r>
          </w:p>
        </w:tc>
        <w:tc>
          <w:tcPr/>
          <w:p>
            <w:pPr>
              <w:pStyle w:val="Compact"/>
            </w:pPr>
            <w:r>
              <w:t xml:space="preserve">TBD</w:t>
            </w:r>
          </w:p>
        </w:tc>
        <w:tc>
          <w:tcPr/>
          <w:p>
            <w:pPr>
              <w:pStyle w:val="Compact"/>
            </w:pPr>
            <w:r>
              <w:t xml:space="preserve">If required by municipality</w:t>
            </w:r>
          </w:p>
        </w:tc>
      </w:tr>
      <w:tr>
        <w:tc>
          <w:tcPr/>
          <w:p>
            <w:pPr>
              <w:pStyle w:val="Compact"/>
            </w:pPr>
            <w:r>
              <w:t xml:space="preserve">MEP Plant</w:t>
            </w:r>
          </w:p>
        </w:tc>
        <w:tc>
          <w:tcPr/>
          <w:p>
            <w:pPr>
              <w:pStyle w:val="Compact"/>
            </w:pPr>
            <w:r>
              <w:t xml:space="preserve">TBD</w:t>
            </w:r>
          </w:p>
        </w:tc>
        <w:tc>
          <w:tcPr/>
          <w:p>
            <w:pPr>
              <w:pStyle w:val="Compact"/>
            </w:pPr>
            <w:r>
              <w:t xml:space="preserve">As per Appendix C</w:t>
            </w:r>
          </w:p>
        </w:tc>
      </w:tr>
      <w:tr>
        <w:tc>
          <w:tcPr/>
          <w:p>
            <w:pPr>
              <w:pStyle w:val="Compact"/>
            </w:pPr>
            <w:r>
              <w:t xml:space="preserve">Storage</w:t>
            </w:r>
          </w:p>
        </w:tc>
        <w:tc>
          <w:tcPr/>
          <w:p>
            <w:pPr>
              <w:pStyle w:val="Compact"/>
            </w:pPr>
            <w:r>
              <w:t xml:space="preserve">TBD</w:t>
            </w:r>
          </w:p>
        </w:tc>
        <w:tc>
          <w:tcPr/>
          <w:p>
            <w:pPr>
              <w:pStyle w:val="Compact"/>
            </w:pPr>
            <w:r>
              <w:t xml:space="preserve">Academic + operations</w:t>
            </w:r>
          </w:p>
        </w:tc>
      </w:tr>
      <w:tr>
        <w:tc>
          <w:tcPr/>
          <w:p>
            <w:pPr>
              <w:pStyle w:val="Compact"/>
            </w:pPr>
            <w:r>
              <w:t xml:space="preserve">Maintenance Workshop</w:t>
            </w:r>
          </w:p>
        </w:tc>
        <w:tc>
          <w:tcPr/>
          <w:p>
            <w:pPr>
              <w:pStyle w:val="Compact"/>
            </w:pPr>
            <w:r>
              <w:t xml:space="preserve">TBD</w:t>
            </w:r>
          </w:p>
        </w:tc>
        <w:tc>
          <w:tcPr/>
          <w:p>
            <w:pPr>
              <w:pStyle w:val="Compact"/>
            </w:pPr>
            <w:r>
              <w:t xml:space="preserve">Facilities management use</w:t>
            </w:r>
          </w:p>
        </w:tc>
      </w:tr>
    </w:tbl>
    <w:p>
      <w:r>
        <w:pict>
          <v:rect style="width:0;height:1.5pt" o:hralign="center" o:hrstd="t" o:hr="t"/>
        </w:pict>
      </w:r>
    </w:p>
    <w:bookmarkEnd w:id="197"/>
    <w:bookmarkStart w:id="198" w:name="appendix-e-core-shell-cost-assumptions"/>
    <w:p>
      <w:pPr>
        <w:pStyle w:val="Heading1"/>
      </w:pPr>
      <w:r>
        <w:t xml:space="preserve">APPENDIX E – Core &amp; Shell Cost Assumptions</w:t>
      </w:r>
    </w:p>
    <w:p>
      <w:pPr>
        <w:pStyle w:val="FirstParagraph"/>
      </w:pPr>
      <w:r>
        <w:t xml:space="preserve">• Excavation depth assumption: Basement full footprint</w:t>
      </w:r>
      <w:r>
        <w:br/>
      </w:r>
      <w:r>
        <w:t xml:space="preserve">• Structural system: Reinforced concrete frame</w:t>
      </w:r>
      <w:r>
        <w:br/>
      </w:r>
      <w:r>
        <w:t xml:space="preserve">• Façade: Insulated cladding + double glazing</w:t>
      </w:r>
      <w:r>
        <w:br/>
      </w:r>
      <w:r>
        <w:t xml:space="preserve">• Roof insulation compliant with SBC Energy Code</w:t>
      </w:r>
      <w:r>
        <w:br/>
      </w:r>
      <w:r>
        <w:t xml:space="preserve">• No premium architectural cladding included in baseline</w:t>
      </w:r>
    </w:p>
    <w:p>
      <w:r>
        <w:pict>
          <v:rect style="width:0;height:1.5pt" o:hralign="center" o:hrstd="t" o:hr="t"/>
        </w:pict>
      </w:r>
    </w:p>
    <w:bookmarkEnd w:id="198"/>
    <w:bookmarkStart w:id="199" w:name="appendix-f-fix-stage-definitions"/>
    <w:p>
      <w:pPr>
        <w:pStyle w:val="Heading1"/>
      </w:pPr>
      <w:r>
        <w:t xml:space="preserve">APPENDIX F – Fix Stage Definitions</w:t>
      </w:r>
    </w:p>
    <w:p>
      <w:pPr>
        <w:pStyle w:val="FirstParagraph"/>
      </w:pPr>
      <w:r>
        <w:t xml:space="preserve">First Fix Includes:</w:t>
      </w:r>
      <w:r>
        <w:t xml:space="preserve"> </w:t>
      </w:r>
      <w:r>
        <w:t xml:space="preserve">• Concealed MEP infrastructure</w:t>
      </w:r>
      <w:r>
        <w:br/>
      </w:r>
      <w:r>
        <w:t xml:space="preserve">• Ducting and piping</w:t>
      </w:r>
      <w:r>
        <w:br/>
      </w:r>
      <w:r>
        <w:t xml:space="preserve">• Electrical containment</w:t>
      </w:r>
    </w:p>
    <w:p>
      <w:pPr>
        <w:pStyle w:val="BodyText"/>
      </w:pPr>
      <w:r>
        <w:t xml:space="preserve">Second Fix Includes:</w:t>
      </w:r>
      <w:r>
        <w:t xml:space="preserve"> </w:t>
      </w:r>
      <w:r>
        <w:t xml:space="preserve">• Fixtures and fittings</w:t>
      </w:r>
      <w:r>
        <w:br/>
      </w:r>
      <w:r>
        <w:t xml:space="preserve">• Final mechanical connections</w:t>
      </w:r>
      <w:r>
        <w:br/>
      </w:r>
      <w:r>
        <w:t xml:space="preserve">• Ceiling installation</w:t>
      </w:r>
    </w:p>
    <w:p>
      <w:pPr>
        <w:pStyle w:val="BodyText"/>
      </w:pPr>
      <w:r>
        <w:t xml:space="preserve">Third Fix Includes:</w:t>
      </w:r>
      <w:r>
        <w:t xml:space="preserve"> </w:t>
      </w:r>
      <w:r>
        <w:t xml:space="preserve">• Furniture</w:t>
      </w:r>
      <w:r>
        <w:br/>
      </w:r>
      <w:r>
        <w:t xml:space="preserve">• ICT active equipment</w:t>
      </w:r>
      <w:r>
        <w:br/>
      </w:r>
      <w:r>
        <w:t xml:space="preserve">• AV systems</w:t>
      </w:r>
      <w:r>
        <w:br/>
      </w:r>
      <w:r>
        <w:t xml:space="preserve">• Commissioning</w:t>
      </w:r>
    </w:p>
    <w:p>
      <w:r>
        <w:pict>
          <v:rect style="width:0;height:1.5pt" o:hralign="center" o:hrstd="t" o:hr="t"/>
        </w:pict>
      </w:r>
    </w:p>
    <w:bookmarkEnd w:id="199"/>
    <w:bookmarkStart w:id="200" w:name="appendix-g-scenario-comparison-summary"/>
    <w:p>
      <w:pPr>
        <w:pStyle w:val="Heading1"/>
      </w:pPr>
      <w:r>
        <w:t xml:space="preserve">APPENDIX G – Scenario Comparison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CAPEX</w:t>
            </w:r>
          </w:p>
        </w:tc>
        <w:tc>
          <w:tcPr/>
          <w:p>
            <w:pPr>
              <w:pStyle w:val="Compact"/>
            </w:pPr>
            <w:r>
              <w:t xml:space="preserve">OPEX</w:t>
            </w:r>
          </w:p>
        </w:tc>
        <w:tc>
          <w:tcPr/>
          <w:p>
            <w:pPr>
              <w:pStyle w:val="Compact"/>
            </w:pPr>
            <w:r>
              <w:t xml:space="preserve">Lifecycle Durability</w:t>
            </w:r>
          </w:p>
        </w:tc>
        <w:tc>
          <w:tcPr/>
          <w:p>
            <w:pPr>
              <w:pStyle w:val="Compact"/>
            </w:pPr>
            <w:r>
              <w:t xml:space="preserve">Risk Level</w:t>
            </w:r>
          </w:p>
        </w:tc>
      </w:tr>
      <w:tr>
        <w:tc>
          <w:tcPr/>
          <w:p>
            <w:pPr>
              <w:pStyle w:val="Compact"/>
            </w:pPr>
            <w:r>
              <w:t xml:space="preserve">Code Minimum</w:t>
            </w:r>
          </w:p>
        </w:tc>
        <w:tc>
          <w:tcPr/>
          <w:p>
            <w:pPr>
              <w:pStyle w:val="Compact"/>
            </w:pPr>
            <w:r>
              <w:t xml:space="preserve">Lowest</w:t>
            </w:r>
          </w:p>
        </w:tc>
        <w:tc>
          <w:tcPr/>
          <w:p>
            <w:pPr>
              <w:pStyle w:val="Compact"/>
            </w:pPr>
            <w:r>
              <w:t xml:space="preserve">Highest</w:t>
            </w:r>
          </w:p>
        </w:tc>
        <w:tc>
          <w:tcPr/>
          <w:p>
            <w:pPr>
              <w:pStyle w:val="Compact"/>
            </w:pPr>
            <w:r>
              <w:t xml:space="preserve">Moderate</w:t>
            </w:r>
          </w:p>
        </w:tc>
        <w:tc>
          <w:tcPr/>
          <w:p>
            <w:pPr>
              <w:pStyle w:val="Compact"/>
            </w:pPr>
            <w:r>
              <w:t xml:space="preserve">High OPEX risk</w:t>
            </w:r>
          </w:p>
        </w:tc>
      </w:tr>
      <w:tr>
        <w:tc>
          <w:tcPr/>
          <w:p>
            <w:pPr>
              <w:pStyle w:val="Compact"/>
            </w:pPr>
            <w:r>
              <w:t xml:space="preserve">Mid Institutional</w:t>
            </w:r>
          </w:p>
        </w:tc>
        <w:tc>
          <w:tcPr/>
          <w:p>
            <w:pPr>
              <w:pStyle w:val="Compact"/>
            </w:pPr>
            <w:r>
              <w:t xml:space="preserve">Balanced</w:t>
            </w:r>
          </w:p>
        </w:tc>
        <w:tc>
          <w:tcPr/>
          <w:p>
            <w:pPr>
              <w:pStyle w:val="Compact"/>
            </w:pPr>
            <w:r>
              <w:t xml:space="preserve">Balanced</w:t>
            </w:r>
          </w:p>
        </w:tc>
        <w:tc>
          <w:tcPr/>
          <w:p>
            <w:pPr>
              <w:pStyle w:val="Compact"/>
            </w:pPr>
            <w:r>
              <w:t xml:space="preserve">Strong</w:t>
            </w:r>
          </w:p>
        </w:tc>
        <w:tc>
          <w:tcPr/>
          <w:p>
            <w:pPr>
              <w:pStyle w:val="Compact"/>
            </w:pPr>
            <w:r>
              <w:t xml:space="preserve">Recommended</w:t>
            </w:r>
          </w:p>
        </w:tc>
      </w:tr>
      <w:tr>
        <w:tc>
          <w:tcPr/>
          <w:p>
            <w:pPr>
              <w:pStyle w:val="Compact"/>
            </w:pPr>
            <w:r>
              <w:t xml:space="preserve">Enhanced Campus</w:t>
            </w:r>
          </w:p>
        </w:tc>
        <w:tc>
          <w:tcPr/>
          <w:p>
            <w:pPr>
              <w:pStyle w:val="Compact"/>
            </w:pPr>
            <w:r>
              <w:t xml:space="preserve">Highest</w:t>
            </w:r>
          </w:p>
        </w:tc>
        <w:tc>
          <w:tcPr/>
          <w:p>
            <w:pPr>
              <w:pStyle w:val="Compact"/>
            </w:pPr>
            <w:r>
              <w:t xml:space="preserve">Lowest</w:t>
            </w:r>
          </w:p>
        </w:tc>
        <w:tc>
          <w:tcPr/>
          <w:p>
            <w:pPr>
              <w:pStyle w:val="Compact"/>
            </w:pPr>
            <w:r>
              <w:t xml:space="preserve">Premium</w:t>
            </w:r>
          </w:p>
        </w:tc>
        <w:tc>
          <w:tcPr/>
          <w:p>
            <w:pPr>
              <w:pStyle w:val="Compact"/>
            </w:pPr>
            <w:r>
              <w:t xml:space="preserve">Higher CAPEX</w:t>
            </w:r>
          </w:p>
        </w:tc>
      </w:tr>
    </w:tbl>
    <w:p>
      <w:r>
        <w:pict>
          <v:rect style="width:0;height:1.5pt" o:hralign="center" o:hrstd="t" o:hr="t"/>
        </w:pict>
      </w:r>
    </w:p>
    <w:bookmarkEnd w:id="200"/>
    <w:bookmarkStart w:id="201" w:name="X0c4c269799eb0da7cd2ebe78f58aa35fd8ffed8"/>
    <w:p>
      <w:pPr>
        <w:pStyle w:val="Heading1"/>
      </w:pPr>
      <w:r>
        <w:t xml:space="preserve">APPENDIX H – Value Engineering Decision Matrix Template</w:t>
      </w:r>
    </w:p>
    <w:tbl>
      <w:tblPr>
        <w:tblStyle w:val="Table"/>
        <w:tblW w:type="pct" w:w="5000"/>
        <w:tblLayout w:type="fixed"/>
        <w:tblLook w:firstRow="1" w:lastRow="0" w:firstColumn="0" w:lastColumn="0" w:noHBand="0" w:noVBand="0" w:val="0020"/>
      </w:tblPr>
      <w:tblGrid>
        <w:gridCol w:w="1144"/>
        <w:gridCol w:w="1232"/>
        <w:gridCol w:w="1496"/>
        <w:gridCol w:w="1584"/>
        <w:gridCol w:w="1672"/>
        <w:gridCol w:w="792"/>
      </w:tblGrid>
      <w:tr>
        <w:trPr>
          <w:tblHeader w:val="on"/>
        </w:trPr>
        <w:tc>
          <w:tcPr/>
          <w:p>
            <w:pPr>
              <w:pStyle w:val="Compact"/>
            </w:pPr>
            <w:r>
              <w:t xml:space="preserve">VE Proposal</w:t>
            </w:r>
          </w:p>
        </w:tc>
        <w:tc>
          <w:tcPr/>
          <w:p>
            <w:pPr>
              <w:pStyle w:val="Compact"/>
            </w:pPr>
            <w:r>
              <w:t xml:space="preserve">CAPEX Saving</w:t>
            </w:r>
          </w:p>
        </w:tc>
        <w:tc>
          <w:tcPr/>
          <w:p>
            <w:pPr>
              <w:pStyle w:val="Compact"/>
            </w:pPr>
            <w:r>
              <w:t xml:space="preserve">Lifecycle Impact</w:t>
            </w:r>
          </w:p>
        </w:tc>
        <w:tc>
          <w:tcPr/>
          <w:p>
            <w:pPr>
              <w:pStyle w:val="Compact"/>
            </w:pPr>
            <w:r>
              <w:t xml:space="preserve">Compliance Impact</w:t>
            </w:r>
          </w:p>
        </w:tc>
        <w:tc>
          <w:tcPr/>
          <w:p>
            <w:pPr>
              <w:pStyle w:val="Compact"/>
            </w:pPr>
            <w:r>
              <w:t xml:space="preserve">Educational Impact</w:t>
            </w:r>
          </w:p>
        </w:tc>
        <w:tc>
          <w:tcPr/>
          <w:p>
            <w:pPr>
              <w:pStyle w:val="Compact"/>
            </w:pPr>
            <w:r>
              <w:t xml:space="preserve">Decision</w:t>
            </w:r>
          </w:p>
        </w:tc>
      </w:tr>
      <w:tr>
        <w:tc>
          <w:tcPr/>
          <w:p>
            <w:pPr>
              <w:pStyle w:val="Compact"/>
            </w:pPr>
            <w:r>
              <w:t xml:space="preserve">Example</w:t>
            </w:r>
          </w:p>
        </w:tc>
        <w:tc>
          <w:tcPr/>
          <w:p>
            <w:pPr>
              <w:pStyle w:val="Compact"/>
            </w:pPr>
            <w:r>
              <w:t xml:space="preserve">5%</w:t>
            </w:r>
          </w:p>
        </w:tc>
        <w:tc>
          <w:tcPr/>
          <w:p>
            <w:pPr>
              <w:pStyle w:val="Compact"/>
            </w:pPr>
            <w:r>
              <w:t xml:space="preserve">Neutral</w:t>
            </w:r>
          </w:p>
        </w:tc>
        <w:tc>
          <w:tcPr/>
          <w:p>
            <w:pPr>
              <w:pStyle w:val="Compact"/>
            </w:pPr>
            <w:r>
              <w:t xml:space="preserve">None</w:t>
            </w:r>
          </w:p>
        </w:tc>
        <w:tc>
          <w:tcPr/>
          <w:p>
            <w:pPr>
              <w:pStyle w:val="Compact"/>
            </w:pPr>
            <w:r>
              <w:t xml:space="preserve">None</w:t>
            </w:r>
          </w:p>
        </w:tc>
        <w:tc>
          <w:tcPr/>
          <w:p>
            <w:pPr>
              <w:pStyle w:val="Compact"/>
            </w:pPr>
            <w:r>
              <w:t xml:space="preserve">Approve</w:t>
            </w:r>
          </w:p>
        </w:tc>
      </w:tr>
    </w:tbl>
    <w:p>
      <w:r>
        <w:pict>
          <v:rect style="width:0;height:1.5pt" o:hralign="center" o:hrstd="t" o:hr="t"/>
        </w:pict>
      </w:r>
    </w:p>
    <w:bookmarkEnd w:id="201"/>
    <w:bookmarkStart w:id="202" w:name="appendix-i-risk-register-template"/>
    <w:p>
      <w:pPr>
        <w:pStyle w:val="Heading1"/>
      </w:pPr>
      <w:r>
        <w:t xml:space="preserve">APPENDIX I – Risk Register Template</w:t>
      </w:r>
    </w:p>
    <w:tbl>
      <w:tblPr>
        <w:tblStyle w:val="Table"/>
        <w:tblW w:type="pct" w:w="5000"/>
        <w:tblLayout w:type="fixed"/>
        <w:tblLook w:firstRow="1" w:lastRow="0" w:firstColumn="0" w:lastColumn="0" w:noHBand="0" w:noVBand="0" w:val="0020"/>
      </w:tblPr>
      <w:tblGrid>
        <w:gridCol w:w="1048"/>
        <w:gridCol w:w="1397"/>
        <w:gridCol w:w="1397"/>
        <w:gridCol w:w="931"/>
        <w:gridCol w:w="1397"/>
        <w:gridCol w:w="815"/>
        <w:gridCol w:w="931"/>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Owner</w:t>
            </w:r>
          </w:p>
        </w:tc>
        <w:tc>
          <w:tcPr/>
          <w:p>
            <w:pPr>
              <w:pStyle w:val="Compact"/>
            </w:pPr>
            <w:r>
              <w:t xml:space="preserve">Status</w:t>
            </w:r>
          </w:p>
        </w:tc>
      </w:tr>
    </w:tbl>
    <w:p>
      <w:r>
        <w:pict>
          <v:rect style="width:0;height:1.5pt" o:hralign="center" o:hrstd="t" o:hr="t"/>
        </w:pict>
      </w:r>
    </w:p>
    <w:bookmarkEnd w:id="202"/>
    <w:bookmarkStart w:id="203" w:name="appendix-j-change-control-form-template"/>
    <w:p>
      <w:pPr>
        <w:pStyle w:val="Heading1"/>
      </w:pPr>
      <w:r>
        <w:t xml:space="preserve">APPENDIX J – Change Control Form Template</w:t>
      </w:r>
    </w:p>
    <w:p>
      <w:pPr>
        <w:pStyle w:val="FirstParagraph"/>
      </w:pPr>
      <w:r>
        <w:t xml:space="preserve">Change Reference No:</w:t>
      </w:r>
      <w:r>
        <w:t xml:space="preserve"> </w:t>
      </w:r>
      <w:r>
        <w:t xml:space="preserve">Description:</w:t>
      </w:r>
      <w:r>
        <w:t xml:space="preserve"> </w:t>
      </w:r>
      <w:r>
        <w:t xml:space="preserve">Cost Impact:</w:t>
      </w:r>
      <w:r>
        <w:t xml:space="preserve"> </w:t>
      </w:r>
      <w:r>
        <w:t xml:space="preserve">Schedule Impact:</w:t>
      </w:r>
      <w:r>
        <w:t xml:space="preserve"> </w:t>
      </w:r>
      <w:r>
        <w:t xml:space="preserve">Lifecycle Review:</w:t>
      </w:r>
      <w:r>
        <w:t xml:space="preserve"> </w:t>
      </w:r>
      <w:r>
        <w:t xml:space="preserve">Consultant Endorsement:</w:t>
      </w:r>
      <w:r>
        <w:t xml:space="preserve"> </w:t>
      </w:r>
      <w:r>
        <w:t xml:space="preserve">SMC Approval:</w:t>
      </w:r>
    </w:p>
    <w:p>
      <w:r>
        <w:pict>
          <v:rect style="width:0;height:1.5pt" o:hralign="center" o:hrstd="t" o:hr="t"/>
        </w:pict>
      </w:r>
    </w:p>
    <w:bookmarkEnd w:id="203"/>
    <w:bookmarkStart w:id="204" w:name="appendix-k-stage-gate-approval-template"/>
    <w:p>
      <w:pPr>
        <w:pStyle w:val="Heading1"/>
      </w:pPr>
      <w:r>
        <w:t xml:space="preserve">APPENDIX K – Stage Gate Approval Template</w:t>
      </w:r>
    </w:p>
    <w:p>
      <w:pPr>
        <w:pStyle w:val="FirstParagraph"/>
      </w:pPr>
      <w:r>
        <w:t xml:space="preserve">Gate Number:</w:t>
      </w:r>
      <w:r>
        <w:t xml:space="preserve"> </w:t>
      </w:r>
      <w:r>
        <w:t xml:space="preserve">Submission Documents Reviewed:</w:t>
      </w:r>
      <w:r>
        <w:t xml:space="preserve"> </w:t>
      </w:r>
      <w:r>
        <w:t xml:space="preserve">Cost Confirmation:</w:t>
      </w:r>
      <w:r>
        <w:t xml:space="preserve"> </w:t>
      </w:r>
      <w:r>
        <w:t xml:space="preserve">Compliance Confirmation:</w:t>
      </w:r>
      <w:r>
        <w:t xml:space="preserve"> </w:t>
      </w:r>
      <w:r>
        <w:t xml:space="preserve">Resolution No:</w:t>
      </w:r>
      <w:r>
        <w:t xml:space="preserve"> </w:t>
      </w:r>
      <w:r>
        <w:t xml:space="preserve">Approval Date:</w:t>
      </w:r>
    </w:p>
    <w:p>
      <w:r>
        <w:pict>
          <v:rect style="width:0;height:1.5pt" o:hralign="center" o:hrstd="t" o:hr="t"/>
        </w:pict>
      </w:r>
    </w:p>
    <w:bookmarkEnd w:id="204"/>
    <w:bookmarkStart w:id="205" w:name="X77884f090de6fe55c2c093a7db351c2ee02910f"/>
    <w:p>
      <w:pPr>
        <w:pStyle w:val="Heading1"/>
      </w:pPr>
      <w:r>
        <w:t xml:space="preserve">APPENDIX L – Conflict of Interest Declaration Template</w:t>
      </w:r>
    </w:p>
    <w:p>
      <w:pPr>
        <w:pStyle w:val="FirstParagraph"/>
      </w:pPr>
      <w:r>
        <w:t xml:space="preserve">Name:</w:t>
      </w:r>
      <w:r>
        <w:t xml:space="preserve"> </w:t>
      </w:r>
      <w:r>
        <w:t xml:space="preserve">Role:</w:t>
      </w:r>
      <w:r>
        <w:t xml:space="preserve"> </w:t>
      </w:r>
      <w:r>
        <w:t xml:space="preserve">Declaration Statement:</w:t>
      </w:r>
      <w:r>
        <w:t xml:space="preserve"> </w:t>
      </w:r>
      <w:r>
        <w:t xml:space="preserve">Signature:</w:t>
      </w:r>
      <w:r>
        <w:t xml:space="preserve"> </w:t>
      </w:r>
      <w:r>
        <w:t xml:space="preserve">Date:</w:t>
      </w:r>
    </w:p>
    <w:p>
      <w:r>
        <w:pict>
          <v:rect style="width:0;height:1.5pt" o:hralign="center" o:hrstd="t" o:hr="t"/>
        </w:pict>
      </w:r>
    </w:p>
    <w:p>
      <w:pPr>
        <w:pStyle w:val="FirstParagraph"/>
      </w:pPr>
      <w:r>
        <w:t xml:space="preserve">END OF SECTION 16</w:t>
      </w:r>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2026-02-12T22:53:44Z</dcterms:created>
  <dcterms:modified xsi:type="dcterms:W3CDTF">2026-02-12T22:53:44Z</dcterms:modified>
</cp:coreProperties>
</file>

<file path=docProps/custom.xml><?xml version="1.0" encoding="utf-8"?>
<Properties xmlns="http://schemas.openxmlformats.org/officeDocument/2006/custom-properties" xmlns:vt="http://schemas.openxmlformats.org/officeDocument/2006/docPropsVTypes"/>
</file>