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olor w:val="0D2B5E"/>
          <w:spacing w:val="40"/>
          <w:sz w:val="20"/>
          <w:szCs w:val="20"/>
        </w:rPr>
        <w:t xml:space="preserve">DEFENCE EXPORT PROMOTION ORGANISATION</w:t>
      </w:r>
    </w:p>
    <w:p>
      <w:pPr>
        <w:spacing w:after="400"/>
        <w:jc w:val="center"/>
      </w:pPr>
      <w:r>
        <w:rPr>
          <w:rFonts w:ascii="Arial" w:cs="Arial" w:eastAsia="Arial" w:hAnsi="Arial"/>
          <w:color w:val="666666"/>
          <w:spacing w:val="20"/>
          <w:sz w:val="18"/>
          <w:szCs w:val="18"/>
        </w:rPr>
        <w:t xml:space="preserve">MINISTRY OF DEFENCE PRODUCTION, GOVERNMENT OF PAKISTAN</w:t>
      </w:r>
    </w:p>
    <w:p>
      <w:pPr>
        <w:pBdr>
          <w:bottom w:val="single" w:color="B8892A" w:sz="12"/>
        </w:pBdr>
        <w:spacing w:after="80"/>
        <w:jc w:val="center"/>
      </w:pPr>
      <w:r>
        <w:rPr>
          <w:rFonts w:ascii="Arial" w:cs="Arial" w:eastAsia="Arial" w:hAnsi="Arial"/>
          <w:b/>
          <w:bCs/>
          <w:color w:val="0D2B5E"/>
          <w:sz w:val="48"/>
          <w:szCs w:val="48"/>
        </w:rPr>
        <w:t xml:space="preserve">REQUEST FOR PROPOSAL</w:t>
      </w:r>
    </w:p>
    <w:p>
      <w:pPr>
        <w:spacing w:after="80"/>
      </w:pPr>
      <w:r>
        <w:t xml:space="preserve"/>
      </w:r>
    </w:p>
    <w:p>
      <w:pPr>
        <w:spacing w:after="80"/>
        <w:jc w:val="center"/>
      </w:pPr>
      <w:r>
        <w:rPr>
          <w:rFonts w:ascii="Arial" w:cs="Arial" w:eastAsia="Arial" w:hAnsi="Arial"/>
          <w:b/>
          <w:bCs/>
          <w:color w:val="333333"/>
          <w:sz w:val="30"/>
          <w:szCs w:val="30"/>
        </w:rPr>
        <w:t xml:space="preserve">Integrated Communications, Media, PR &amp; Production Services</w:t>
      </w:r>
    </w:p>
    <w:p>
      <w:pPr>
        <w:spacing w:after="600"/>
        <w:jc w:val="center"/>
      </w:pPr>
      <w:r>
        <w:rPr>
          <w:rFonts w:ascii="Arial" w:cs="Arial" w:eastAsia="Arial" w:hAnsi="Arial"/>
          <w:b/>
          <w:bCs/>
          <w:color w:val="B8892A"/>
          <w:sz w:val="28"/>
          <w:szCs w:val="28"/>
        </w:rPr>
        <w:t xml:space="preserve">IDEAS 2026 &amp; IDEAS 2028</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RFP Reference</w:t>
            </w:r>
          </w:p>
        </w:tc>
        <w:tc>
          <w:tcPr>
            <w:tcW w:type="dxa" w:w="42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RFP-DEPO-IDEAS-2026-001</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Issuing Authority</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Defence Export Promotion Organisation (DEPO)</w:t>
            </w:r>
          </w:p>
        </w:tc>
      </w:tr>
      <w:tr>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Under</w:t>
            </w:r>
          </w:p>
        </w:tc>
        <w:tc>
          <w:tcPr>
            <w:tcW w:type="dxa" w:w="42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Ministry of Defence Production, Government of Pakistan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Contract Title</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Integrated Communications, Media, PR &amp; Production: IDEAS 2026 &amp; 2028</w:t>
            </w:r>
          </w:p>
        </w:tc>
      </w:tr>
      <w:tr>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Contract Duration</w:t>
            </w:r>
          </w:p>
        </w:tc>
        <w:tc>
          <w:tcPr>
            <w:tcW w:type="dxa" w:w="42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34 months: March 2026 to December 2028</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Issue Date</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r>
      <w:tr>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Submission Deadline</w:t>
            </w:r>
          </w:p>
        </w:tc>
        <w:tc>
          <w:tcPr>
            <w:tcW w:type="dxa" w:w="42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 &amp; Time]: Pakistan Standard Time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Validity Period</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90 days from submission deadline</w:t>
            </w:r>
          </w:p>
        </w:tc>
      </w:tr>
      <w:tr>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Language</w:t>
            </w:r>
          </w:p>
        </w:tc>
        <w:tc>
          <w:tcPr>
            <w:tcW w:type="dxa" w:w="42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English</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Currency</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Pakistani Rupee (PKR)</w:t>
            </w:r>
          </w:p>
        </w:tc>
      </w:tr>
    </w:tbl>
    <w:p>
      <w:pPr>
        <w:spacing w:after="0"/>
        <w:ind w:left="-240"/>
        <w:jc w:val="center"/>
      </w:pPr>
    </w:p>
    <w:p>
      <w:pPr>
        <w:spacing w:after="400"/>
      </w:pPr>
      <w:r>
        <w:t xml:space="preserve"/>
      </w:r>
    </w:p>
    <w:p>
      <w:pPr>
        <w:shd w:fill="0D2B5E" w:val="clear"/>
        <w:spacing w:before="80" w:after="80"/>
        <w:jc w:val="center"/>
      </w:pPr>
      <w:r>
        <w:rPr>
          <w:rFonts w:ascii="Arial" w:cs="Arial" w:eastAsia="Arial" w:hAnsi="Arial"/>
          <w:b/>
          <w:bCs/>
          <w:color w:val="B8892A"/>
          <w:spacing w:val="30"/>
          <w:sz w:val="18"/>
          <w:szCs w:val="18"/>
        </w:rPr>
        <w:t xml:space="preserve">CONFIDENTIAL: FOR AUTHORISED RECIPIENTS ONLY</w:t>
      </w:r>
    </w:p>
    <w:p>
      <w:r>
        <w:br w:type="page"/>
      </w:r>
    </w:p>
    <w:p>
      <w:pPr>
        <w:shd w:fill="0D2B5E" w:val="clear"/>
        <w:spacing w:before="320" w:after="160"/>
        <w:ind w:left="120"/>
      </w:pPr>
      <w:r>
        <w:rPr>
          <w:rFonts w:ascii="Arial" w:cs="Arial" w:eastAsia="Arial" w:hAnsi="Arial"/>
          <w:b/>
          <w:bCs/>
          <w:color w:val="FFFFFF"/>
          <w:sz w:val="28"/>
          <w:szCs w:val="28"/>
        </w:rPr>
        <w:t xml:space="preserve">SECTION 1: INTRODUCTION &amp; BACKGROUND</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1.1  About DEPO and IDEAS</w:t>
      </w:r>
    </w:p>
    <w:p>
      <w:pPr>
        <w:spacing w:before="0" w:after="120" w:line="280"/>
        <w:jc w:val="left"/>
      </w:pPr>
      <w:r>
        <w:rPr>
          <w:rFonts w:ascii="Arial" w:cs="Arial" w:eastAsia="Arial" w:hAnsi="Arial"/>
          <w:b w:val="false"/>
          <w:bCs w:val="false"/>
          <w:i w:val="false"/>
          <w:iCs w:val="false"/>
          <w:color w:val="333333"/>
          <w:sz w:val="22"/>
          <w:szCs w:val="22"/>
        </w:rPr>
        <w:t xml:space="preserve">The Defence Export Promotion Organisation (DEPO) is an agency under the Ministry of Defence Production, Government of Pakistan, mandated to promote Pakistan's defence industry and expand its export footprint in international markets.</w:t>
      </w:r>
    </w:p>
    <w:p>
      <w:pPr>
        <w:spacing w:before="0" w:after="120" w:line="280"/>
        <w:jc w:val="left"/>
      </w:pPr>
      <w:r>
        <w:rPr>
          <w:rFonts w:ascii="Arial" w:cs="Arial" w:eastAsia="Arial" w:hAnsi="Arial"/>
          <w:b w:val="false"/>
          <w:bCs w:val="false"/>
          <w:i w:val="false"/>
          <w:iCs w:val="false"/>
          <w:color w:val="333333"/>
          <w:sz w:val="22"/>
          <w:szCs w:val="22"/>
        </w:rPr>
        <w:t xml:space="preserve">IDEAS: the International Defence Exhibition and Seminar: is Pakistan's flagship biennial defence exhibition, held at the Karachi Expo Centre (KEC), Karachi. Recognised as one of Asia's premier defence events, IDEAS attracts heads of state, defence ministers, military delegations, and 400+ international exhibitors from 56+ countries. It is the primary platform through which Pakistan's defence industry engages with global partners, drives exports, and projects national capability.</w:t>
      </w:r>
    </w:p>
    <w:p>
      <w:pPr>
        <w:spacing w:before="0" w:after="160" w:line="280"/>
        <w:jc w:val="left"/>
      </w:pPr>
      <w:r>
        <w:rPr>
          <w:rFonts w:ascii="Arial" w:cs="Arial" w:eastAsia="Arial" w:hAnsi="Arial"/>
          <w:b w:val="false"/>
          <w:bCs w:val="false"/>
          <w:i w:val="false"/>
          <w:iCs w:val="false"/>
          <w:color w:val="333333"/>
          <w:sz w:val="22"/>
          <w:szCs w:val="22"/>
        </w:rPr>
        <w:t xml:space="preserve">IDEAS 2026 is scheduled for 24-27 November 2026. IDEAS 2028 dates will be confirmed separately. Both editions are governed by this contract.</w:t>
      </w:r>
    </w:p>
    <w:p>
      <w:pPr>
        <w:pBdr>
          <w:bottom w:val="single" w:color="B8892A" w:sz="6"/>
        </w:pBdr>
        <w:spacing w:before="240" w:after="80"/>
      </w:pPr>
      <w:r>
        <w:rPr>
          <w:rFonts w:ascii="Arial" w:cs="Arial" w:eastAsia="Arial" w:hAnsi="Arial"/>
          <w:b/>
          <w:bCs/>
          <w:color w:val="0D2B5E"/>
          <w:sz w:val="24"/>
          <w:szCs w:val="24"/>
        </w:rPr>
        <w:t xml:space="preserve">1.2  Purpose of this RFP</w:t>
      </w:r>
    </w:p>
    <w:p>
      <w:pPr>
        <w:spacing w:before="0" w:after="120" w:line="280"/>
        <w:jc w:val="left"/>
      </w:pPr>
      <w:r>
        <w:rPr>
          <w:rFonts w:ascii="Arial" w:cs="Arial" w:eastAsia="Arial" w:hAnsi="Arial"/>
          <w:b w:val="false"/>
          <w:bCs w:val="false"/>
          <w:i w:val="false"/>
          <w:iCs w:val="false"/>
          <w:color w:val="333333"/>
          <w:sz w:val="22"/>
          <w:szCs w:val="22"/>
        </w:rPr>
        <w:t xml:space="preserve">DEPO invites proposals from qualified agencies and agency consortia to serve as the Lead Communications Agency for IDEAS 2026 and IDEAS 2028, delivering an integrated scope covering strategy, creative production, social media, digital marketing, public relations (international and local), outdoor advertising, influencer marketing, cinematic production, event coverage, print production, and related services.</w:t>
      </w:r>
    </w:p>
    <w:p>
      <w:pPr>
        <w:spacing w:before="0" w:after="160" w:line="280"/>
        <w:jc w:val="left"/>
      </w:pPr>
      <w:r>
        <w:rPr>
          <w:rFonts w:ascii="Arial" w:cs="Arial" w:eastAsia="Arial" w:hAnsi="Arial"/>
          <w:b w:val="false"/>
          <w:bCs w:val="false"/>
          <w:i w:val="false"/>
          <w:iCs w:val="false"/>
          <w:color w:val="333333"/>
          <w:sz w:val="22"/>
          <w:szCs w:val="22"/>
        </w:rPr>
        <w:t xml:space="preserve">This is a single-agency mandate. DEPO requires one Lead Agency to take full accountability for all 16 sections of the scope, whether delivered directly or managed through disclosed subcontractors and partners.</w:t>
      </w:r>
    </w:p>
    <w:p>
      <w:pPr>
        <w:pBdr>
          <w:bottom w:val="single" w:color="B8892A" w:sz="6"/>
        </w:pBdr>
        <w:spacing w:before="240" w:after="80"/>
      </w:pPr>
      <w:r>
        <w:rPr>
          <w:rFonts w:ascii="Arial" w:cs="Arial" w:eastAsia="Arial" w:hAnsi="Arial"/>
          <w:b/>
          <w:bCs/>
          <w:color w:val="0D2B5E"/>
          <w:sz w:val="24"/>
          <w:szCs w:val="24"/>
        </w:rPr>
        <w:t xml:space="preserve">1.3  Contract Structure</w:t>
      </w:r>
    </w:p>
    <w:p>
      <w:pPr>
        <w:spacing w:before="0" w:after="80" w:line="280"/>
        <w:jc w:val="left"/>
      </w:pPr>
      <w:r>
        <w:rPr>
          <w:rFonts w:ascii="Arial" w:cs="Arial" w:eastAsia="Arial" w:hAnsi="Arial"/>
          <w:b w:val="false"/>
          <w:bCs w:val="false"/>
          <w:i w:val="false"/>
          <w:iCs w:val="false"/>
          <w:color w:val="333333"/>
          <w:sz w:val="22"/>
          <w:szCs w:val="22"/>
        </w:rPr>
        <w:t xml:space="preserve">The contract is structured across three delivery periods:</w:t>
      </w:r>
    </w:p>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66"/>
      </w:tblGrid>
      <w:tr>
        <w:tc>
          <w:tcPr>
            <w:tcW w:type="dxa" w:w="18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2026 (Mar-Dec)</w:t>
            </w:r>
          </w:p>
        </w:tc>
        <w:tc>
          <w:tcPr>
            <w:tcW w:type="dxa" w:w="14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10 months</w:t>
            </w:r>
          </w:p>
        </w:tc>
        <w:tc>
          <w:tcPr>
            <w:tcW w:type="dxa" w:w="6066"/>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Retainer + full edition activation for IDEAS 2026 (24-27 Nov 2026)</w:t>
            </w:r>
          </w:p>
        </w:tc>
      </w:tr>
    </w:tbl>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66"/>
      </w:tblGrid>
      <w:tr>
        <w:tc>
          <w:tcPr>
            <w:tcW w:type="dxa" w:w="1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2027 (Jan-Dec)</w:t>
            </w:r>
          </w:p>
        </w:tc>
        <w:tc>
          <w:tcPr>
            <w:tcW w:type="dxa" w:w="14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12 months</w:t>
            </w:r>
          </w:p>
        </w:tc>
        <w:tc>
          <w:tcPr>
            <w:tcW w:type="dxa" w:w="60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Retainer continuity. No edition. Brand-keeping, digital buying, and strategy</w:t>
            </w:r>
          </w:p>
        </w:tc>
      </w:tr>
    </w:tbl>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66"/>
      </w:tblGrid>
      <w:tr>
        <w:tc>
          <w:tcPr>
            <w:tcW w:type="dxa" w:w="18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2028 (Jan-Dec)</w:t>
            </w:r>
          </w:p>
        </w:tc>
        <w:tc>
          <w:tcPr>
            <w:tcW w:type="dxa" w:w="14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12 months</w:t>
            </w:r>
          </w:p>
        </w:tc>
        <w:tc>
          <w:tcPr>
            <w:tcW w:type="dxa" w:w="6066"/>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Retainer + full edition activation for IDEAS 2028 (dates TBC)</w:t>
            </w:r>
          </w:p>
        </w:tc>
      </w:tr>
    </w:tbl>
    <w:p>
      <w:pPr>
        <w:spacing w:after="160"/>
      </w:pPr>
      <w:r>
        <w:t xml:space="preserve"/>
      </w:r>
    </w:p>
    <w:p>
      <w:r>
        <w:br w:type="page"/>
      </w:r>
    </w:p>
    <w:p>
      <w:pPr>
        <w:shd w:fill="0D2B5E" w:val="clear"/>
        <w:spacing w:before="320" w:after="160"/>
        <w:ind w:left="120"/>
      </w:pPr>
      <w:r>
        <w:rPr>
          <w:rFonts w:ascii="Arial" w:cs="Arial" w:eastAsia="Arial" w:hAnsi="Arial"/>
          <w:b/>
          <w:bCs/>
          <w:color w:val="FFFFFF"/>
          <w:sz w:val="28"/>
          <w:szCs w:val="28"/>
        </w:rPr>
        <w:t xml:space="preserve">SECTION 2: SCOPE OF WORK</w:t>
      </w:r>
    </w:p>
    <w:p>
      <w:pPr>
        <w:spacing w:after="80"/>
      </w:pPr>
      <w:r>
        <w:t xml:space="preserve"/>
      </w:r>
    </w:p>
    <w:p>
      <w:pPr>
        <w:spacing w:before="0" w:after="160" w:line="280"/>
        <w:jc w:val="left"/>
      </w:pPr>
      <w:r>
        <w:rPr>
          <w:rFonts w:ascii="Arial" w:cs="Arial" w:eastAsia="Arial" w:hAnsi="Arial"/>
          <w:b w:val="false"/>
          <w:bCs w:val="false"/>
          <w:i w:val="false"/>
          <w:iCs w:val="false"/>
          <w:color w:val="333333"/>
          <w:sz w:val="20"/>
          <w:szCs w:val="20"/>
        </w:rPr>
        <w:t xml:space="preserve">The Lead Agency shall deliver the following sixteen (16) sections. Sections marked </w:t>
      </w:r>
      <w:r>
        <w:rPr>
          <w:rFonts w:ascii="Arial" w:cs="Arial" w:eastAsia="Arial" w:hAnsi="Arial"/>
          <w:b/>
          <w:bCs/>
          <w:i w:val="false"/>
          <w:iCs w:val="false"/>
          <w:color w:val="B8892A"/>
          <w:sz w:val="20"/>
          <w:szCs w:val="20"/>
        </w:rPr>
        <w:t xml:space="preserve">★ Edition Only</w:t>
      </w:r>
      <w:r>
        <w:rPr>
          <w:rFonts w:ascii="Arial" w:cs="Arial" w:eastAsia="Arial" w:hAnsi="Arial"/>
          <w:b w:val="false"/>
          <w:bCs w:val="false"/>
          <w:i w:val="false"/>
          <w:iCs w:val="false"/>
          <w:color w:val="333333"/>
          <w:sz w:val="20"/>
          <w:szCs w:val="20"/>
        </w:rPr>
        <w:t xml:space="preserve"> are activated during IDEAS 2026 and IDEAS 2028 only. All other sections are active throughout the 34-month contract.</w:t>
      </w:r>
    </w:p>
    <w:p>
      <w:pPr>
        <w:pBdr>
          <w:bottom w:val="single" w:color="B8892A" w:sz="6"/>
        </w:pBdr>
        <w:spacing w:before="240" w:after="80"/>
      </w:pPr>
      <w:r>
        <w:rPr>
          <w:rFonts w:ascii="Arial" w:cs="Arial" w:eastAsia="Arial" w:hAnsi="Arial"/>
          <w:b/>
          <w:bCs/>
          <w:color w:val="0D2B5E"/>
          <w:sz w:val="24"/>
          <w:szCs w:val="24"/>
        </w:rPr>
        <w:t xml:space="preserve">SECTION 1  |  Retainer Services: Strategy, Social Media &amp; Creative</w:t>
      </w:r>
    </w:p>
    <w:p>
      <w:pPr>
        <w:spacing w:before="0" w:after="80" w:line="280"/>
        <w:jc w:val="left"/>
      </w:pPr>
      <w:r>
        <w:rPr>
          <w:rFonts w:ascii="Arial" w:cs="Arial" w:eastAsia="Arial" w:hAnsi="Arial"/>
          <w:b/>
          <w:bCs/>
          <w:i w:val="false"/>
          <w:iCs w:val="false"/>
          <w:color w:val="007B72"/>
          <w:sz w:val="20"/>
          <w:szCs w:val="20"/>
        </w:rPr>
        <w:t xml:space="preserve">Active: All 34 months</w:t>
      </w:r>
    </w:p>
    <w:p>
      <w:pPr>
        <w:spacing w:before="0" w:after="80" w:line="280"/>
        <w:jc w:val="left"/>
      </w:pPr>
      <w:r>
        <w:rPr>
          <w:rFonts w:ascii="Arial" w:cs="Arial" w:eastAsia="Arial" w:hAnsi="Arial"/>
          <w:b w:val="false"/>
          <w:bCs w:val="false"/>
          <w:i w:val="false"/>
          <w:iCs w:val="false"/>
          <w:color w:val="333333"/>
          <w:sz w:val="20"/>
          <w:szCs w:val="20"/>
        </w:rPr>
        <w:t xml:space="preserve">Ongoing delivery of all strategy, planning, brand management, social media management, content creation, and reporting obligations throughout the contract period. This includes but is not limited to:</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Quarterly Strategic Planning Documents (4 per year / 12 over contract)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Brand Guidelines Development &amp; Maintenance (initial creation + per-edition update)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Campaign Design: Pre-Hype, Engagement &amp; Event Showcase phases (3 phases × 2 editions = 6 campaigns total)</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Crisis Communication Framework: standing risk playbook reviewed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Marketing &amp; Communications Calendar: 1 master calendar per month (34 months)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Platform-wise Content Strategy: 1 document per platform per edition (6 platforms × 2 editions = 12 docs)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Media Landscape &amp; Global Positioning Analysis: updated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Digital Media Planning: full channel plan with budget allocation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Social Media Management: daily management across LinkedIn, YouTube, Facebook, Instagram, X, TikTok (34 months)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Visual Design for Social Posts: minimum 20 designed posts per month × 34 months = 680 posts total (note: 20/month is minimum designed content; community management, reshares, and UGC are additional)</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Copywriting &amp; Captioning: one caption/copy set per designed post (680 sets minimum)</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Motion Graphics &amp; Animated Assets: minimum 2 per month × 34 months = 68 total</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Campaign-based Product / Event Teasers: 10 per campaign phase (30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Press Release Drafting &amp; Dissemination: minimum 1/month + 2/month during peak campaign = 46 minimum over contract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Talking Points &amp; Q&amp;A Preparation: 1 set per major event (12 per edition, 24 over contract)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Print Ad Design &amp; Adaptations: full size set per campaign phase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Website Content: monthly CMS updates and SEO across 34 months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Monthly Performance Dashboards: social, digital, PR, OOH KPI reports (34 reports)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Translation Services: minimum 150 documents over contract across English, Urdu, Arabic, French, Chinese</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2  |  Event Designing: Non-Fabrication Creative  ★ Edition Only</w:t>
      </w:r>
    </w:p>
    <w:p>
      <w:pPr>
        <w:spacing w:before="0" w:after="80" w:line="280"/>
        <w:jc w:val="left"/>
      </w:pPr>
      <w:r>
        <w:rPr>
          <w:rFonts w:ascii="Arial" w:cs="Arial" w:eastAsia="Arial" w:hAnsi="Arial"/>
          <w:b w:val="false"/>
          <w:bCs w:val="false"/>
          <w:i/>
          <w:iCs/>
          <w:color w:val="666666"/>
          <w:sz w:val="20"/>
          <w:szCs w:val="20"/>
        </w:rPr>
        <w:t xml:space="preserve">Active: IDEAS 2026 &amp; IDEAS 2028 editions only. All deliverables are design files only: fabrication is outside this scope.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3D Venue Walk-through Rendering: full KEC layout render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Signage &amp; Wayfinding System Design: complete signage set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Stage &amp; Main Hall Design Concepts: main stage, ceremonial areas, VIP zones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Opening Ceremony Design: full visual identity for ceremony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Curtain Raiser Gala Dinner Design (23 Nov 2026 / TBC 2028)</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IDEAS Golf Tournament Design (24 Nov 2026 / TBC 2028)</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Air Show Visual Design (26 Nov 2026 / TBC 2028)</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IDEAS Seminar &amp; Conference Branding</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Delegate Gift &amp; Protocol Pack Design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Exhibitor Welcome Kit Design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Brochures, Programmes &amp; Print Collateral (design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Space &amp; Delegate Selling Brochure: digital + print-ready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Sponsorship Kit &amp; Pitch Presentation: 4 sponsor tiers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Event Mobile App: design files for DEPO IT development (DEPO develops the app independently)</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3  |  Coffee Table Book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Collector edition coffee table book per IDEAS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Bilingual content (English / Urdu): copywriting, editing, and design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Print-ready artwork delivery (printing managed under Section 16)</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4  |  PR: International Media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International PR strategy per edition: targeting Jane's Defence Weekly, Defence News, Shephard Media, The Military Balance, and equivalent tier-1 international defence publications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Relationship management with minimum 12 international defence editors and journalists: monthly engagement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International press conference organisation and media facilitation at KEC</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Press releases targeted at international media: minimum 12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International journalist hosting: accreditation, logistics, interview facilitation (managed by Oktopus Media or equivalent specialist PR partner)</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5  |  Local PR Coverage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Local PR strategy: targeting Dawn, The News, ARY, Geo, Dunya, Express, Samaa and equivalent tier-1 Pakistani media</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National press conference facilitation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Local journalist accreditation and facilitation at KEC</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Minimum 24 press releases in Urdu and English over contract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Broadcast media coordination: TV panel appearances, spokesperson preparation</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6  |  Outdoor Advertising: International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International OOH media buying and placement: minimum 12 sites per edition across defence-capital markets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Tier 1 (Mandatory): Abu Dhabi, London, Ankara, Doha</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Tier 2 (Desirable): Washington DC, Paris, Beijing, Istanbul</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Tier 3 (Optional): Kuala Lumpur, Cairo, Riyadh, Nairobi</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Formats: airport high-impact, digital billboards, transit media. All static and animated formats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Technical adaptation of all OOH creative to required specifications per site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Media posting confirmation reports with photographs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Note: Burj Khalifa, Times Square, and Piccadilly Circus are aspirational Tier 2 sites: bidders should confirm site-specific pricing</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7  |  Outdoor Advertising: Pakistan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Pakistan OOH: minimum 145 sites per edition across Karachi, Lahore, Islamabad, Rawalpindi</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Site categories: high-impact billboards, unipoles, bus shelters, mall media, transit routes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All creative adaptation and technical file delivery included</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Media posting confirmation reports with GPS-tagged photographs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All drone flight plans for OOH documentation must comply with MOD, CAA, and on-ground security command approvals: minimum 90 days advance submission</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8  |  Digital Media Buying  ★ Active both retainer and edition phases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Ongoing programmatic digital media buying across all 34 months: brand awareness and remarketing campaigns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Edition-phase activation: performance campaigns, delegate acquisition, exhibitor conversion, and event countdown campaigns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Platforms: Google Display, YouTube pre-roll, LinkedIn, Meta, programmatic DSPs, relevant defence industry digital publications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Monthly media performance reports with spend, reach, CPM, CTR, conversion metrics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Delegate registration conversion tracking integrated with DEPO's CRM / event registration system</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9  |  Local Influencer Management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Identification, briefing, contracting, and management of minimum 30 Pakistani influencers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Coverage across defence, technology, lifestyle, and national pride content verticals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Content guidelines, brand safety protocols, and approval processes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Performance reporting with reach, engagement, and audience quality metrics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10  |  International Influencer Program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Identification, briefing, and management of minimum 20 international influencers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Target profiles: defence analysis, geopolitics, military technology, international affairs audiences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Multi-market coverage: minimum 8 countries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Content pre-approval, legal clearance, and performance reporting</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11  |  Events Coverage &amp; Media Centre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Full on-ground media management during IDEAS (4 days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Minimum 30 photography and videography crew on ground</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Real-time social media content creation and posting during event days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Media centre operations: accreditation, press room management, briefing facilitation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Live coverage coordination with DEPO communications team</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Same-day highlights reel production and distribution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All drone and aerial photography/videography subject to MOD, CAA, and security command approval: submitted minimum 90 days prior to each edition; agency pricing must assume drone operations may be replaced with alternative elevated methods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12  |  Post-Show Report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Comprehensive post-event report delivered within 30 days of each edition close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Sections: media coverage summary, social media performance, digital campaign analytics, PR outcomes, OOH delivery confirmation, influencer campaign results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Event sustainability documentation: carbon footprint estimate, attendance statistics, waste management summary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Recommendations for IDEAS 2028 based on 2026 performance data</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13  |  Cinematic Productions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Full cinematic video production: concept to final delivery: minimum 20 productions per edition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Production types: main promotional films, documentary segments, exhibitor profiles, delegate testimonials, ceremony recap films, social media video cuts (60-sec, 30-sec, 15-sec)</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Full production services: scriptwriting, location scouting, crew deployment, talent management, direction, post-production, colour grading, sound design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Delivery formats: broadcast-quality masters + social-optimised edits for all 6 platforms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All AI-assisted pre-visualisation, storyboarding, and scratch voice-over tools must be disclosed</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All drone production subject to MOD, CAA, and security command approval</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14  |  Local Media Buying  ★ Active both phases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Pakistan broadcast, print, and digital media buying throughout contract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Retainer phase: brand-keep campaigns in national press and digital</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Edition phase: high-impact national TV, newspaper, and digital buys timed to IDEAS campaign phases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Rate negotiation with media houses, media posting confirmation, and reconciliation</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15  |  International Media Buying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International media buying in defence trade publications and digital channels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Target publications: Jane's, Defense News, Shephard, Aviation Week, Military Technology, and regional defence trade press across target markets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Programmatic international display buying supplementary to publication placements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Full posting confirmation and delivery reports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SECTION 16  |  Printing &amp; Production Allocation  ★ Edition Only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All print production for creative materials designed under this contract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Includes: programmes, delegate packs, signage, banners, coffee table books, brochures, press kits, exhibitor welcome packs, invitation cards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Vendor management, quality control, and delivery coordination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Green printing policy encouraged: use of FSC-certified materials and low-emission processes</w:t>
      </w:r>
    </w:p>
    <w:p>
      <w:pPr>
        <w:spacing w:after="120"/>
      </w:pPr>
      <w:r>
        <w:t xml:space="preserve"/>
      </w:r>
    </w:p>
    <w:p>
      <w:r>
        <w:br w:type="page"/>
      </w:r>
    </w:p>
    <w:p>
      <w:pPr>
        <w:shd w:fill="0D2B5E" w:val="clear"/>
        <w:spacing w:before="320" w:after="160"/>
        <w:ind w:left="120"/>
      </w:pPr>
      <w:r>
        <w:rPr>
          <w:rFonts w:ascii="Arial" w:cs="Arial" w:eastAsia="Arial" w:hAnsi="Arial"/>
          <w:b/>
          <w:bCs/>
          <w:color w:val="FFFFFF"/>
          <w:sz w:val="28"/>
          <w:szCs w:val="28"/>
        </w:rPr>
        <w:t xml:space="preserve">SECTION 3: DELIVERABLE &amp; APPROVAL FRAMEWORK</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3.1  Revision Policy</w:t>
      </w:r>
    </w:p>
    <w:p>
      <w:pPr>
        <w:spacing w:before="0" w:after="120" w:line="280"/>
        <w:jc w:val="left"/>
      </w:pPr>
      <w:r>
        <w:rPr>
          <w:rFonts w:ascii="Arial" w:cs="Arial" w:eastAsia="Arial" w:hAnsi="Arial"/>
          <w:b w:val="false"/>
          <w:bCs w:val="false"/>
          <w:i w:val="false"/>
          <w:iCs w:val="false"/>
          <w:color w:val="333333"/>
          <w:sz w:val="20"/>
          <w:szCs w:val="20"/>
        </w:rPr>
        <w:t xml:space="preserve">All creative deliverables shall include up to three (3) rounds of revisions. Rounds exceeding this limit shall be billed at the agency's disclosed variation rate. Approval of a deliverable by DEPO constitutes acceptance.</w:t>
      </w:r>
    </w:p>
    <w:p>
      <w:pPr>
        <w:pBdr>
          <w:bottom w:val="single" w:color="B8892A" w:sz="6"/>
        </w:pBdr>
        <w:spacing w:before="240" w:after="80"/>
      </w:pPr>
      <w:r>
        <w:rPr>
          <w:rFonts w:ascii="Arial" w:cs="Arial" w:eastAsia="Arial" w:hAnsi="Arial"/>
          <w:b/>
          <w:bCs/>
          <w:color w:val="0D2B5E"/>
          <w:sz w:val="24"/>
          <w:szCs w:val="24"/>
        </w:rPr>
        <w:t xml:space="preserve">3.2  DEPO Review Turnaround</w:t>
      </w:r>
    </w:p>
    <w:p>
      <w:pPr>
        <w:spacing w:before="0" w:after="120" w:line="280"/>
        <w:jc w:val="left"/>
      </w:pPr>
      <w:r>
        <w:rPr>
          <w:rFonts w:ascii="Arial" w:cs="Arial" w:eastAsia="Arial" w:hAnsi="Arial"/>
          <w:b w:val="false"/>
          <w:bCs w:val="false"/>
          <w:i w:val="false"/>
          <w:iCs w:val="false"/>
          <w:color w:val="333333"/>
          <w:sz w:val="20"/>
          <w:szCs w:val="20"/>
        </w:rPr>
        <w:t xml:space="preserve">DEPO commits to a maximum ten (10) business day review turnaround for all standard deliverables, and five (5) business days during active campaign phases. Delays in DEPO approval extend contractor deadlines by an equivalent duration, provided the contractor provides written notice within 48 hours of the missed review deadline.</w:t>
      </w:r>
    </w:p>
    <w:p>
      <w:pPr>
        <w:pBdr>
          <w:bottom w:val="single" w:color="B8892A" w:sz="6"/>
        </w:pBdr>
        <w:spacing w:before="240" w:after="80"/>
      </w:pPr>
      <w:r>
        <w:rPr>
          <w:rFonts w:ascii="Arial" w:cs="Arial" w:eastAsia="Arial" w:hAnsi="Arial"/>
          <w:b/>
          <w:bCs/>
          <w:color w:val="0D2B5E"/>
          <w:sz w:val="24"/>
          <w:szCs w:val="24"/>
        </w:rPr>
        <w:t xml:space="preserve">3.3  Variation Mechanism</w:t>
      </w:r>
    </w:p>
    <w:p>
      <w:pPr>
        <w:spacing w:before="0" w:after="120" w:line="280"/>
        <w:jc w:val="left"/>
      </w:pPr>
      <w:r>
        <w:rPr>
          <w:rFonts w:ascii="Arial" w:cs="Arial" w:eastAsia="Arial" w:hAnsi="Arial"/>
          <w:b w:val="false"/>
          <w:bCs w:val="false"/>
          <w:i w:val="false"/>
          <w:iCs w:val="false"/>
          <w:color w:val="333333"/>
          <w:sz w:val="20"/>
          <w:szCs w:val="20"/>
        </w:rPr>
        <w:t xml:space="preserve">The contracted scope is fixed. However, DEPO reserves the right to request variations of up to fifteen percent (15%) above or below contracted quantities per edition, subject to mutual agreement on pricing using the rate card submitted by the agency as part of this proposal. Scope changes exceeding 15% require a formal contract amendment.</w:t>
      </w:r>
    </w:p>
    <w:p>
      <w:pPr>
        <w:pBdr>
          <w:bottom w:val="single" w:color="B8892A" w:sz="6"/>
        </w:pBdr>
        <w:spacing w:before="240" w:after="80"/>
      </w:pPr>
      <w:r>
        <w:rPr>
          <w:rFonts w:ascii="Arial" w:cs="Arial" w:eastAsia="Arial" w:hAnsi="Arial"/>
          <w:b/>
          <w:bCs/>
          <w:color w:val="0D2B5E"/>
          <w:sz w:val="24"/>
          <w:szCs w:val="24"/>
        </w:rPr>
        <w:t xml:space="preserve">3.4  Intellectual Property</w:t>
      </w:r>
    </w:p>
    <w:p>
      <w:pPr>
        <w:spacing w:before="0" w:after="120" w:line="280"/>
        <w:jc w:val="left"/>
      </w:pPr>
      <w:r>
        <w:rPr>
          <w:rFonts w:ascii="Arial" w:cs="Arial" w:eastAsia="Arial" w:hAnsi="Arial"/>
          <w:b w:val="false"/>
          <w:bCs w:val="false"/>
          <w:i w:val="false"/>
          <w:iCs w:val="false"/>
          <w:color w:val="333333"/>
          <w:sz w:val="20"/>
          <w:szCs w:val="20"/>
        </w:rPr>
        <w:t xml:space="preserve">All creative work, brand assets, film content, music compositions, design files, and other materials produced under this contract become the exclusive intellectual property of DEPO upon final payment. The agency shall retain no licence to use contract deliverables for self-promotion without DEPO's prior written consent.</w:t>
      </w:r>
    </w:p>
    <w:p>
      <w:pPr>
        <w:pBdr>
          <w:bottom w:val="single" w:color="B8892A" w:sz="6"/>
        </w:pBdr>
        <w:spacing w:before="240" w:after="80"/>
      </w:pPr>
      <w:r>
        <w:rPr>
          <w:rFonts w:ascii="Arial" w:cs="Arial" w:eastAsia="Arial" w:hAnsi="Arial"/>
          <w:b/>
          <w:bCs/>
          <w:color w:val="0D2B5E"/>
          <w:sz w:val="24"/>
          <w:szCs w:val="24"/>
        </w:rPr>
        <w:t xml:space="preserve">3.5  Drone &amp; Aerial Operations</w:t>
      </w:r>
    </w:p>
    <w:p>
      <w:pPr>
        <w:spacing w:before="0" w:after="120" w:line="280"/>
        <w:jc w:val="left"/>
      </w:pPr>
      <w:r>
        <w:rPr>
          <w:rFonts w:ascii="Arial" w:cs="Arial" w:eastAsia="Arial" w:hAnsi="Arial"/>
          <w:b w:val="false"/>
          <w:bCs w:val="false"/>
          <w:i w:val="false"/>
          <w:iCs w:val="false"/>
          <w:color w:val="333333"/>
          <w:sz w:val="20"/>
          <w:szCs w:val="20"/>
        </w:rPr>
        <w:t xml:space="preserve">All drone and aerial photography/videography operations are subject to MOD, CAA, and on-ground security command approval. The agency shall submit all drone operation plans to DEPO minimum ninety (90) days before each edition. DEPO makes no guarantee that drone permissions will be granted. Agency pricing must account for the possibility that drone operations are replaced with alternative elevated photography/videography methods.</w:t>
      </w:r>
    </w:p>
    <w:p>
      <w:pPr>
        <w:pBdr>
          <w:bottom w:val="single" w:color="B8892A" w:sz="6"/>
        </w:pBdr>
        <w:spacing w:before="240" w:after="80"/>
      </w:pPr>
      <w:r>
        <w:rPr>
          <w:rFonts w:ascii="Arial" w:cs="Arial" w:eastAsia="Arial" w:hAnsi="Arial"/>
          <w:b/>
          <w:bCs/>
          <w:color w:val="0D2B5E"/>
          <w:sz w:val="24"/>
          <w:szCs w:val="24"/>
        </w:rPr>
        <w:t xml:space="preserve">3.6  Confidentiality</w:t>
      </w:r>
    </w:p>
    <w:p>
      <w:pPr>
        <w:spacing w:before="0" w:after="120" w:line="280"/>
        <w:jc w:val="left"/>
      </w:pPr>
      <w:r>
        <w:rPr>
          <w:rFonts w:ascii="Arial" w:cs="Arial" w:eastAsia="Arial" w:hAnsi="Arial"/>
          <w:b w:val="false"/>
          <w:bCs w:val="false"/>
          <w:i w:val="false"/>
          <w:iCs w:val="false"/>
          <w:color w:val="333333"/>
          <w:sz w:val="20"/>
          <w:szCs w:val="20"/>
        </w:rPr>
        <w:t xml:space="preserve">All information shared in connection with this RFP and the resulting contract is classified Confidential. The agency and all subcontractors and personnel shall execute DEPO's standard Non-Disclosure Agreement prior to contract commencement.</w:t>
      </w:r>
    </w:p>
    <w:p>
      <w:r>
        <w:br w:type="page"/>
      </w:r>
    </w:p>
    <w:p>
      <w:pPr>
        <w:shd w:fill="0D2B5E" w:val="clear"/>
        <w:spacing w:before="320" w:after="160"/>
        <w:ind w:left="120"/>
      </w:pPr>
      <w:r>
        <w:rPr>
          <w:rFonts w:ascii="Arial" w:cs="Arial" w:eastAsia="Arial" w:hAnsi="Arial"/>
          <w:b/>
          <w:bCs/>
          <w:color w:val="FFFFFF"/>
          <w:sz w:val="28"/>
          <w:szCs w:val="28"/>
        </w:rPr>
        <w:t xml:space="preserve">SECTION 4: TEAM REQUIREMENTS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4.1  Minimum Team Composition</w:t>
      </w:r>
    </w:p>
    <w:p>
      <w:pPr>
        <w:spacing w:before="0" w:after="100" w:line="280"/>
        <w:jc w:val="left"/>
      </w:pPr>
      <w:r>
        <w:rPr>
          <w:rFonts w:ascii="Arial" w:cs="Arial" w:eastAsia="Arial" w:hAnsi="Arial"/>
          <w:b w:val="false"/>
          <w:bCs w:val="false"/>
          <w:i w:val="false"/>
          <w:iCs w:val="false"/>
          <w:color w:val="333333"/>
          <w:sz w:val="20"/>
          <w:szCs w:val="20"/>
        </w:rPr>
        <w:t xml:space="preserve">Bidders must propose a minimum dedicated team structure. The following roles are mandatory:</w:t>
      </w:r>
    </w:p>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866"/>
      </w:tblGrid>
      <w:tr>
        <w:trPr>
          <w:tblHeader/>
        </w:trPr>
        <w:tc>
          <w:tcPr>
            <w:tcW w:type="dxa" w:w="8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w:t>
            </w:r>
          </w:p>
        </w:tc>
        <w:tc>
          <w:tcPr>
            <w:tcW w:type="dxa" w:w="28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Role</w:t>
            </w:r>
          </w:p>
        </w:tc>
        <w:tc>
          <w:tcPr>
            <w:tcW w:type="dxa" w:w="18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Engagement Type</w:t>
            </w:r>
          </w:p>
        </w:tc>
        <w:tc>
          <w:tcPr>
            <w:tcW w:type="dxa" w:w="3866"/>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Minimum Requirement</w:t>
            </w:r>
          </w:p>
        </w:tc>
      </w:tr>
      <w:tr>
        <w:tc>
          <w:tcPr>
            <w:tcW w:type="dxa" w:w="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1</w:t>
            </w:r>
          </w:p>
        </w:tc>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Account Director</w:t>
            </w:r>
          </w:p>
        </w:tc>
        <w:tc>
          <w:tcPr>
            <w:tcW w:type="dxa" w:w="1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 full-time</w:t>
            </w:r>
          </w:p>
        </w:tc>
        <w:tc>
          <w:tcPr>
            <w:tcW w:type="dxa" w:w="38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Single point of contact for DEPO. Min 10 years relevant experience</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2</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Creative Director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w:t>
            </w:r>
          </w:p>
        </w:tc>
        <w:tc>
          <w:tcPr>
            <w:tcW w:type="dxa" w:w="38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Portfolio of international-standard campaign creative required</w:t>
            </w:r>
          </w:p>
        </w:tc>
      </w:tr>
      <w:tr>
        <w:tc>
          <w:tcPr>
            <w:tcW w:type="dxa" w:w="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3</w:t>
            </w:r>
          </w:p>
        </w:tc>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Strategy &amp; Content Lead</w:t>
            </w:r>
          </w:p>
        </w:tc>
        <w:tc>
          <w:tcPr>
            <w:tcW w:type="dxa" w:w="1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w:t>
            </w:r>
          </w:p>
        </w:tc>
        <w:tc>
          <w:tcPr>
            <w:tcW w:type="dxa" w:w="38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7 years B2G or government communications experience</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4</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Senior Designer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w:t>
            </w:r>
          </w:p>
        </w:tc>
        <w:tc>
          <w:tcPr>
            <w:tcW w:type="dxa" w:w="38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OOH adaptation experience mandatory for 145+ site campaigns</w:t>
            </w:r>
          </w:p>
        </w:tc>
      </w:tr>
      <w:tr>
        <w:tc>
          <w:tcPr>
            <w:tcW w:type="dxa" w:w="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5</w:t>
            </w:r>
          </w:p>
        </w:tc>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Senior Project Manager</w:t>
            </w:r>
          </w:p>
        </w:tc>
        <w:tc>
          <w:tcPr>
            <w:tcW w:type="dxa" w:w="1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w:t>
            </w:r>
          </w:p>
        </w:tc>
        <w:tc>
          <w:tcPr>
            <w:tcW w:type="dxa" w:w="38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PMP or equivalent certification preferred</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6</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PR Lead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w:t>
            </w:r>
          </w:p>
        </w:tc>
        <w:tc>
          <w:tcPr>
            <w:tcW w:type="dxa" w:w="38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International defence media relationships required for S4</w:t>
            </w:r>
          </w:p>
        </w:tc>
      </w:tr>
      <w:tr>
        <w:tc>
          <w:tcPr>
            <w:tcW w:type="dxa" w:w="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7</w:t>
            </w:r>
          </w:p>
        </w:tc>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Social Media Manager</w:t>
            </w:r>
          </w:p>
        </w:tc>
        <w:tc>
          <w:tcPr>
            <w:tcW w:type="dxa" w:w="1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w:t>
            </w:r>
          </w:p>
        </w:tc>
        <w:tc>
          <w:tcPr>
            <w:tcW w:type="dxa" w:w="38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5 years managing multi-platform B2G social accounts</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8</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Cinematic Production Lead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 per edition</w:t>
            </w:r>
          </w:p>
        </w:tc>
        <w:tc>
          <w:tcPr>
            <w:tcW w:type="dxa" w:w="38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5 documentary or commercial films in portfolio</w:t>
            </w:r>
          </w:p>
        </w:tc>
      </w:tr>
      <w:tr>
        <w:tc>
          <w:tcPr>
            <w:tcW w:type="dxa" w:w="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9</w:t>
            </w:r>
          </w:p>
        </w:tc>
        <w:tc>
          <w:tcPr>
            <w:tcW w:type="dxa" w:w="2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Event Coverage Coordinator</w:t>
            </w:r>
          </w:p>
        </w:tc>
        <w:tc>
          <w:tcPr>
            <w:tcW w:type="dxa" w:w="18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 (edition phase)</w:t>
            </w:r>
          </w:p>
        </w:tc>
        <w:tc>
          <w:tcPr>
            <w:tcW w:type="dxa" w:w="38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On-ground crew management experience mandatory</w:t>
            </w:r>
          </w:p>
        </w:tc>
      </w:tr>
      <w:tr>
        <w:tc>
          <w:tcPr>
            <w:tcW w:type="dxa" w:w="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val="false"/>
                <w:bCs w:val="false"/>
                <w:i w:val="false"/>
                <w:iCs w:val="false"/>
                <w:color w:val="333333"/>
                <w:sz w:val="20"/>
                <w:szCs w:val="20"/>
              </w:rPr>
              <w:t xml:space="preserve">10</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Finance &amp; Vendor Manager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Dedicated</w:t>
            </w:r>
          </w:p>
        </w:tc>
        <w:tc>
          <w:tcPr>
            <w:tcW w:type="dxa" w:w="38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Experience with 15%+ management fee reconciliation on media buys</w:t>
            </w:r>
          </w:p>
        </w:tc>
      </w:tr>
    </w:tbl>
    <w:p>
      <w:pPr>
        <w:spacing w:after="120"/>
      </w:pPr>
      <w:r>
        <w:t xml:space="preserve"/>
      </w:r>
    </w:p>
    <w:p>
      <w:pPr>
        <w:pBdr>
          <w:bottom w:val="single" w:color="B8892A" w:sz="6"/>
        </w:pBdr>
        <w:spacing w:before="240" w:after="80"/>
      </w:pPr>
      <w:r>
        <w:rPr>
          <w:rFonts w:ascii="Arial" w:cs="Arial" w:eastAsia="Arial" w:hAnsi="Arial"/>
          <w:b/>
          <w:bCs/>
          <w:color w:val="0D2B5E"/>
          <w:sz w:val="24"/>
          <w:szCs w:val="24"/>
        </w:rPr>
        <w:t xml:space="preserve">4.2  CVs Required</w:t>
      </w:r>
    </w:p>
    <w:p>
      <w:pPr>
        <w:spacing w:before="0" w:after="120" w:line="280"/>
        <w:jc w:val="left"/>
      </w:pPr>
      <w:r>
        <w:rPr>
          <w:rFonts w:ascii="Arial" w:cs="Arial" w:eastAsia="Arial" w:hAnsi="Arial"/>
          <w:b w:val="false"/>
          <w:bCs w:val="false"/>
          <w:i w:val="false"/>
          <w:iCs w:val="false"/>
          <w:color w:val="333333"/>
          <w:sz w:val="20"/>
          <w:szCs w:val="20"/>
        </w:rPr>
        <w:t xml:space="preserve">Bidders must submit CVs for the following personnel at minimum: Account Director, Creative Director, Strategy Lead, PR Lead, and Cinematic Production Lead. CVs must be included in the proposal submission.</w:t>
      </w:r>
    </w:p>
    <w:p>
      <w:pPr>
        <w:pBdr>
          <w:bottom w:val="single" w:color="B8892A" w:sz="6"/>
        </w:pBdr>
        <w:spacing w:before="240" w:after="80"/>
      </w:pPr>
      <w:r>
        <w:rPr>
          <w:rFonts w:ascii="Arial" w:cs="Arial" w:eastAsia="Arial" w:hAnsi="Arial"/>
          <w:b/>
          <w:bCs/>
          <w:color w:val="0D2B5E"/>
          <w:sz w:val="24"/>
          <w:szCs w:val="24"/>
        </w:rPr>
        <w:t xml:space="preserve">4.3  Subcontractors &amp; Partner Agencies</w:t>
      </w:r>
    </w:p>
    <w:p>
      <w:pPr>
        <w:spacing w:before="0" w:after="120" w:line="280"/>
        <w:jc w:val="left"/>
      </w:pPr>
      <w:r>
        <w:rPr>
          <w:rFonts w:ascii="Arial" w:cs="Arial" w:eastAsia="Arial" w:hAnsi="Arial"/>
          <w:b w:val="false"/>
          <w:bCs w:val="false"/>
          <w:i w:val="false"/>
          <w:iCs w:val="false"/>
          <w:color w:val="333333"/>
          <w:sz w:val="20"/>
          <w:szCs w:val="20"/>
        </w:rPr>
        <w:t xml:space="preserve">Bidders may propose specialist subcontractors for sections including but not limited to International PR (S4), OOH media buying (S6, S7), influencer management (S9, S10), and printing (S16). All proposed subcontractors must be disclosed in the proposal. The Lead Agency remains solely accountable to DEPO for all subcontracted work.</w:t>
      </w:r>
    </w:p>
    <w:p>
      <w:r>
        <w:br w:type="page"/>
      </w:r>
    </w:p>
    <w:p>
      <w:pPr>
        <w:shd w:fill="0D2B5E" w:val="clear"/>
        <w:spacing w:before="320" w:after="160"/>
        <w:ind w:left="120"/>
      </w:pPr>
      <w:r>
        <w:rPr>
          <w:rFonts w:ascii="Arial" w:cs="Arial" w:eastAsia="Arial" w:hAnsi="Arial"/>
          <w:b/>
          <w:bCs/>
          <w:color w:val="FFFFFF"/>
          <w:sz w:val="28"/>
          <w:szCs w:val="28"/>
        </w:rPr>
        <w:t xml:space="preserve">SECTION 5: EVALUATION CRITERIA</w:t>
      </w:r>
    </w:p>
    <w:p>
      <w:pPr>
        <w:spacing w:after="80"/>
      </w:pPr>
      <w:r>
        <w:t xml:space="preserve"/>
      </w:r>
    </w:p>
    <w:p>
      <w:pPr>
        <w:spacing w:before="0" w:after="120" w:line="280"/>
        <w:jc w:val="left"/>
      </w:pPr>
      <w:r>
        <w:rPr>
          <w:rFonts w:ascii="Arial" w:cs="Arial" w:eastAsia="Arial" w:hAnsi="Arial"/>
          <w:b w:val="false"/>
          <w:bCs w:val="false"/>
          <w:i w:val="false"/>
          <w:iCs w:val="false"/>
          <w:color w:val="333333"/>
          <w:sz w:val="20"/>
          <w:szCs w:val="20"/>
        </w:rPr>
        <w:t xml:space="preserve">Proposals will be evaluated by DEPO's Evaluation Committee using a combined technical and commercial scoring methodology. The total score is out of 100 points.</w:t>
      </w:r>
    </w:p>
    <w:p>
      <w:pPr>
        <w:pBdr>
          <w:bottom w:val="single" w:color="B8892A" w:sz="6"/>
        </w:pBdr>
        <w:spacing w:before="240" w:after="80"/>
      </w:pPr>
      <w:r>
        <w:rPr>
          <w:rFonts w:ascii="Arial" w:cs="Arial" w:eastAsia="Arial" w:hAnsi="Arial"/>
          <w:b/>
          <w:bCs/>
          <w:color w:val="0D2B5E"/>
          <w:sz w:val="24"/>
          <w:szCs w:val="24"/>
        </w:rPr>
        <w:t xml:space="preserve">5.1  Technical Evaluation (70 points)</w:t>
      </w:r>
    </w:p>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5266"/>
        <w:gridCol w:w="1000"/>
        <w:gridCol w:w="3000"/>
      </w:tblGrid>
      <w:tr>
        <w:trPr>
          <w:tblHeader/>
        </w:trPr>
        <w:tc>
          <w:tcPr>
            <w:tcW w:type="dxa" w:w="5266"/>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Criterion</w:t>
            </w:r>
          </w:p>
        </w:tc>
        <w:tc>
          <w:tcPr>
            <w:tcW w:type="dxa" w:w="10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Points</w:t>
            </w:r>
          </w:p>
        </w:tc>
        <w:tc>
          <w:tcPr>
            <w:tcW w:type="dxa" w:w="30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Evaluation Basis</w:t>
            </w:r>
          </w:p>
        </w:tc>
      </w:tr>
      <w:tr>
        <w:tc>
          <w:tcPr>
            <w:tcW w:type="dxa" w:w="52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Relevant Experience &amp; Portfolio</w:t>
            </w:r>
          </w:p>
        </w:tc>
        <w:tc>
          <w:tcPr>
            <w:tcW w:type="dxa" w:w="1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20</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Minimum 5 relevant large-scale government or B2G event/comms campaigns. International exposure weighted.</w:t>
            </w:r>
          </w:p>
        </w:tc>
      </w:tr>
      <w:tr>
        <w:tc>
          <w:tcPr>
            <w:tcW w:type="dxa" w:w="52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Understanding of Scope &amp; Technical Approach</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20</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Quality of section-by-section methodology. Evidence of insight into IDEAS' global positioning requirements.</w:t>
            </w:r>
          </w:p>
        </w:tc>
      </w:tr>
      <w:tr>
        <w:tc>
          <w:tcPr>
            <w:tcW w:type="dxa" w:w="52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Proposed Team Structure &amp; Key Personnel</w:t>
            </w:r>
          </w:p>
        </w:tc>
        <w:tc>
          <w:tcPr>
            <w:tcW w:type="dxa" w:w="1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15</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Seniority, qualifications, and relevant experience of proposed team. CVs evaluated.</w:t>
            </w:r>
          </w:p>
        </w:tc>
      </w:tr>
      <w:tr>
        <w:tc>
          <w:tcPr>
            <w:tcW w:type="dxa" w:w="52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Creative &amp; Production Capability</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10</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Portfolio quality across campaign creative, cinematic production, and OOH adaptation.</w:t>
            </w:r>
          </w:p>
        </w:tc>
      </w:tr>
      <w:tr>
        <w:tc>
          <w:tcPr>
            <w:tcW w:type="dxa" w:w="52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AI-Augmented Delivery Capability</w:t>
            </w:r>
          </w:p>
        </w:tc>
        <w:tc>
          <w:tcPr>
            <w:tcW w:type="dxa" w:w="1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5</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Evidence of AI tools integrated into workflow (content generation, media planning, post-production). Productivity gains must be quantified.</w:t>
            </w:r>
          </w:p>
        </w:tc>
      </w:tr>
    </w:tbl>
    <w:p>
      <w:pPr>
        <w:spacing w:after="120"/>
      </w:pPr>
      <w:r>
        <w:t xml:space="preserve"/>
      </w:r>
    </w:p>
    <w:p>
      <w:pPr>
        <w:pBdr>
          <w:bottom w:val="single" w:color="B8892A" w:sz="6"/>
        </w:pBdr>
        <w:spacing w:before="240" w:after="80"/>
      </w:pPr>
      <w:r>
        <w:rPr>
          <w:rFonts w:ascii="Arial" w:cs="Arial" w:eastAsia="Arial" w:hAnsi="Arial"/>
          <w:b/>
          <w:bCs/>
          <w:color w:val="0D2B5E"/>
          <w:sz w:val="24"/>
          <w:szCs w:val="24"/>
        </w:rPr>
        <w:t xml:space="preserve">5.2  Commercial Evaluation (30 points)</w:t>
      </w:r>
    </w:p>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5266"/>
        <w:gridCol w:w="1000"/>
        <w:gridCol w:w="3000"/>
      </w:tblGrid>
      <w:tr>
        <w:trPr>
          <w:tblHeader/>
        </w:trPr>
        <w:tc>
          <w:tcPr>
            <w:tcW w:type="dxa" w:w="5266"/>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Criterion</w:t>
            </w:r>
          </w:p>
        </w:tc>
        <w:tc>
          <w:tcPr>
            <w:tcW w:type="dxa" w:w="10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Points</w:t>
            </w:r>
          </w:p>
        </w:tc>
        <w:tc>
          <w:tcPr>
            <w:tcW w:type="dxa" w:w="30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Evaluation Basis</w:t>
            </w:r>
          </w:p>
        </w:tc>
      </w:tr>
      <w:tr>
        <w:tc>
          <w:tcPr>
            <w:tcW w:type="dxa" w:w="52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Total Contract Value &amp; Value for Money</w:t>
            </w:r>
          </w:p>
        </w:tc>
        <w:tc>
          <w:tcPr>
            <w:tcW w:type="dxa" w:w="1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20</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Competitive pricing relative to scope. Section-by-section BOQ reviewed for reasonableness.</w:t>
            </w:r>
          </w:p>
        </w:tc>
      </w:tr>
      <w:tr>
        <w:tc>
          <w:tcPr>
            <w:tcW w:type="dxa" w:w="52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Monthly Retainer Structure</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5</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Clarity and reasonableness of retainer breakdown and monthly fee justification.</w:t>
            </w:r>
          </w:p>
        </w:tc>
      </w:tr>
      <w:tr>
        <w:tc>
          <w:tcPr>
            <w:tcW w:type="dxa" w:w="52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Rate Card &amp; Variation Pricing</w:t>
            </w:r>
          </w:p>
        </w:tc>
        <w:tc>
          <w:tcPr>
            <w:tcW w:type="dxa" w:w="1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center"/>
            </w:pPr>
            <w:r>
              <w:rPr>
                <w:rFonts w:ascii="Arial" w:cs="Arial" w:eastAsia="Arial" w:hAnsi="Arial"/>
                <w:b/>
                <w:bCs/>
                <w:i w:val="false"/>
                <w:iCs w:val="false"/>
                <w:color w:val="0D2B5E"/>
                <w:sz w:val="20"/>
                <w:szCs w:val="20"/>
              </w:rPr>
              <w:t xml:space="preserve">5</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Completeness and competitiveness of rate card for out-of-scope work.</w:t>
            </w:r>
          </w:p>
        </w:tc>
      </w:tr>
    </w:tbl>
    <w:p>
      <w:pPr>
        <w:spacing w:after="120"/>
      </w:pPr>
      <w:r>
        <w:t xml:space="preserve"/>
      </w:r>
    </w:p>
    <w:p>
      <w:pPr>
        <w:pBdr>
          <w:bottom w:val="single" w:color="B8892A" w:sz="6"/>
        </w:pBdr>
        <w:spacing w:before="240" w:after="80"/>
      </w:pPr>
      <w:r>
        <w:rPr>
          <w:rFonts w:ascii="Arial" w:cs="Arial" w:eastAsia="Arial" w:hAnsi="Arial"/>
          <w:b/>
          <w:bCs/>
          <w:color w:val="0D2B5E"/>
          <w:sz w:val="24"/>
          <w:szCs w:val="24"/>
        </w:rPr>
        <w:t xml:space="preserve">5.3  Threshold Requirements</w:t>
      </w:r>
    </w:p>
    <w:p>
      <w:pPr>
        <w:spacing w:before="0" w:after="80" w:line="280"/>
        <w:jc w:val="left"/>
      </w:pPr>
      <w:r>
        <w:rPr>
          <w:rFonts w:ascii="Arial" w:cs="Arial" w:eastAsia="Arial" w:hAnsi="Arial"/>
          <w:b w:val="false"/>
          <w:bCs w:val="false"/>
          <w:i w:val="false"/>
          <w:iCs w:val="false"/>
          <w:color w:val="333333"/>
          <w:sz w:val="20"/>
          <w:szCs w:val="20"/>
        </w:rPr>
        <w:t xml:space="preserve">Proposals that do not meet the following mandatory thresholds will be disqualified without further evaluation: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Minimum 5 years of operations as a registered communications, creative, or events agency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Minimum 3 completed large-scale government or multinational event communications contracts with verifiable client references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Demonstrated OOH media buying capability for minimum 100 sites simultaneously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Demonstrated international PR capability with disclosed international media relationships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 proposed dedicated Account Director with minimum 10 years of relevant experience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All mandatory sections (S1-S16) must be priced: partial scope proposals will not be considered</w:t>
      </w:r>
    </w:p>
    <w:p>
      <w:pPr>
        <w:spacing w:after="120"/>
      </w:pPr>
      <w:r>
        <w:t xml:space="preserve"/>
      </w:r>
    </w:p>
    <w:p>
      <w:r>
        <w:br w:type="page"/>
      </w:r>
    </w:p>
    <w:p>
      <w:pPr>
        <w:shd w:fill="0D2B5E" w:val="clear"/>
        <w:spacing w:before="320" w:after="160"/>
        <w:ind w:left="120"/>
      </w:pPr>
      <w:r>
        <w:rPr>
          <w:rFonts w:ascii="Arial" w:cs="Arial" w:eastAsia="Arial" w:hAnsi="Arial"/>
          <w:b/>
          <w:bCs/>
          <w:color w:val="FFFFFF"/>
          <w:sz w:val="28"/>
          <w:szCs w:val="28"/>
        </w:rPr>
        <w:t xml:space="preserve">SECTION 6: COMMERCIAL &amp; FINANCIAL TERMS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6.1  Pricing Structure</w:t>
      </w:r>
    </w:p>
    <w:p>
      <w:pPr>
        <w:spacing w:before="0" w:after="80" w:line="280"/>
        <w:jc w:val="left"/>
      </w:pPr>
      <w:r>
        <w:rPr>
          <w:rFonts w:ascii="Arial" w:cs="Arial" w:eastAsia="Arial" w:hAnsi="Arial"/>
          <w:b w:val="false"/>
          <w:bCs w:val="false"/>
          <w:i w:val="false"/>
          <w:iCs w:val="false"/>
          <w:color w:val="333333"/>
          <w:sz w:val="20"/>
          <w:szCs w:val="20"/>
        </w:rPr>
        <w:t xml:space="preserve">Bidders must submit a complete, section-by-section Bill of Quantities (BOQ) in the format provided in Annex A. The BOQ must separately price: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Monthly retainer fee (S1): stated as a per-month PKR amount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Each of Sections 2-16, with quantities and per-unit rates disclosed</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The 15% management fee applied to all subcontracted sections (S3 production, S4, S5, S6, S7, S8, S9, S10, S13, S14, S15)</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An Edition Management Fee, if proposed, stated separately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 Rate Card for out-of-scope variations: hourly and day rates per role, and per-unit rates for common additional deliverables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6.2  Exchange Rate</w:t>
      </w:r>
    </w:p>
    <w:p>
      <w:pPr>
        <w:spacing w:before="0" w:after="120" w:line="280"/>
        <w:jc w:val="left"/>
      </w:pPr>
      <w:r>
        <w:rPr>
          <w:rFonts w:ascii="Arial" w:cs="Arial" w:eastAsia="Arial" w:hAnsi="Arial"/>
          <w:b w:val="false"/>
          <w:bCs w:val="false"/>
          <w:i w:val="false"/>
          <w:iCs w:val="false"/>
          <w:color w:val="333333"/>
          <w:sz w:val="20"/>
          <w:szCs w:val="20"/>
        </w:rPr>
        <w:t xml:space="preserve">All pricing must be submitted in Pakistani Rupees (PKR). USD equivalents may be noted for reference using the following planning rates: USD/PKR 279.5 (2026), 290 (2027), 300 (2028). DEPO will contract and pay in PKR only. Exchange rate risk is borne by the agency.</w:t>
      </w:r>
    </w:p>
    <w:p>
      <w:pPr>
        <w:pBdr>
          <w:bottom w:val="single" w:color="B8892A" w:sz="6"/>
        </w:pBdr>
        <w:spacing w:before="240" w:after="80"/>
      </w:pPr>
      <w:r>
        <w:rPr>
          <w:rFonts w:ascii="Arial" w:cs="Arial" w:eastAsia="Arial" w:hAnsi="Arial"/>
          <w:b/>
          <w:bCs/>
          <w:color w:val="0D2B5E"/>
          <w:sz w:val="24"/>
          <w:szCs w:val="24"/>
        </w:rPr>
        <w:t xml:space="preserve">6.3  Payment Terms</w:t>
      </w:r>
    </w:p>
    <w:p>
      <w:pPr>
        <w:spacing w:before="0" w:after="80" w:line="280"/>
        <w:jc w:val="left"/>
      </w:pPr>
      <w:r>
        <w:rPr>
          <w:rFonts w:ascii="Arial" w:cs="Arial" w:eastAsia="Arial" w:hAnsi="Arial"/>
          <w:b w:val="false"/>
          <w:bCs w:val="false"/>
          <w:i w:val="false"/>
          <w:iCs w:val="false"/>
          <w:color w:val="333333"/>
          <w:sz w:val="20"/>
          <w:szCs w:val="20"/>
        </w:rPr>
        <w:t xml:space="preserve">Payment terms will be subject to negotiation but shall follow the general structure below:</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Retainer: Monthly invoicing, payment within 30 days of invoice receipt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Edition activation: 30% advance upon signing of edition work order, 40% at mid-point, 30% within 30 days of edition close and post-show report acceptance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Media buying: Pass-through costs to be supported by third-party invoices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6.4  Sales Tax &amp; Withholding Tax</w:t>
      </w:r>
    </w:p>
    <w:p>
      <w:pPr>
        <w:spacing w:before="0" w:after="120" w:line="280"/>
        <w:jc w:val="left"/>
      </w:pPr>
      <w:r>
        <w:rPr>
          <w:rFonts w:ascii="Arial" w:cs="Arial" w:eastAsia="Arial" w:hAnsi="Arial"/>
          <w:b w:val="false"/>
          <w:bCs w:val="false"/>
          <w:i w:val="false"/>
          <w:iCs w:val="false"/>
          <w:color w:val="333333"/>
          <w:sz w:val="20"/>
          <w:szCs w:val="20"/>
        </w:rPr>
        <w:t xml:space="preserve">All prices must be stated exclusive of applicable sales tax. Applicable withholding tax deductions will be applied in accordance with Pakistani tax law. Bidders are advised to confirm the applicable rate with their tax advisors.</w:t>
      </w:r>
    </w:p>
    <w:p>
      <w:pPr>
        <w:pBdr>
          <w:bottom w:val="single" w:color="B8892A" w:sz="6"/>
        </w:pBdr>
        <w:spacing w:before="240" w:after="80"/>
      </w:pPr>
      <w:r>
        <w:rPr>
          <w:rFonts w:ascii="Arial" w:cs="Arial" w:eastAsia="Arial" w:hAnsi="Arial"/>
          <w:b/>
          <w:bCs/>
          <w:color w:val="0D2B5E"/>
          <w:sz w:val="24"/>
          <w:szCs w:val="24"/>
        </w:rPr>
        <w:t xml:space="preserve">6.5  Performance Bond</w:t>
      </w:r>
    </w:p>
    <w:p>
      <w:pPr>
        <w:spacing w:before="0" w:after="120" w:line="280"/>
        <w:jc w:val="left"/>
      </w:pPr>
      <w:r>
        <w:rPr>
          <w:rFonts w:ascii="Arial" w:cs="Arial" w:eastAsia="Arial" w:hAnsi="Arial"/>
          <w:b w:val="false"/>
          <w:bCs w:val="false"/>
          <w:i w:val="false"/>
          <w:iCs w:val="false"/>
          <w:color w:val="333333"/>
          <w:sz w:val="20"/>
          <w:szCs w:val="20"/>
        </w:rPr>
        <w:t xml:space="preserve">The successful agency shall furnish a performance bond equivalent to five percent (5%) of the annual contract value, valid for the duration of the contract. The bond may be in the form of a bank guarantee from a scheduled Pakistani bank.</w:t>
      </w:r>
    </w:p>
    <w:p>
      <w:r>
        <w:br w:type="page"/>
      </w:r>
    </w:p>
    <w:p>
      <w:pPr>
        <w:shd w:fill="0D2B5E" w:val="clear"/>
        <w:spacing w:before="320" w:after="160"/>
        <w:ind w:left="120"/>
      </w:pPr>
      <w:r>
        <w:rPr>
          <w:rFonts w:ascii="Arial" w:cs="Arial" w:eastAsia="Arial" w:hAnsi="Arial"/>
          <w:b/>
          <w:bCs/>
          <w:color w:val="FFFFFF"/>
          <w:sz w:val="28"/>
          <w:szCs w:val="28"/>
        </w:rPr>
        <w:t xml:space="preserve">SECTION 7: COMPANY PROFILE &amp; CREDENTIALS REQUIREMENTS</w:t>
      </w:r>
    </w:p>
    <w:p>
      <w:pPr>
        <w:spacing w:after="80"/>
      </w:pPr>
      <w:r>
        <w:t xml:space="preserve"/>
      </w:r>
    </w:p>
    <w:p>
      <w:pPr>
        <w:spacing w:before="0" w:after="120" w:line="280"/>
        <w:jc w:val="left"/>
      </w:pPr>
      <w:r>
        <w:rPr>
          <w:rFonts w:ascii="Arial" w:cs="Arial" w:eastAsia="Arial" w:hAnsi="Arial"/>
          <w:b w:val="false"/>
          <w:bCs w:val="false"/>
          <w:i w:val="false"/>
          <w:iCs w:val="false"/>
          <w:color w:val="333333"/>
          <w:sz w:val="20"/>
          <w:szCs w:val="20"/>
        </w:rPr>
        <w:t xml:space="preserve">Bidders must submit the following documentation as part of their proposal. All documents must be attested or certified as true copies where applicable.</w:t>
      </w:r>
    </w:p>
    <w:p>
      <w:pPr>
        <w:pBdr>
          <w:bottom w:val="single" w:color="B8892A" w:sz="6"/>
        </w:pBdr>
        <w:spacing w:before="240" w:after="80"/>
      </w:pPr>
      <w:r>
        <w:rPr>
          <w:rFonts w:ascii="Arial" w:cs="Arial" w:eastAsia="Arial" w:hAnsi="Arial"/>
          <w:b/>
          <w:bCs/>
          <w:color w:val="0D2B5E"/>
          <w:sz w:val="24"/>
          <w:szCs w:val="24"/>
        </w:rPr>
        <w:t xml:space="preserve">7.1  Legal &amp; Regulatory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Certificate of Incorporation / Business Registration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National Tax Number (NTN) Certificate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GST/Sales Tax Registration Certificate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Company Profile: founding date, ownership structure, office locations, total staff</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Audited Financial Statements: last 3 years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Bank Solvency Certificate: issued within 90 days of submission</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7.2  Portfolio &amp; References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Case studies: minimum 5 large-scale government or B2G event communications campaigns, including client name, scope summary, budget range, and outcome metrics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Three client references with contact details: DEPO reserves the right to contact references directly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Showreel or digital portfolio link: cinematic and campaign creative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OOH campaign case study: demonstrating multi-market or 100+ site activation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International PR case study: demonstrating international media coverage outcome</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7.3  Subcontractor Declarations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Full list of proposed subcontractors with company name, registration number, scope of sub-contracted work, and key contact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Letters of Intent from proposed subcontractors confirming availability and agreed scope</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7.4  Declarations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Declaration of no conflict of interest</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Declaration of no pending litigation or regulatory action that could affect contract performance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Signed NDA acknowledgement</w:t>
      </w:r>
    </w:p>
    <w:p>
      <w:pPr>
        <w:spacing w:after="120"/>
      </w:pPr>
      <w:r>
        <w:t xml:space="preserve"/>
      </w:r>
    </w:p>
    <w:p>
      <w:r>
        <w:br w:type="page"/>
      </w:r>
    </w:p>
    <w:p>
      <w:pPr>
        <w:shd w:fill="0D2B5E" w:val="clear"/>
        <w:spacing w:before="320" w:after="160"/>
        <w:ind w:left="120"/>
      </w:pPr>
      <w:r>
        <w:rPr>
          <w:rFonts w:ascii="Arial" w:cs="Arial" w:eastAsia="Arial" w:hAnsi="Arial"/>
          <w:b/>
          <w:bCs/>
          <w:color w:val="FFFFFF"/>
          <w:sz w:val="28"/>
          <w:szCs w:val="28"/>
        </w:rPr>
        <w:t xml:space="preserve">SECTION 8: SUBMISSION REQUIREMENTS &amp; TIMELINE</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8.1  Submission Format</w:t>
      </w:r>
    </w:p>
    <w:p>
      <w:pPr>
        <w:spacing w:before="0" w:after="80" w:line="280"/>
        <w:jc w:val="left"/>
      </w:pPr>
      <w:r>
        <w:rPr>
          <w:rFonts w:ascii="Arial" w:cs="Arial" w:eastAsia="Arial" w:hAnsi="Arial"/>
          <w:b w:val="false"/>
          <w:bCs w:val="false"/>
          <w:i w:val="false"/>
          <w:iCs w:val="false"/>
          <w:color w:val="333333"/>
          <w:sz w:val="20"/>
          <w:szCs w:val="20"/>
        </w:rPr>
        <w:t xml:space="preserve">Proposals must be submitted in two separate, sealed envelopes clearly labelled:</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Envelope 1: Technical Proposal (no pricing information)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Envelope 2: Commercial / Financial Proposal (BOQ, rates, payment terms)</w:t>
      </w:r>
    </w:p>
    <w:p>
      <w:pPr>
        <w:spacing w:after="80"/>
      </w:pPr>
      <w:r>
        <w:t xml:space="preserve"/>
      </w:r>
    </w:p>
    <w:p>
      <w:pPr>
        <w:spacing w:before="0" w:after="80" w:line="280"/>
        <w:jc w:val="left"/>
      </w:pPr>
      <w:r>
        <w:rPr>
          <w:rFonts w:ascii="Arial" w:cs="Arial" w:eastAsia="Arial" w:hAnsi="Arial"/>
          <w:b w:val="false"/>
          <w:bCs w:val="false"/>
          <w:i w:val="false"/>
          <w:iCs w:val="false"/>
          <w:color w:val="333333"/>
          <w:sz w:val="20"/>
          <w:szCs w:val="20"/>
        </w:rPr>
        <w:t xml:space="preserve">Both envelopes shall be placed inside an outer sealed package addressed to:</w:t>
      </w:r>
    </w:p>
    <w:p>
      <w:pPr>
        <w:pBdr>
          <w:left w:val="single" w:color="B8892A" w:sz="12"/>
        </w:pBdr>
        <w:shd w:fill="F5F6F8" w:val="clear"/>
        <w:spacing w:before="80" w:after="160"/>
        <w:ind w:left="720"/>
      </w:pPr>
      <w:r>
        <w:rPr>
          <w:rFonts w:ascii="Arial" w:cs="Arial" w:eastAsia="Arial" w:hAnsi="Arial"/>
          <w:color w:val="333333"/>
          <w:sz w:val="20"/>
          <w:szCs w:val="20"/>
        </w:rPr>
        <w:t xml:space="preserve">Procurement Committee
Defence Export Promotion Organisation (DEPO)
Ministry of Defence Production
[Address: to be inserted]
Karachi / Islamabad, Pakistan</w:t>
      </w:r>
    </w:p>
    <w:p>
      <w:pPr>
        <w:pBdr>
          <w:bottom w:val="single" w:color="B8892A" w:sz="6"/>
        </w:pBdr>
        <w:spacing w:before="240" w:after="80"/>
      </w:pPr>
      <w:r>
        <w:rPr>
          <w:rFonts w:ascii="Arial" w:cs="Arial" w:eastAsia="Arial" w:hAnsi="Arial"/>
          <w:b/>
          <w:bCs/>
          <w:color w:val="0D2B5E"/>
          <w:sz w:val="24"/>
          <w:szCs w:val="24"/>
        </w:rPr>
        <w:t xml:space="preserve">8.2  Digital Copy</w:t>
      </w:r>
    </w:p>
    <w:p>
      <w:pPr>
        <w:spacing w:before="0" w:after="120" w:line="280"/>
        <w:jc w:val="left"/>
      </w:pPr>
      <w:r>
        <w:rPr>
          <w:rFonts w:ascii="Arial" w:cs="Arial" w:eastAsia="Arial" w:hAnsi="Arial"/>
          <w:b w:val="false"/>
          <w:bCs w:val="false"/>
          <w:i w:val="false"/>
          <w:iCs w:val="false"/>
          <w:color w:val="333333"/>
          <w:sz w:val="20"/>
          <w:szCs w:val="20"/>
        </w:rPr>
        <w:t xml:space="preserve">One digital copy of the full proposal (Technical + Commercial) on USB drive must accompany the physical submission. Files must be in PDF format, with the BOQ additionally provided in Microsoft Excel (.xlsx).</w:t>
      </w:r>
    </w:p>
    <w:p>
      <w:pPr>
        <w:pBdr>
          <w:bottom w:val="single" w:color="B8892A" w:sz="6"/>
        </w:pBdr>
        <w:spacing w:before="240" w:after="80"/>
      </w:pPr>
      <w:r>
        <w:rPr>
          <w:rFonts w:ascii="Arial" w:cs="Arial" w:eastAsia="Arial" w:hAnsi="Arial"/>
          <w:b/>
          <w:bCs/>
          <w:color w:val="0D2B5E"/>
          <w:sz w:val="24"/>
          <w:szCs w:val="24"/>
        </w:rPr>
        <w:t xml:space="preserve">8.3  Submission Timeline</w:t>
      </w:r>
    </w:p>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666"/>
      </w:tblGrid>
      <w:tr>
        <w:trPr>
          <w:tblHeader/>
        </w:trPr>
        <w:tc>
          <w:tcPr>
            <w:tcW w:type="dxa" w:w="40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Milestone</w:t>
            </w:r>
          </w:p>
        </w:tc>
        <w:tc>
          <w:tcPr>
            <w:tcW w:type="dxa" w:w="26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Date</w:t>
            </w:r>
          </w:p>
        </w:tc>
        <w:tc>
          <w:tcPr>
            <w:tcW w:type="dxa" w:w="2666"/>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Notes</w:t>
            </w:r>
          </w:p>
        </w:tc>
      </w:tr>
      <w:tr>
        <w:tc>
          <w:tcPr>
            <w:tcW w:type="dxa" w:w="4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RFP Issue Date</w:t>
            </w:r>
          </w:p>
        </w:tc>
        <w:tc>
          <w:tcPr>
            <w:tcW w:type="dxa" w:w="26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c>
          <w:tcPr>
            <w:tcW w:type="dxa" w:w="26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
            </w:r>
          </w:p>
        </w:tc>
      </w:tr>
      <w:tr>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Bidder Registration Deadline</w:t>
            </w:r>
          </w:p>
        </w:tc>
        <w:tc>
          <w:tcPr>
            <w:tcW w:type="dxa" w:w="26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c>
          <w:tcPr>
            <w:tcW w:type="dxa" w:w="26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Mandatory to receive addenda</w:t>
            </w:r>
          </w:p>
        </w:tc>
      </w:tr>
      <w:tr>
        <w:tc>
          <w:tcPr>
            <w:tcW w:type="dxa" w:w="4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Pre-Bid Conference / Site Visit</w:t>
            </w:r>
          </w:p>
        </w:tc>
        <w:tc>
          <w:tcPr>
            <w:tcW w:type="dxa" w:w="26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 &amp; Time]</w:t>
            </w:r>
          </w:p>
        </w:tc>
        <w:tc>
          <w:tcPr>
            <w:tcW w:type="dxa" w:w="26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KEC, Karachi: attendance strongly recommended</w:t>
            </w:r>
          </w:p>
        </w:tc>
      </w:tr>
      <w:tr>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Last Date for Written Queries</w:t>
            </w:r>
          </w:p>
        </w:tc>
        <w:tc>
          <w:tcPr>
            <w:tcW w:type="dxa" w:w="26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c>
          <w:tcPr>
            <w:tcW w:type="dxa" w:w="26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Queries via email only to [DEPO Contact Email]</w:t>
            </w:r>
          </w:p>
        </w:tc>
      </w:tr>
      <w:tr>
        <w:tc>
          <w:tcPr>
            <w:tcW w:type="dxa" w:w="4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Response to Queries / Addenda Issued</w:t>
            </w:r>
          </w:p>
        </w:tc>
        <w:tc>
          <w:tcPr>
            <w:tcW w:type="dxa" w:w="26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c>
          <w:tcPr>
            <w:tcW w:type="dxa" w:w="26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Posted to all registered bidders</w:t>
            </w:r>
          </w:p>
        </w:tc>
      </w:tr>
      <w:tr>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Proposal Submission Deadline</w:t>
            </w:r>
          </w:p>
        </w:tc>
        <w:tc>
          <w:tcPr>
            <w:tcW w:type="dxa" w:w="26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333333"/>
                <w:sz w:val="20"/>
                <w:szCs w:val="20"/>
              </w:rPr>
              <w:t xml:space="preserve">[Insert Date, Time] PST</w:t>
            </w:r>
          </w:p>
        </w:tc>
        <w:tc>
          <w:tcPr>
            <w:tcW w:type="dxa" w:w="26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Late submissions will not be accepted</w:t>
            </w:r>
          </w:p>
        </w:tc>
      </w:tr>
      <w:tr>
        <w:tc>
          <w:tcPr>
            <w:tcW w:type="dxa" w:w="4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Technical Proposal Opening</w:t>
            </w:r>
          </w:p>
        </w:tc>
        <w:tc>
          <w:tcPr>
            <w:tcW w:type="dxa" w:w="26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c>
          <w:tcPr>
            <w:tcW w:type="dxa" w:w="26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Bidders may attend</w:t>
            </w:r>
          </w:p>
        </w:tc>
      </w:tr>
      <w:tr>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Technical Evaluation Period</w:t>
            </w:r>
          </w:p>
        </w:tc>
        <w:tc>
          <w:tcPr>
            <w:tcW w:type="dxa" w:w="26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[Estimated Duration: 2 weeks]</w:t>
            </w:r>
          </w:p>
        </w:tc>
        <w:tc>
          <w:tcPr>
            <w:tcW w:type="dxa" w:w="26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
            </w:r>
          </w:p>
        </w:tc>
      </w:tr>
      <w:tr>
        <w:tc>
          <w:tcPr>
            <w:tcW w:type="dxa" w:w="4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Commercial Opening (Shortlisted Bidders)</w:t>
            </w:r>
          </w:p>
        </w:tc>
        <w:tc>
          <w:tcPr>
            <w:tcW w:type="dxa" w:w="26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c>
          <w:tcPr>
            <w:tcW w:type="dxa" w:w="26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
            </w:r>
          </w:p>
        </w:tc>
      </w:tr>
      <w:tr>
        <w:tc>
          <w:tcPr>
            <w:tcW w:type="dxa" w:w="4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Anticipated Contract Award</w:t>
            </w:r>
          </w:p>
        </w:tc>
        <w:tc>
          <w:tcPr>
            <w:tcW w:type="dxa" w:w="26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[Insert Date]</w:t>
            </w:r>
          </w:p>
        </w:tc>
        <w:tc>
          <w:tcPr>
            <w:tcW w:type="dxa" w:w="2666"/>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
            </w:r>
          </w:p>
        </w:tc>
      </w:tr>
      <w:tr>
        <w:tc>
          <w:tcPr>
            <w:tcW w:type="dxa" w:w="4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Contract Commencement</w:t>
            </w:r>
          </w:p>
        </w:tc>
        <w:tc>
          <w:tcPr>
            <w:tcW w:type="dxa" w:w="2600"/>
            <w:gridSpan w:val="1"/>
            <w:tcBorders>
              <w:top w:val="single" w:color="CCCCCC" w:sz="4"/>
              <w:left w:val="single" w:color="CCCCCC" w:sz="4"/>
              <w:bottom w:val="single" w:color="CCCCCC" w:sz="4"/>
              <w:right w:val="single" w:color="CCCCCC" w:sz="4"/>
            </w:tcBorders>
            <w:shd w:fill="FDF3DC"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March 2026</w:t>
            </w:r>
          </w:p>
        </w:tc>
        <w:tc>
          <w:tcPr>
            <w:tcW w:type="dxa" w:w="2666"/>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666666"/>
                <w:sz w:val="20"/>
                <w:szCs w:val="20"/>
              </w:rPr>
              <w:t xml:space="preserve"/>
            </w:r>
          </w:p>
        </w:tc>
      </w:tr>
    </w:tbl>
    <w:p>
      <w:pPr>
        <w:spacing w:after="120"/>
      </w:pPr>
      <w:r>
        <w:t xml:space="preserve"/>
      </w:r>
    </w:p>
    <w:p>
      <w:pPr>
        <w:pBdr>
          <w:bottom w:val="single" w:color="B8892A" w:sz="6"/>
        </w:pBdr>
        <w:spacing w:before="240" w:after="80"/>
      </w:pPr>
      <w:r>
        <w:rPr>
          <w:rFonts w:ascii="Arial" w:cs="Arial" w:eastAsia="Arial" w:hAnsi="Arial"/>
          <w:b/>
          <w:bCs/>
          <w:color w:val="0D2B5E"/>
          <w:sz w:val="24"/>
          <w:szCs w:val="24"/>
        </w:rPr>
        <w:t xml:space="preserve">8.4  Questions &amp; Clarifications</w:t>
      </w:r>
    </w:p>
    <w:p>
      <w:pPr>
        <w:spacing w:before="0" w:after="120" w:line="280"/>
        <w:jc w:val="left"/>
      </w:pPr>
      <w:r>
        <w:rPr>
          <w:rFonts w:ascii="Arial" w:cs="Arial" w:eastAsia="Arial" w:hAnsi="Arial"/>
          <w:b w:val="false"/>
          <w:bCs w:val="false"/>
          <w:i w:val="false"/>
          <w:iCs w:val="false"/>
          <w:color w:val="333333"/>
          <w:sz w:val="20"/>
          <w:szCs w:val="20"/>
        </w:rPr>
        <w:t xml:space="preserve">All questions must be submitted in writing to [DEPO Contact Name] at [DEPO Contact Email] by the deadline stated above. Oral clarifications will not be binding. DEPO's responses to all queries will be circulated to all registered bidders as a formal addendum.</w:t>
      </w:r>
    </w:p>
    <w:p>
      <w:pPr>
        <w:pBdr>
          <w:bottom w:val="single" w:color="B8892A" w:sz="6"/>
        </w:pBdr>
        <w:spacing w:before="240" w:after="80"/>
      </w:pPr>
      <w:r>
        <w:rPr>
          <w:rFonts w:ascii="Arial" w:cs="Arial" w:eastAsia="Arial" w:hAnsi="Arial"/>
          <w:b/>
          <w:bCs/>
          <w:color w:val="0D2B5E"/>
          <w:sz w:val="24"/>
          <w:szCs w:val="24"/>
        </w:rPr>
        <w:t xml:space="preserve">8.5  Proposal Validity</w:t>
      </w:r>
    </w:p>
    <w:p>
      <w:pPr>
        <w:spacing w:before="0" w:after="120" w:line="280"/>
        <w:jc w:val="left"/>
      </w:pPr>
      <w:r>
        <w:rPr>
          <w:rFonts w:ascii="Arial" w:cs="Arial" w:eastAsia="Arial" w:hAnsi="Arial"/>
          <w:b w:val="false"/>
          <w:bCs w:val="false"/>
          <w:i w:val="false"/>
          <w:iCs w:val="false"/>
          <w:color w:val="333333"/>
          <w:sz w:val="20"/>
          <w:szCs w:val="20"/>
        </w:rPr>
        <w:t xml:space="preserve">Proposals shall remain valid for ninety (90) calendar days from the submission deadline. DEPO reserves the right to request an extension of validity by mutual agreement.</w:t>
      </w:r>
    </w:p>
    <w:p>
      <w:pPr>
        <w:pBdr>
          <w:bottom w:val="single" w:color="B8892A" w:sz="6"/>
        </w:pBdr>
        <w:spacing w:before="240" w:after="80"/>
      </w:pPr>
      <w:r>
        <w:rPr>
          <w:rFonts w:ascii="Arial" w:cs="Arial" w:eastAsia="Arial" w:hAnsi="Arial"/>
          <w:b/>
          <w:bCs/>
          <w:color w:val="0D2B5E"/>
          <w:sz w:val="24"/>
          <w:szCs w:val="24"/>
        </w:rPr>
        <w:t xml:space="preserve">8.6  DEPO's Rights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DEPO reserves the right to accept or reject any or all proposals without assigning any reason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DEPO reserves the right to cancel this RFP at any stage without liability</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DEPO reserves the right to negotiate with the highest-scoring bidder(s)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DEPO is not bound to accept the lowest-priced proposal</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DEPO reserves the right to split the scope if no single bidder demonstrates capability across all 16 sections</w:t>
      </w:r>
    </w:p>
    <w:p>
      <w:pPr>
        <w:spacing w:after="120"/>
      </w:pPr>
      <w:r>
        <w:t xml:space="preserve"/>
      </w:r>
    </w:p>
    <w:p>
      <w:r>
        <w:br w:type="page"/>
      </w:r>
    </w:p>
    <w:p>
      <w:pPr>
        <w:shd w:fill="0D2B5E" w:val="clear"/>
        <w:spacing w:before="320" w:after="160"/>
        <w:ind w:left="120"/>
      </w:pPr>
      <w:r>
        <w:rPr>
          <w:rFonts w:ascii="Arial" w:cs="Arial" w:eastAsia="Arial" w:hAnsi="Arial"/>
          <w:b/>
          <w:bCs/>
          <w:color w:val="FFFFFF"/>
          <w:sz w:val="28"/>
          <w:szCs w:val="28"/>
        </w:rPr>
        <w:t xml:space="preserve">SECTION 9: PERFORMANCE FRAMEWORK &amp; KPIs</w:t>
      </w:r>
    </w:p>
    <w:p>
      <w:pPr>
        <w:spacing w:after="80"/>
      </w:pPr>
      <w:r>
        <w:t xml:space="preserve"/>
      </w:r>
    </w:p>
    <w:p>
      <w:pPr>
        <w:spacing w:before="0" w:after="120" w:line="280"/>
        <w:jc w:val="left"/>
      </w:pPr>
      <w:r>
        <w:rPr>
          <w:rFonts w:ascii="Arial" w:cs="Arial" w:eastAsia="Arial" w:hAnsi="Arial"/>
          <w:b w:val="false"/>
          <w:bCs w:val="false"/>
          <w:i w:val="false"/>
          <w:iCs w:val="false"/>
          <w:color w:val="333333"/>
          <w:sz w:val="20"/>
          <w:szCs w:val="20"/>
        </w:rPr>
        <w:t xml:space="preserve">The Lead Agency will be measured against the following performance benchmarks. KPIs will be reviewed quarterly during retainer periods and at edition close. Persistent underperformance against KPIs may trigger a cure notice and, if not remedied within 30 days, constitute grounds for contract review.</w:t>
      </w:r>
    </w:p>
    <w:tbl>
      <w:tblPr>
        <w:tblW w:type="dxa" w:w="926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633"/>
        <w:gridCol w:w="2633"/>
      </w:tblGrid>
      <w:tr>
        <w:trPr>
          <w:tblHeader/>
        </w:trPr>
        <w:tc>
          <w:tcPr>
            <w:tcW w:type="dxa" w:w="20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Category</w:t>
            </w:r>
          </w:p>
        </w:tc>
        <w:tc>
          <w:tcPr>
            <w:tcW w:type="dxa" w:w="3000"/>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KPI</w:t>
            </w:r>
          </w:p>
        </w:tc>
        <w:tc>
          <w:tcPr>
            <w:tcW w:type="dxa" w:w="1633"/>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Target (2026)</w:t>
            </w:r>
          </w:p>
        </w:tc>
        <w:tc>
          <w:tcPr>
            <w:tcW w:type="dxa" w:w="2633"/>
            <w:gridSpan w:val="1"/>
            <w:tcBorders>
              <w:top w:val="single" w:color="CCCCCC" w:sz="4"/>
              <w:left w:val="single" w:color="CCCCCC" w:sz="4"/>
              <w:bottom w:val="single" w:color="CCCCCC" w:sz="4"/>
              <w:right w:val="single" w:color="CCCCCC" w:sz="4"/>
            </w:tcBorders>
            <w:shd w:fill="0D2B5E"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FFFFFF"/>
                <w:sz w:val="20"/>
                <w:szCs w:val="20"/>
              </w:rPr>
              <w:t xml:space="preserve">Target (2028 / uplift)</w:t>
            </w:r>
          </w:p>
        </w:tc>
      </w:tr>
      <w:tr>
        <w:tc>
          <w:tcPr>
            <w:tcW w:type="dxa" w:w="2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Social Media</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Combined follower growth across 6 platforms</w:t>
            </w:r>
          </w:p>
        </w:tc>
        <w:tc>
          <w:tcPr>
            <w:tcW w:type="dxa" w:w="1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25% YoY growth</w:t>
            </w:r>
          </w:p>
        </w:tc>
        <w:tc>
          <w:tcPr>
            <w:tcW w:type="dxa" w:w="2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40% above 2026 baseline</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Social Media</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Average engagement rate</w:t>
            </w:r>
          </w:p>
        </w:tc>
        <w:tc>
          <w:tcPr>
            <w:tcW w:type="dxa" w:w="1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3.5%</w:t>
            </w:r>
          </w:p>
        </w:tc>
        <w:tc>
          <w:tcPr>
            <w:tcW w:type="dxa" w:w="2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5%</w:t>
            </w:r>
          </w:p>
        </w:tc>
      </w:tr>
      <w:tr>
        <w:tc>
          <w:tcPr>
            <w:tcW w:type="dxa" w:w="2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Digital</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Delegate registration conversion rate from digital campaigns</w:t>
            </w:r>
          </w:p>
        </w:tc>
        <w:tc>
          <w:tcPr>
            <w:tcW w:type="dxa" w:w="1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8%</w:t>
            </w:r>
          </w:p>
        </w:tc>
        <w:tc>
          <w:tcPr>
            <w:tcW w:type="dxa" w:w="2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12%</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Digital</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Exhibitor acquisition from digital leads</w:t>
            </w:r>
          </w:p>
        </w:tc>
        <w:tc>
          <w:tcPr>
            <w:tcW w:type="dxa" w:w="1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TBC with DEPO</w:t>
            </w:r>
          </w:p>
        </w:tc>
        <w:tc>
          <w:tcPr>
            <w:tcW w:type="dxa" w:w="2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TBC with DEPO</w:t>
            </w:r>
          </w:p>
        </w:tc>
      </w:tr>
      <w:tr>
        <w:tc>
          <w:tcPr>
            <w:tcW w:type="dxa" w:w="2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PR: Intl</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International tier-1 media placements</w:t>
            </w:r>
          </w:p>
        </w:tc>
        <w:tc>
          <w:tcPr>
            <w:tcW w:type="dxa" w:w="1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40 placements</w:t>
            </w:r>
          </w:p>
        </w:tc>
        <w:tc>
          <w:tcPr>
            <w:tcW w:type="dxa" w:w="2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60 placements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PR: Intl</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International media circulation reach</w:t>
            </w:r>
          </w:p>
        </w:tc>
        <w:tc>
          <w:tcPr>
            <w:tcW w:type="dxa" w:w="1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50M impressions</w:t>
            </w:r>
          </w:p>
        </w:tc>
        <w:tc>
          <w:tcPr>
            <w:tcW w:type="dxa" w:w="2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80M impressions</w:t>
            </w:r>
          </w:p>
        </w:tc>
      </w:tr>
      <w:tr>
        <w:tc>
          <w:tcPr>
            <w:tcW w:type="dxa" w:w="2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PR: Local</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National TV and press mentions</w:t>
            </w:r>
          </w:p>
        </w:tc>
        <w:tc>
          <w:tcPr>
            <w:tcW w:type="dxa" w:w="1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200 mentions</w:t>
            </w:r>
          </w:p>
        </w:tc>
        <w:tc>
          <w:tcPr>
            <w:tcW w:type="dxa" w:w="2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300 mentions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OOH</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Total OOH impressions (intl + local)</w:t>
            </w:r>
          </w:p>
        </w:tc>
        <w:tc>
          <w:tcPr>
            <w:tcW w:type="dxa" w:w="1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TBC per media plan</w:t>
            </w:r>
          </w:p>
        </w:tc>
        <w:tc>
          <w:tcPr>
            <w:tcW w:type="dxa" w:w="2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20% uplift on 2026</w:t>
            </w:r>
          </w:p>
        </w:tc>
      </w:tr>
      <w:tr>
        <w:tc>
          <w:tcPr>
            <w:tcW w:type="dxa" w:w="2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Post-event</w:t>
            </w:r>
          </w:p>
        </w:tc>
        <w:tc>
          <w:tcPr>
            <w:tcW w:type="dxa" w:w="3000"/>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Delegate satisfaction score</w:t>
            </w:r>
          </w:p>
        </w:tc>
        <w:tc>
          <w:tcPr>
            <w:tcW w:type="dxa" w:w="1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4.0 / 5.0</w:t>
            </w:r>
          </w:p>
        </w:tc>
        <w:tc>
          <w:tcPr>
            <w:tcW w:type="dxa" w:w="2633"/>
            <w:gridSpan w:val="1"/>
            <w:tcBorders>
              <w:top w:val="single" w:color="CCCCCC" w:sz="4"/>
              <w:left w:val="single" w:color="CCCCCC" w:sz="4"/>
              <w:bottom w:val="single" w:color="CCCCCC" w:sz="4"/>
              <w:right w:val="single" w:color="CCCCCC" w:sz="4"/>
            </w:tcBorders>
            <w:shd w:fill="F5F6F8"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4.3 / 5.0</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bCs/>
                <w:i w:val="false"/>
                <w:iCs w:val="false"/>
                <w:color w:val="0D2B5E"/>
                <w:sz w:val="20"/>
                <w:szCs w:val="20"/>
              </w:rPr>
              <w:t xml:space="preserve">Post-event</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Exhibitor satisfaction score</w:t>
            </w:r>
          </w:p>
        </w:tc>
        <w:tc>
          <w:tcPr>
            <w:tcW w:type="dxa" w:w="1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4.0 / 5.0</w:t>
            </w:r>
          </w:p>
        </w:tc>
        <w:tc>
          <w:tcPr>
            <w:tcW w:type="dxa" w:w="2633"/>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80" w:after="80"/>
              <w:ind w:left="100" w:right="100"/>
              <w:jc w:val="left"/>
            </w:pPr>
            <w:r>
              <w:rPr>
                <w:rFonts w:ascii="Arial" w:cs="Arial" w:eastAsia="Arial" w:hAnsi="Arial"/>
                <w:b w:val="false"/>
                <w:bCs w:val="false"/>
                <w:i w:val="false"/>
                <w:iCs w:val="false"/>
                <w:color w:val="333333"/>
                <w:sz w:val="20"/>
                <w:szCs w:val="20"/>
              </w:rPr>
              <w:t xml:space="preserve">Min 4.3 / 5.0</w:t>
            </w:r>
          </w:p>
        </w:tc>
      </w:tr>
    </w:tbl>
    <w:p>
      <w:pPr>
        <w:spacing w:after="120"/>
      </w:pPr>
      <w:r>
        <w:t xml:space="preserve"/>
      </w:r>
    </w:p>
    <w:p>
      <w:r>
        <w:br w:type="page"/>
      </w:r>
    </w:p>
    <w:p>
      <w:pPr>
        <w:shd w:fill="0D2B5E" w:val="clear"/>
        <w:spacing w:before="320" w:after="160"/>
        <w:ind w:left="120"/>
      </w:pPr>
      <w:r>
        <w:rPr>
          <w:rFonts w:ascii="Arial" w:cs="Arial" w:eastAsia="Arial" w:hAnsi="Arial"/>
          <w:b/>
          <w:bCs/>
          <w:color w:val="FFFFFF"/>
          <w:sz w:val="28"/>
          <w:szCs w:val="28"/>
        </w:rPr>
        <w:t xml:space="preserve">ANNEXES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Annex A: Bill of Quantities Template</w:t>
      </w:r>
    </w:p>
    <w:p>
      <w:pPr>
        <w:spacing w:before="0" w:after="80" w:line="280"/>
        <w:jc w:val="left"/>
      </w:pPr>
      <w:r>
        <w:rPr>
          <w:rFonts w:ascii="Arial" w:cs="Arial" w:eastAsia="Arial" w:hAnsi="Arial"/>
          <w:b w:val="false"/>
          <w:bCs w:val="false"/>
          <w:i w:val="false"/>
          <w:iCs w:val="false"/>
          <w:color w:val="333333"/>
          <w:sz w:val="20"/>
          <w:szCs w:val="20"/>
        </w:rPr>
        <w:t xml:space="preserve">Bidders must complete and submit the Excel BOQ template [to be provided by DEPO as a separate file with this RFP package]. The BOQ must include: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Section number and description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Line item number and description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Quantity and unit of measure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Unit rate (PKR)</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Extended value (PKR)</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Year-wise split (2026 / 2027 / 2028)</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15% management fee column (where applicable)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USD equivalent at planning exchange rates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Total per section and grand total</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Annex B: Rate Card Template</w:t>
      </w:r>
    </w:p>
    <w:p>
      <w:pPr>
        <w:spacing w:before="0" w:after="80" w:line="280"/>
        <w:jc w:val="left"/>
      </w:pPr>
      <w:r>
        <w:rPr>
          <w:rFonts w:ascii="Arial" w:cs="Arial" w:eastAsia="Arial" w:hAnsi="Arial"/>
          <w:b w:val="false"/>
          <w:bCs w:val="false"/>
          <w:i w:val="false"/>
          <w:iCs w:val="false"/>
          <w:color w:val="333333"/>
          <w:sz w:val="20"/>
          <w:szCs w:val="20"/>
        </w:rPr>
        <w:t xml:space="preserve">Bidders must submit a rate card covering at minimum:</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Hourly and day rates per team role</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Per-unit rates for common additional deliverables (additional press releases, extra social posts, additional OOH sites, additional translation documents)</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Video production day rates (crew, equipment, post-production)</w:t>
      </w:r>
    </w:p>
    <w:p>
      <w:pPr>
        <w:pStyle w:val="ListParagraph"/>
        <w:numPr>
          <w:ilvl w:val="0"/>
          <w:numId w:val="2"/>
        </w:numPr>
        <w:spacing w:before="0" w:after="60" w:line="280"/>
        <w:jc w:val="left"/>
      </w:pPr>
      <w:r>
        <w:rPr>
          <w:rFonts w:ascii="Arial" w:cs="Arial" w:eastAsia="Arial" w:hAnsi="Arial"/>
          <w:b w:val="false"/>
          <w:bCs w:val="false"/>
          <w:i w:val="false"/>
          <w:iCs w:val="false"/>
          <w:color w:val="333333"/>
          <w:sz w:val="20"/>
          <w:szCs w:val="20"/>
        </w:rPr>
        <w:t xml:space="preserve">Third-party markup policy for out-of-scope vendor costs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Annex C: Technical Proposal Structure</w:t>
      </w:r>
    </w:p>
    <w:p>
      <w:pPr>
        <w:spacing w:before="0" w:after="80" w:line="280"/>
        <w:jc w:val="left"/>
      </w:pPr>
      <w:r>
        <w:rPr>
          <w:rFonts w:ascii="Arial" w:cs="Arial" w:eastAsia="Arial" w:hAnsi="Arial"/>
          <w:b w:val="false"/>
          <w:bCs w:val="false"/>
          <w:i w:val="false"/>
          <w:iCs w:val="false"/>
          <w:color w:val="333333"/>
          <w:sz w:val="20"/>
          <w:szCs w:val="20"/>
        </w:rPr>
        <w:t xml:space="preserve">Technical proposals should follow this structure:</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1.  Cover letter (max 1 page)</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2.  Company overview and ownership structure (max 2 pages)</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3.  Understanding of scope and strategic approach (max 6 pages)</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4.  Section-by-section methodology: how each of the 16 sections will be delivered (max 16 pages, 1 per section)</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5.  Proposed team structure with organogram and CVs</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6.  Portfolio and case studies (max 10 pages)</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7.  Subcontractor list and Letters of Intent</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8.  Legal and regulatory documents (Annex C tab)</w:t>
      </w:r>
    </w:p>
    <w:p>
      <w:pPr>
        <w:spacing w:before="0" w:after="60" w:line="280"/>
        <w:ind w:left="360" w:hanging="0"/>
        <w:jc w:val="left"/>
      </w:pPr>
      <w:r>
        <w:rPr>
          <w:rFonts w:ascii="Arial" w:cs="Arial" w:eastAsia="Arial" w:hAnsi="Arial"/>
          <w:b w:val="false"/>
          <w:bCs w:val="false"/>
          <w:i w:val="false"/>
          <w:iCs w:val="false"/>
          <w:color w:val="333333"/>
          <w:sz w:val="20"/>
          <w:szCs w:val="20"/>
        </w:rPr>
        <w:t xml:space="preserve">9.  Declarations</w:t>
      </w:r>
    </w:p>
    <w:p>
      <w:pPr>
        <w:spacing w:after="80"/>
      </w:pPr>
      <w:r>
        <w:t xml:space="preserve"/>
      </w:r>
    </w:p>
    <w:p>
      <w:pPr>
        <w:pBdr>
          <w:bottom w:val="single" w:color="B8892A" w:sz="6"/>
        </w:pBdr>
        <w:spacing w:before="240" w:after="80"/>
      </w:pPr>
      <w:r>
        <w:rPr>
          <w:rFonts w:ascii="Arial" w:cs="Arial" w:eastAsia="Arial" w:hAnsi="Arial"/>
          <w:b/>
          <w:bCs/>
          <w:color w:val="0D2B5E"/>
          <w:sz w:val="24"/>
          <w:szCs w:val="24"/>
        </w:rPr>
        <w:t xml:space="preserve">Annex D: Pre-Bid Conference</w:t>
      </w:r>
    </w:p>
    <w:p>
      <w:pPr>
        <w:spacing w:before="0" w:after="120" w:line="280"/>
        <w:jc w:val="left"/>
      </w:pPr>
      <w:r>
        <w:rPr>
          <w:rFonts w:ascii="Arial" w:cs="Arial" w:eastAsia="Arial" w:hAnsi="Arial"/>
          <w:b w:val="false"/>
          <w:bCs w:val="false"/>
          <w:i w:val="false"/>
          <w:iCs w:val="false"/>
          <w:color w:val="333333"/>
          <w:sz w:val="20"/>
          <w:szCs w:val="20"/>
        </w:rPr>
        <w:t xml:space="preserve">A pre-bid conference will be held at [Venue, City] on [Date] at [Time] PST. Attendance is strongly recommended. Bidders must register their intent to attend via [DEPO Contact Email] minimum 5 business days in advance. A site visit to Karachi Expo Centre may be arranged in conjunction with the pre-bid conference.</w:t>
      </w:r>
    </w:p>
    <w:p>
      <w:pPr>
        <w:spacing w:after="200"/>
      </w:pPr>
      <w:r>
        <w:t xml:space="preserve"/>
      </w:r>
    </w:p>
    <w:p>
      <w:pPr>
        <w:pBdr>
          <w:left w:val="single" w:color="B8892A" w:sz="12"/>
        </w:pBdr>
        <w:spacing w:before="80" w:after="80"/>
        <w:ind w:left="360"/>
      </w:pPr>
      <w:r>
        <w:rPr>
          <w:rFonts w:ascii="Arial" w:cs="Arial" w:eastAsia="Arial" w:hAnsi="Arial"/>
          <w:i/>
          <w:iCs/>
          <w:color w:val="0D2B5E"/>
          <w:sz w:val="20"/>
          <w:szCs w:val="20"/>
        </w:rPr>
        <w:t xml:space="preserve">DEPO looks forward to receiving proposals from qualified, experienced agencies committed to projecting Pakistan's defence industry to the world with the quality, creativity, and professionalism that IDEAS deserves.</w:t>
      </w:r>
    </w:p>
    <w:p>
      <w:pPr>
        <w:spacing w:after="160"/>
      </w:pPr>
      <w:r>
        <w:t xml:space="preserve"/>
      </w:r>
    </w:p>
    <w:p>
      <w:pPr>
        <w:spacing w:before="0" w:after="60" w:line="280"/>
        <w:jc w:val="left"/>
      </w:pPr>
      <w:r>
        <w:rPr>
          <w:rFonts w:ascii="Arial" w:cs="Arial" w:eastAsia="Arial" w:hAnsi="Arial"/>
          <w:b/>
          <w:bCs/>
          <w:i w:val="false"/>
          <w:iCs w:val="false"/>
          <w:color w:val="0D2B5E"/>
          <w:sz w:val="22"/>
          <w:szCs w:val="22"/>
        </w:rPr>
        <w:t xml:space="preserve">Defence Export Promotion Organisation (DEPO)</w:t>
      </w:r>
    </w:p>
    <w:p>
      <w:pPr>
        <w:spacing w:before="0" w:after="60" w:line="280"/>
        <w:jc w:val="left"/>
      </w:pPr>
      <w:r>
        <w:rPr>
          <w:rFonts w:ascii="Arial" w:cs="Arial" w:eastAsia="Arial" w:hAnsi="Arial"/>
          <w:b w:val="false"/>
          <w:bCs w:val="false"/>
          <w:i w:val="false"/>
          <w:iCs w:val="false"/>
          <w:color w:val="666666"/>
          <w:sz w:val="20"/>
          <w:szCs w:val="20"/>
        </w:rPr>
        <w:t xml:space="preserve">Ministry of Defence Production, Government of Pakistan</w:t>
      </w:r>
    </w:p>
    <w:p>
      <w:pPr>
        <w:spacing w:before="0" w:after="60" w:line="280"/>
        <w:jc w:val="left"/>
      </w:pPr>
      <w:r>
        <w:rPr>
          <w:rFonts w:ascii="Arial" w:cs="Arial" w:eastAsia="Arial" w:hAnsi="Arial"/>
          <w:b w:val="false"/>
          <w:bCs w:val="false"/>
          <w:i w:val="false"/>
          <w:iCs w:val="false"/>
          <w:color w:val="666666"/>
          <w:sz w:val="20"/>
          <w:szCs w:val="20"/>
        </w:rPr>
        <w:t xml:space="preserve">Karachi Expo Centre | Karachi, Pakistan</w:t>
      </w:r>
    </w:p>
    <w:p>
      <w:pPr>
        <w:spacing w:before="0" w:after="60" w:line="280"/>
        <w:jc w:val="left"/>
      </w:pPr>
      <w:r>
        <w:rPr>
          <w:rFonts w:ascii="Arial" w:cs="Arial" w:eastAsia="Arial" w:hAnsi="Arial"/>
          <w:b w:val="false"/>
          <w:bCs w:val="false"/>
          <w:i w:val="false"/>
          <w:iCs w:val="false"/>
          <w:color w:val="666666"/>
          <w:sz w:val="20"/>
          <w:szCs w:val="20"/>
        </w:rPr>
        <w:t xml:space="preserve">[DEPO Contact Email] | [DEPO Contact Phone]</w:t>
      </w:r>
    </w:p>
    <w:p>
      <w:pPr>
        <w:spacing w:before="0" w:after="160" w:line="280"/>
        <w:jc w:val="left"/>
      </w:pPr>
      <w:r>
        <w:rPr>
          <w:rFonts w:ascii="Arial" w:cs="Arial" w:eastAsia="Arial" w:hAnsi="Arial"/>
          <w:b w:val="false"/>
          <w:bCs w:val="false"/>
          <w:i w:val="false"/>
          <w:iCs w:val="false"/>
          <w:color w:val="666666"/>
          <w:sz w:val="20"/>
          <w:szCs w:val="20"/>
        </w:rPr>
        <w:t xml:space="preserve">[Month] 2026</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266"/>
      <w:tblBorders>
        <w:top w:val="single" w:color="B8892A" w:sz="4"/>
        <w:left w:val="none" w:color="FFFFFF" w:sz="0"/>
        <w:bottom w:val="none" w:color="FFFFFF" w:sz="0"/>
        <w:right w:val="none" w:color="FFFFFF" w:sz="0"/>
        <w:insideH w:val="single" w:color="auto" w:sz="4"/>
        <w:insideV w:val="single" w:color="auto" w:sz="4"/>
      </w:tblBorders>
    </w:tblPr>
    <w:tblGrid>
      <w:gridCol w:w="6000"/>
      <w:gridCol w:w="3266"/>
    </w:tblGrid>
    <w:tr>
      <w:tc>
        <w:tcPr>
          <w:tcW w:type="dxa" w:w="6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before="60" w:after="0"/>
          </w:pPr>
          <w:r>
            <w:rPr>
              <w:rFonts w:ascii="Arial" w:cs="Arial" w:eastAsia="Arial" w:hAnsi="Arial"/>
              <w:color w:val="666666"/>
              <w:sz w:val="14"/>
              <w:szCs w:val="14"/>
            </w:rPr>
            <w:t xml:space="preserve">DEPO: IDEAS Integrated Communications RFP 2026-2028  |  Confidential</w:t>
          </w:r>
        </w:p>
      </w:tc>
      <w:tc>
        <w:tcPr>
          <w:tcW w:type="dxa" w:w="3266"/>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before="60" w:after="0"/>
            <w:jc w:val="right"/>
          </w:pP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of </w:t>
          </w:r>
          <w:r>
            <w:rPr>
              <w:rFonts w:ascii="Arial" w:cs="Arial" w:eastAsia="Arial" w:hAnsi="Arial"/>
              <w:color w:val="666666"/>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66"/>
      <w:tblBorders>
        <w:top w:val="none" w:color="FFFFFF" w:sz="0"/>
        <w:left w:val="none" w:color="FFFFFF" w:sz="0"/>
        <w:bottom w:val="single" w:color="B8892A" w:sz="6"/>
        <w:right w:val="none" w:color="FFFFFF" w:sz="0"/>
        <w:insideH w:val="single" w:color="auto" w:sz="4"/>
        <w:insideV w:val="single" w:color="auto" w:sz="4"/>
      </w:tblBorders>
    </w:tblPr>
    <w:tblGrid>
      <w:gridCol w:w="6000"/>
      <w:gridCol w:w="3266"/>
    </w:tblGrid>
    <w:tr>
      <w:tc>
        <w:tcPr>
          <w:tcW w:type="dxa" w:w="6000"/>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20"/>
          </w:pPr>
          <w:r>
            <w:rPr>
              <w:rFonts w:ascii="Arial" w:cs="Arial" w:eastAsia="Arial" w:hAnsi="Arial"/>
              <w:b/>
              <w:bCs/>
              <w:color w:val="0D2B5E"/>
              <w:sz w:val="16"/>
              <w:szCs w:val="16"/>
            </w:rPr>
            <w:t xml:space="preserve">DEFENCE EXPORT PROMOTION ORGANISATION (DEPO)</w:t>
          </w:r>
        </w:p>
        <w:p>
          <w:pPr>
            <w:spacing w:after="0"/>
          </w:pPr>
          <w:r>
            <w:rPr>
              <w:rFonts w:ascii="Arial" w:cs="Arial" w:eastAsia="Arial" w:hAnsi="Arial"/>
              <w:color w:val="666666"/>
              <w:sz w:val="15"/>
              <w:szCs w:val="15"/>
            </w:rPr>
            <w:t xml:space="preserve">Request for Proposal: IDEAS 2026 &amp; 2028</w:t>
          </w:r>
        </w:p>
      </w:tc>
      <w:tc>
        <w:tcPr>
          <w:tcW w:type="dxa" w:w="3266"/>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20"/>
            <w:jc w:val="right"/>
          </w:pPr>
          <w:r>
            <w:rPr>
              <w:rFonts w:ascii="Arial" w:cs="Arial" w:eastAsia="Arial" w:hAnsi="Arial"/>
              <w:b/>
              <w:bCs/>
              <w:color w:val="B8892A"/>
              <w:sz w:val="15"/>
              <w:szCs w:val="15"/>
            </w:rPr>
            <w:t xml:space="preserve">CONFIDENTIAL</w:t>
          </w:r>
        </w:p>
        <w:p>
          <w:pPr>
            <w:spacing w:after="0"/>
            <w:jc w:val="right"/>
          </w:pPr>
          <w:r>
            <w:rPr>
              <w:rFonts w:ascii="Arial" w:cs="Arial" w:eastAsia="Arial" w:hAnsi="Arial"/>
              <w:color w:val="666666"/>
              <w:sz w:val="14"/>
              <w:szCs w:val="14"/>
            </w:rPr>
            <w:t xml:space="preserve">RFP-DEPO-IDEAS-2026-001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900" w:hanging="30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60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D2B5E" w:val="clear"/>
      <w:spacing w:before="32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D2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2026-03-04T06:41:47.370Z</dcterms:created>
  <dcterms:modified xsi:type="dcterms:W3CDTF">2026-03-04T06:41:47.371Z</dcterms:modified>
</cp:coreProperties>
</file>

<file path=docProps/custom.xml><?xml version="1.0" encoding="utf-8"?>
<Properties xmlns="http://schemas.openxmlformats.org/officeDocument/2006/custom-properties" xmlns:vt="http://schemas.openxmlformats.org/officeDocument/2006/docPropsVTypes"/>
</file>