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37FF8" w14:textId="594C8452" w:rsidR="00BA1AE2" w:rsidRPr="00BA1AE2" w:rsidRDefault="00BA1AE2" w:rsidP="00BA1AE2">
      <w:pPr>
        <w:spacing w:line="360" w:lineRule="auto"/>
        <w:jc w:val="center"/>
        <w:rPr>
          <w:rFonts w:asciiTheme="majorBidi" w:hAnsiTheme="majorBidi" w:cstheme="majorBidi"/>
          <w:b/>
          <w:bCs/>
          <w:sz w:val="36"/>
          <w:szCs w:val="36"/>
        </w:rPr>
      </w:pPr>
      <w:r w:rsidRPr="00BA1AE2">
        <w:rPr>
          <w:rFonts w:asciiTheme="majorBidi" w:hAnsiTheme="majorBidi" w:cstheme="majorBidi"/>
          <w:b/>
          <w:bCs/>
          <w:sz w:val="36"/>
          <w:szCs w:val="36"/>
        </w:rPr>
        <w:t>Comprehensive Water</w:t>
      </w:r>
      <w:r>
        <w:rPr>
          <w:rFonts w:asciiTheme="majorBidi" w:hAnsiTheme="majorBidi" w:cstheme="majorBidi"/>
          <w:b/>
          <w:bCs/>
          <w:sz w:val="36"/>
          <w:szCs w:val="36"/>
        </w:rPr>
        <w:t xml:space="preserve"> Chemistry</w:t>
      </w:r>
      <w:r w:rsidRPr="00BA1AE2">
        <w:rPr>
          <w:rFonts w:asciiTheme="majorBidi" w:hAnsiTheme="majorBidi" w:cstheme="majorBidi"/>
          <w:b/>
          <w:bCs/>
          <w:sz w:val="36"/>
          <w:szCs w:val="36"/>
        </w:rPr>
        <w:t xml:space="preserve"> Analysis </w:t>
      </w:r>
      <w:r>
        <w:rPr>
          <w:rFonts w:asciiTheme="majorBidi" w:hAnsiTheme="majorBidi" w:cstheme="majorBidi"/>
          <w:b/>
          <w:bCs/>
          <w:sz w:val="36"/>
          <w:szCs w:val="36"/>
        </w:rPr>
        <w:t xml:space="preserve">of </w:t>
      </w:r>
      <w:r w:rsidRPr="00BA1AE2">
        <w:rPr>
          <w:rFonts w:asciiTheme="majorBidi" w:hAnsiTheme="majorBidi" w:cstheme="majorBidi"/>
          <w:b/>
          <w:bCs/>
          <w:sz w:val="36"/>
          <w:szCs w:val="36"/>
        </w:rPr>
        <w:t>District Gujrat</w:t>
      </w:r>
    </w:p>
    <w:p w14:paraId="35C81332" w14:textId="77777777" w:rsidR="00BA1AE2" w:rsidRDefault="00BA1AE2" w:rsidP="00BA1AE2">
      <w:pPr>
        <w:rPr>
          <w:b/>
          <w:sz w:val="40"/>
          <w:szCs w:val="40"/>
        </w:rPr>
      </w:pPr>
    </w:p>
    <w:p w14:paraId="57952F7E" w14:textId="77777777" w:rsidR="00BA1AE2" w:rsidRDefault="00BA1AE2" w:rsidP="00BA1AE2">
      <w:pPr>
        <w:jc w:val="center"/>
        <w:rPr>
          <w:b/>
          <w:sz w:val="40"/>
          <w:szCs w:val="40"/>
        </w:rPr>
      </w:pPr>
      <w:r>
        <w:rPr>
          <w:noProof/>
        </w:rPr>
        <w:drawing>
          <wp:anchor distT="0" distB="0" distL="0" distR="0" simplePos="0" relativeHeight="251659264" behindDoc="1" locked="0" layoutInCell="1" allowOverlap="1" wp14:anchorId="4F0186DE" wp14:editId="089FC107">
            <wp:simplePos x="0" y="0"/>
            <wp:positionH relativeFrom="page">
              <wp:posOffset>2515870</wp:posOffset>
            </wp:positionH>
            <wp:positionV relativeFrom="paragraph">
              <wp:posOffset>462915</wp:posOffset>
            </wp:positionV>
            <wp:extent cx="2596515" cy="2625725"/>
            <wp:effectExtent l="0" t="0" r="0" b="3175"/>
            <wp:wrapTopAndBottom/>
            <wp:docPr id="69" name="Picture 69" descr="A picture containing drawing, tex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drawing, text, font, desig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6515" cy="2625725"/>
                    </a:xfrm>
                    <a:prstGeom prst="rect">
                      <a:avLst/>
                    </a:prstGeom>
                    <a:noFill/>
                  </pic:spPr>
                </pic:pic>
              </a:graphicData>
            </a:graphic>
            <wp14:sizeRelH relativeFrom="margin">
              <wp14:pctWidth>0</wp14:pctWidth>
            </wp14:sizeRelH>
            <wp14:sizeRelV relativeFrom="margin">
              <wp14:pctHeight>0</wp14:pctHeight>
            </wp14:sizeRelV>
          </wp:anchor>
        </w:drawing>
      </w:r>
    </w:p>
    <w:p w14:paraId="114BD5CF" w14:textId="77777777" w:rsidR="00BA1AE2" w:rsidRDefault="00BA1AE2" w:rsidP="00BA1AE2">
      <w:pPr>
        <w:jc w:val="center"/>
        <w:rPr>
          <w:b/>
          <w:sz w:val="40"/>
          <w:szCs w:val="40"/>
        </w:rPr>
      </w:pPr>
    </w:p>
    <w:p w14:paraId="2556224B" w14:textId="77777777" w:rsidR="00BA1AE2" w:rsidRDefault="00BA1AE2" w:rsidP="00BA1AE2">
      <w:pPr>
        <w:jc w:val="center"/>
        <w:rPr>
          <w:b/>
          <w:sz w:val="36"/>
          <w:szCs w:val="36"/>
        </w:rPr>
      </w:pPr>
    </w:p>
    <w:p w14:paraId="746E64A5" w14:textId="77777777" w:rsidR="00BA1AE2" w:rsidRPr="00BA1AE2" w:rsidRDefault="00BA1AE2" w:rsidP="00BA1AE2">
      <w:pPr>
        <w:jc w:val="center"/>
        <w:rPr>
          <w:rFonts w:ascii="Times New Roman" w:hAnsi="Times New Roman" w:cs="Times New Roman"/>
          <w:b/>
          <w:sz w:val="36"/>
          <w:szCs w:val="36"/>
        </w:rPr>
      </w:pPr>
      <w:r w:rsidRPr="00BA1AE2">
        <w:rPr>
          <w:rFonts w:ascii="Times New Roman" w:hAnsi="Times New Roman" w:cs="Times New Roman"/>
          <w:b/>
          <w:sz w:val="36"/>
          <w:szCs w:val="36"/>
        </w:rPr>
        <w:t>BY</w:t>
      </w:r>
    </w:p>
    <w:p w14:paraId="7E4F122D" w14:textId="777E8EED" w:rsidR="00BA1AE2" w:rsidRPr="00BA1AE2" w:rsidRDefault="001827CB" w:rsidP="00BA1AE2">
      <w:pPr>
        <w:jc w:val="center"/>
        <w:rPr>
          <w:rFonts w:ascii="Times New Roman" w:hAnsi="Times New Roman" w:cs="Times New Roman"/>
          <w:b/>
          <w:sz w:val="40"/>
          <w:szCs w:val="40"/>
        </w:rPr>
      </w:pPr>
      <w:r>
        <w:rPr>
          <w:rFonts w:ascii="Times New Roman" w:hAnsi="Times New Roman" w:cs="Times New Roman"/>
          <w:b/>
          <w:sz w:val="40"/>
          <w:szCs w:val="40"/>
        </w:rPr>
        <w:t>Muhammad Usman</w:t>
      </w:r>
    </w:p>
    <w:p w14:paraId="440BF827" w14:textId="57BAE8A7" w:rsidR="00BA1AE2" w:rsidRPr="00BA1AE2" w:rsidRDefault="001827CB" w:rsidP="00BA1AE2">
      <w:pPr>
        <w:jc w:val="center"/>
        <w:rPr>
          <w:rFonts w:ascii="Times New Roman" w:hAnsi="Times New Roman" w:cs="Times New Roman"/>
          <w:b/>
          <w:sz w:val="40"/>
          <w:szCs w:val="40"/>
        </w:rPr>
      </w:pPr>
      <w:r>
        <w:rPr>
          <w:rFonts w:ascii="Times New Roman" w:hAnsi="Times New Roman" w:cs="Times New Roman"/>
          <w:b/>
          <w:sz w:val="40"/>
          <w:szCs w:val="40"/>
        </w:rPr>
        <w:t>Raja Yawar Waheed</w:t>
      </w:r>
    </w:p>
    <w:p w14:paraId="0F72D469" w14:textId="77777777" w:rsidR="00BA1AE2" w:rsidRPr="00BA1AE2" w:rsidRDefault="00BA1AE2" w:rsidP="00BA1AE2">
      <w:pPr>
        <w:rPr>
          <w:b/>
          <w:sz w:val="36"/>
          <w:szCs w:val="36"/>
        </w:rPr>
      </w:pPr>
    </w:p>
    <w:p w14:paraId="434B6BFA" w14:textId="77777777" w:rsidR="00BA1AE2" w:rsidRPr="00BA1AE2" w:rsidRDefault="00BA1AE2" w:rsidP="00BA1AE2">
      <w:pPr>
        <w:jc w:val="center"/>
        <w:rPr>
          <w:rFonts w:ascii="Times New Roman" w:hAnsi="Times New Roman" w:cs="Times New Roman"/>
          <w:b/>
          <w:sz w:val="36"/>
          <w:szCs w:val="36"/>
        </w:rPr>
      </w:pPr>
      <w:r w:rsidRPr="00BA1AE2">
        <w:rPr>
          <w:rFonts w:ascii="Times New Roman" w:hAnsi="Times New Roman" w:cs="Times New Roman"/>
          <w:b/>
          <w:sz w:val="36"/>
          <w:szCs w:val="36"/>
        </w:rPr>
        <w:t>Department of Earth Sciences</w:t>
      </w:r>
    </w:p>
    <w:p w14:paraId="3F7A39A0" w14:textId="77777777" w:rsidR="00BA1AE2" w:rsidRPr="00BA1AE2" w:rsidRDefault="00BA1AE2" w:rsidP="00BA1AE2">
      <w:pPr>
        <w:jc w:val="center"/>
        <w:rPr>
          <w:rFonts w:ascii="Times New Roman" w:hAnsi="Times New Roman" w:cs="Times New Roman"/>
          <w:b/>
          <w:sz w:val="36"/>
          <w:szCs w:val="36"/>
        </w:rPr>
      </w:pPr>
      <w:r w:rsidRPr="00BA1AE2">
        <w:rPr>
          <w:rFonts w:ascii="Times New Roman" w:hAnsi="Times New Roman" w:cs="Times New Roman"/>
          <w:b/>
          <w:sz w:val="36"/>
          <w:szCs w:val="36"/>
        </w:rPr>
        <w:t>Quaid-I-Azam University Islamabad, Pakistan</w:t>
      </w:r>
    </w:p>
    <w:p w14:paraId="480958BD" w14:textId="77777777" w:rsidR="00BA1AE2" w:rsidRDefault="00BA1AE2" w:rsidP="00BA1AE2">
      <w:pPr>
        <w:spacing w:line="360" w:lineRule="auto"/>
        <w:rPr>
          <w:rFonts w:asciiTheme="majorBidi" w:hAnsiTheme="majorBidi" w:cstheme="majorBidi"/>
          <w:b/>
          <w:bCs/>
          <w:sz w:val="24"/>
          <w:szCs w:val="24"/>
          <w:u w:val="single"/>
        </w:rPr>
      </w:pPr>
    </w:p>
    <w:p w14:paraId="6F25440C" w14:textId="77777777" w:rsidR="00024835" w:rsidRDefault="00402DC2">
      <w:pPr>
        <w:rPr>
          <w:rFonts w:asciiTheme="majorBidi" w:hAnsiTheme="majorBidi" w:cstheme="majorBidi"/>
          <w:b/>
          <w:bCs/>
          <w:sz w:val="24"/>
          <w:szCs w:val="24"/>
          <w:u w:val="single"/>
        </w:rPr>
      </w:pPr>
      <w:r>
        <w:rPr>
          <w:rFonts w:asciiTheme="majorBidi" w:hAnsiTheme="majorBidi" w:cstheme="majorBidi"/>
          <w:b/>
          <w:bCs/>
          <w:sz w:val="24"/>
          <w:szCs w:val="24"/>
          <w:u w:val="single"/>
        </w:rPr>
        <w:br w:type="page"/>
      </w:r>
    </w:p>
    <w:sdt>
      <w:sdtPr>
        <w:rPr>
          <w:rFonts w:asciiTheme="majorBidi" w:eastAsiaTheme="minorHAnsi" w:hAnsiTheme="majorBidi" w:cstheme="minorBidi"/>
          <w:color w:val="auto"/>
          <w:kern w:val="2"/>
          <w:sz w:val="24"/>
          <w:szCs w:val="24"/>
          <w14:ligatures w14:val="standardContextual"/>
        </w:rPr>
        <w:id w:val="-89234927"/>
        <w:docPartObj>
          <w:docPartGallery w:val="Table of Contents"/>
          <w:docPartUnique/>
        </w:docPartObj>
      </w:sdtPr>
      <w:sdtEndPr>
        <w:rPr>
          <w:b/>
          <w:bCs/>
          <w:noProof/>
        </w:rPr>
      </w:sdtEndPr>
      <w:sdtContent>
        <w:p w14:paraId="03B06A76" w14:textId="0A65C58A" w:rsidR="00024835" w:rsidRPr="00024835" w:rsidRDefault="00024835" w:rsidP="00024835">
          <w:pPr>
            <w:pStyle w:val="TOCHeading"/>
            <w:spacing w:line="360" w:lineRule="auto"/>
            <w:rPr>
              <w:rFonts w:asciiTheme="majorBidi" w:hAnsiTheme="majorBidi"/>
              <w:sz w:val="24"/>
              <w:szCs w:val="24"/>
            </w:rPr>
          </w:pPr>
          <w:r w:rsidRPr="00024835">
            <w:rPr>
              <w:rFonts w:asciiTheme="majorBidi" w:hAnsiTheme="majorBidi"/>
              <w:sz w:val="24"/>
              <w:szCs w:val="24"/>
            </w:rPr>
            <w:t>Table of Contents</w:t>
          </w:r>
        </w:p>
        <w:p w14:paraId="526E177B" w14:textId="1FF14A95" w:rsidR="00024835" w:rsidRPr="00024835" w:rsidRDefault="00024835" w:rsidP="00024835">
          <w:pPr>
            <w:pStyle w:val="TOC1"/>
            <w:tabs>
              <w:tab w:val="left" w:pos="440"/>
              <w:tab w:val="right" w:leader="dot" w:pos="9350"/>
            </w:tabs>
            <w:spacing w:line="360" w:lineRule="auto"/>
            <w:rPr>
              <w:rFonts w:asciiTheme="majorBidi" w:eastAsiaTheme="minorEastAsia" w:hAnsiTheme="majorBidi" w:cstheme="majorBidi"/>
              <w:noProof/>
              <w:sz w:val="24"/>
              <w:szCs w:val="24"/>
            </w:rPr>
          </w:pPr>
          <w:r w:rsidRPr="00024835">
            <w:rPr>
              <w:rFonts w:asciiTheme="majorBidi" w:hAnsiTheme="majorBidi" w:cstheme="majorBidi"/>
              <w:sz w:val="24"/>
              <w:szCs w:val="24"/>
            </w:rPr>
            <w:fldChar w:fldCharType="begin"/>
          </w:r>
          <w:r w:rsidRPr="00024835">
            <w:rPr>
              <w:rFonts w:asciiTheme="majorBidi" w:hAnsiTheme="majorBidi" w:cstheme="majorBidi"/>
              <w:sz w:val="24"/>
              <w:szCs w:val="24"/>
            </w:rPr>
            <w:instrText xml:space="preserve"> TOC \o "1-5" \h \z \u </w:instrText>
          </w:r>
          <w:r w:rsidRPr="00024835">
            <w:rPr>
              <w:rFonts w:asciiTheme="majorBidi" w:hAnsiTheme="majorBidi" w:cstheme="majorBidi"/>
              <w:sz w:val="24"/>
              <w:szCs w:val="24"/>
            </w:rPr>
            <w:fldChar w:fldCharType="separate"/>
          </w:r>
          <w:hyperlink w:anchor="_Toc137645800" w:history="1">
            <w:r w:rsidRPr="00024835">
              <w:rPr>
                <w:rStyle w:val="Hyperlink"/>
                <w:rFonts w:asciiTheme="majorBidi" w:hAnsiTheme="majorBidi" w:cstheme="majorBidi"/>
                <w:noProof/>
                <w:sz w:val="24"/>
                <w:szCs w:val="24"/>
              </w:rPr>
              <w:t>1</w:t>
            </w:r>
            <w:r w:rsidRPr="00024835">
              <w:rPr>
                <w:rFonts w:asciiTheme="majorBidi" w:eastAsiaTheme="minorEastAsia" w:hAnsiTheme="majorBidi" w:cstheme="majorBidi"/>
                <w:noProof/>
                <w:sz w:val="24"/>
                <w:szCs w:val="24"/>
              </w:rPr>
              <w:tab/>
            </w:r>
            <w:r w:rsidRPr="00024835">
              <w:rPr>
                <w:rStyle w:val="Hyperlink"/>
                <w:rFonts w:asciiTheme="majorBidi" w:hAnsiTheme="majorBidi" w:cstheme="majorBidi"/>
                <w:noProof/>
                <w:sz w:val="24"/>
                <w:szCs w:val="24"/>
              </w:rPr>
              <w:t>Introduction</w:t>
            </w:r>
            <w:r w:rsidRPr="00024835">
              <w:rPr>
                <w:rFonts w:asciiTheme="majorBidi" w:hAnsiTheme="majorBidi" w:cstheme="majorBidi"/>
                <w:noProof/>
                <w:webHidden/>
                <w:sz w:val="24"/>
                <w:szCs w:val="24"/>
              </w:rPr>
              <w:tab/>
            </w:r>
            <w:r w:rsidRPr="00024835">
              <w:rPr>
                <w:rFonts w:asciiTheme="majorBidi" w:hAnsiTheme="majorBidi" w:cstheme="majorBidi"/>
                <w:noProof/>
                <w:webHidden/>
                <w:sz w:val="24"/>
                <w:szCs w:val="24"/>
              </w:rPr>
              <w:fldChar w:fldCharType="begin"/>
            </w:r>
            <w:r w:rsidRPr="00024835">
              <w:rPr>
                <w:rFonts w:asciiTheme="majorBidi" w:hAnsiTheme="majorBidi" w:cstheme="majorBidi"/>
                <w:noProof/>
                <w:webHidden/>
                <w:sz w:val="24"/>
                <w:szCs w:val="24"/>
              </w:rPr>
              <w:instrText xml:space="preserve"> PAGEREF _Toc137645800 \h </w:instrText>
            </w:r>
            <w:r w:rsidRPr="00024835">
              <w:rPr>
                <w:rFonts w:asciiTheme="majorBidi" w:hAnsiTheme="majorBidi" w:cstheme="majorBidi"/>
                <w:noProof/>
                <w:webHidden/>
                <w:sz w:val="24"/>
                <w:szCs w:val="24"/>
              </w:rPr>
            </w:r>
            <w:r w:rsidRPr="00024835">
              <w:rPr>
                <w:rFonts w:asciiTheme="majorBidi" w:hAnsiTheme="majorBidi" w:cstheme="majorBidi"/>
                <w:noProof/>
                <w:webHidden/>
                <w:sz w:val="24"/>
                <w:szCs w:val="24"/>
              </w:rPr>
              <w:fldChar w:fldCharType="separate"/>
            </w:r>
            <w:r w:rsidRPr="00024835">
              <w:rPr>
                <w:rFonts w:asciiTheme="majorBidi" w:hAnsiTheme="majorBidi" w:cstheme="majorBidi"/>
                <w:noProof/>
                <w:webHidden/>
                <w:sz w:val="24"/>
                <w:szCs w:val="24"/>
              </w:rPr>
              <w:t>3</w:t>
            </w:r>
            <w:r w:rsidRPr="00024835">
              <w:rPr>
                <w:rFonts w:asciiTheme="majorBidi" w:hAnsiTheme="majorBidi" w:cstheme="majorBidi"/>
                <w:noProof/>
                <w:webHidden/>
                <w:sz w:val="24"/>
                <w:szCs w:val="24"/>
              </w:rPr>
              <w:fldChar w:fldCharType="end"/>
            </w:r>
          </w:hyperlink>
        </w:p>
        <w:p w14:paraId="6487B3DB" w14:textId="40209514" w:rsidR="00024835" w:rsidRPr="00024835" w:rsidRDefault="006D146D" w:rsidP="00024835">
          <w:pPr>
            <w:pStyle w:val="TOC1"/>
            <w:tabs>
              <w:tab w:val="left" w:pos="440"/>
              <w:tab w:val="right" w:leader="dot" w:pos="9350"/>
            </w:tabs>
            <w:spacing w:line="360" w:lineRule="auto"/>
            <w:rPr>
              <w:rFonts w:asciiTheme="majorBidi" w:eastAsiaTheme="minorEastAsia" w:hAnsiTheme="majorBidi" w:cstheme="majorBidi"/>
              <w:noProof/>
              <w:sz w:val="24"/>
              <w:szCs w:val="24"/>
            </w:rPr>
          </w:pPr>
          <w:hyperlink w:anchor="_Toc137645801" w:history="1">
            <w:r w:rsidR="00024835" w:rsidRPr="00024835">
              <w:rPr>
                <w:rStyle w:val="Hyperlink"/>
                <w:rFonts w:asciiTheme="majorBidi" w:hAnsiTheme="majorBidi" w:cstheme="majorBidi"/>
                <w:noProof/>
                <w:sz w:val="24"/>
                <w:szCs w:val="24"/>
              </w:rPr>
              <w:t>2</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Study Area</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_Toc137645801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4</w:t>
            </w:r>
            <w:r w:rsidR="00024835" w:rsidRPr="00024835">
              <w:rPr>
                <w:rFonts w:asciiTheme="majorBidi" w:hAnsiTheme="majorBidi" w:cstheme="majorBidi"/>
                <w:noProof/>
                <w:webHidden/>
                <w:sz w:val="24"/>
                <w:szCs w:val="24"/>
              </w:rPr>
              <w:fldChar w:fldCharType="end"/>
            </w:r>
          </w:hyperlink>
        </w:p>
        <w:p w14:paraId="450BC129" w14:textId="1953DE89" w:rsidR="00024835" w:rsidRPr="00024835" w:rsidRDefault="006D146D" w:rsidP="00024835">
          <w:pPr>
            <w:pStyle w:val="TOC2"/>
            <w:tabs>
              <w:tab w:val="left" w:pos="880"/>
              <w:tab w:val="right" w:leader="dot" w:pos="9350"/>
            </w:tabs>
            <w:spacing w:line="360" w:lineRule="auto"/>
            <w:rPr>
              <w:rFonts w:asciiTheme="majorBidi" w:eastAsiaTheme="minorEastAsia" w:hAnsiTheme="majorBidi" w:cstheme="majorBidi"/>
              <w:noProof/>
              <w:sz w:val="24"/>
              <w:szCs w:val="24"/>
            </w:rPr>
          </w:pPr>
          <w:hyperlink w:anchor="_Toc137645802" w:history="1">
            <w:r w:rsidR="00024835" w:rsidRPr="00024835">
              <w:rPr>
                <w:rStyle w:val="Hyperlink"/>
                <w:rFonts w:asciiTheme="majorBidi" w:hAnsiTheme="majorBidi" w:cstheme="majorBidi"/>
                <w:noProof/>
                <w:sz w:val="24"/>
                <w:szCs w:val="24"/>
              </w:rPr>
              <w:t>2.1</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Geology of Gujrat</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_Toc137645802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5</w:t>
            </w:r>
            <w:r w:rsidR="00024835" w:rsidRPr="00024835">
              <w:rPr>
                <w:rFonts w:asciiTheme="majorBidi" w:hAnsiTheme="majorBidi" w:cstheme="majorBidi"/>
                <w:noProof/>
                <w:webHidden/>
                <w:sz w:val="24"/>
                <w:szCs w:val="24"/>
              </w:rPr>
              <w:fldChar w:fldCharType="end"/>
            </w:r>
          </w:hyperlink>
        </w:p>
        <w:p w14:paraId="6EFE0B3F" w14:textId="3C31168F" w:rsidR="00024835" w:rsidRPr="00024835" w:rsidRDefault="006D146D" w:rsidP="00024835">
          <w:pPr>
            <w:pStyle w:val="TOC2"/>
            <w:tabs>
              <w:tab w:val="left" w:pos="880"/>
              <w:tab w:val="right" w:leader="dot" w:pos="9350"/>
            </w:tabs>
            <w:spacing w:line="360" w:lineRule="auto"/>
            <w:rPr>
              <w:rFonts w:asciiTheme="majorBidi" w:eastAsiaTheme="minorEastAsia" w:hAnsiTheme="majorBidi" w:cstheme="majorBidi"/>
              <w:noProof/>
              <w:sz w:val="24"/>
              <w:szCs w:val="24"/>
            </w:rPr>
          </w:pPr>
          <w:hyperlink w:anchor="_Toc137645803" w:history="1">
            <w:r w:rsidR="00024835" w:rsidRPr="00024835">
              <w:rPr>
                <w:rStyle w:val="Hyperlink"/>
                <w:rFonts w:asciiTheme="majorBidi" w:hAnsiTheme="majorBidi" w:cstheme="majorBidi"/>
                <w:noProof/>
                <w:sz w:val="24"/>
                <w:szCs w:val="24"/>
              </w:rPr>
              <w:t>2.2</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Hydrogeology and aquifer systems</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_Toc137645803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6</w:t>
            </w:r>
            <w:r w:rsidR="00024835" w:rsidRPr="00024835">
              <w:rPr>
                <w:rFonts w:asciiTheme="majorBidi" w:hAnsiTheme="majorBidi" w:cstheme="majorBidi"/>
                <w:noProof/>
                <w:webHidden/>
                <w:sz w:val="24"/>
                <w:szCs w:val="24"/>
              </w:rPr>
              <w:fldChar w:fldCharType="end"/>
            </w:r>
          </w:hyperlink>
        </w:p>
        <w:p w14:paraId="2302696C" w14:textId="09383A85" w:rsidR="00024835" w:rsidRPr="00024835" w:rsidRDefault="006D146D" w:rsidP="00024835">
          <w:pPr>
            <w:pStyle w:val="TOC1"/>
            <w:tabs>
              <w:tab w:val="left" w:pos="440"/>
              <w:tab w:val="right" w:leader="dot" w:pos="9350"/>
            </w:tabs>
            <w:spacing w:line="360" w:lineRule="auto"/>
            <w:rPr>
              <w:rFonts w:asciiTheme="majorBidi" w:eastAsiaTheme="minorEastAsia" w:hAnsiTheme="majorBidi" w:cstheme="majorBidi"/>
              <w:noProof/>
              <w:sz w:val="24"/>
              <w:szCs w:val="24"/>
            </w:rPr>
          </w:pPr>
          <w:hyperlink w:anchor="_Toc137645804" w:history="1">
            <w:r w:rsidR="00024835" w:rsidRPr="00024835">
              <w:rPr>
                <w:rStyle w:val="Hyperlink"/>
                <w:rFonts w:asciiTheme="majorBidi" w:hAnsiTheme="majorBidi" w:cstheme="majorBidi"/>
                <w:noProof/>
                <w:sz w:val="24"/>
                <w:szCs w:val="24"/>
              </w:rPr>
              <w:t>3</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Data and Methodology:</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_Toc137645804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7</w:t>
            </w:r>
            <w:r w:rsidR="00024835" w:rsidRPr="00024835">
              <w:rPr>
                <w:rFonts w:asciiTheme="majorBidi" w:hAnsiTheme="majorBidi" w:cstheme="majorBidi"/>
                <w:noProof/>
                <w:webHidden/>
                <w:sz w:val="24"/>
                <w:szCs w:val="24"/>
              </w:rPr>
              <w:fldChar w:fldCharType="end"/>
            </w:r>
          </w:hyperlink>
        </w:p>
        <w:p w14:paraId="2E931FB0" w14:textId="44DEC973" w:rsidR="00024835" w:rsidRPr="00024835" w:rsidRDefault="006D146D" w:rsidP="00024835">
          <w:pPr>
            <w:pStyle w:val="TOC1"/>
            <w:tabs>
              <w:tab w:val="left" w:pos="440"/>
              <w:tab w:val="right" w:leader="dot" w:pos="9350"/>
            </w:tabs>
            <w:spacing w:line="360" w:lineRule="auto"/>
            <w:rPr>
              <w:rFonts w:asciiTheme="majorBidi" w:eastAsiaTheme="minorEastAsia" w:hAnsiTheme="majorBidi" w:cstheme="majorBidi"/>
              <w:noProof/>
              <w:sz w:val="24"/>
              <w:szCs w:val="24"/>
            </w:rPr>
          </w:pPr>
          <w:hyperlink w:anchor="_Toc137645805" w:history="1">
            <w:r w:rsidR="00024835" w:rsidRPr="00024835">
              <w:rPr>
                <w:rStyle w:val="Hyperlink"/>
                <w:rFonts w:asciiTheme="majorBidi" w:hAnsiTheme="majorBidi" w:cstheme="majorBidi"/>
                <w:noProof/>
                <w:sz w:val="24"/>
                <w:szCs w:val="24"/>
              </w:rPr>
              <w:t>4</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RESULTS:</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_Toc137645805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9</w:t>
            </w:r>
            <w:r w:rsidR="00024835" w:rsidRPr="00024835">
              <w:rPr>
                <w:rFonts w:asciiTheme="majorBidi" w:hAnsiTheme="majorBidi" w:cstheme="majorBidi"/>
                <w:noProof/>
                <w:webHidden/>
                <w:sz w:val="24"/>
                <w:szCs w:val="24"/>
              </w:rPr>
              <w:fldChar w:fldCharType="end"/>
            </w:r>
          </w:hyperlink>
        </w:p>
        <w:p w14:paraId="5D337967" w14:textId="1D8DFBD3" w:rsidR="00024835" w:rsidRPr="00024835" w:rsidRDefault="006D146D" w:rsidP="00024835">
          <w:pPr>
            <w:pStyle w:val="TOC2"/>
            <w:tabs>
              <w:tab w:val="left" w:pos="880"/>
              <w:tab w:val="right" w:leader="dot" w:pos="9350"/>
            </w:tabs>
            <w:spacing w:line="360" w:lineRule="auto"/>
            <w:rPr>
              <w:rFonts w:asciiTheme="majorBidi" w:eastAsiaTheme="minorEastAsia" w:hAnsiTheme="majorBidi" w:cstheme="majorBidi"/>
              <w:noProof/>
              <w:sz w:val="24"/>
              <w:szCs w:val="24"/>
            </w:rPr>
          </w:pPr>
          <w:hyperlink w:anchor="_Toc137645806" w:history="1">
            <w:r w:rsidR="00024835" w:rsidRPr="00024835">
              <w:rPr>
                <w:rStyle w:val="Hyperlink"/>
                <w:rFonts w:asciiTheme="majorBidi" w:hAnsiTheme="majorBidi" w:cstheme="majorBidi"/>
                <w:noProof/>
                <w:sz w:val="24"/>
                <w:szCs w:val="24"/>
              </w:rPr>
              <w:t>4.1</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Hydrochemistry Of the Area</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_Toc137645806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9</w:t>
            </w:r>
            <w:r w:rsidR="00024835" w:rsidRPr="00024835">
              <w:rPr>
                <w:rFonts w:asciiTheme="majorBidi" w:hAnsiTheme="majorBidi" w:cstheme="majorBidi"/>
                <w:noProof/>
                <w:webHidden/>
                <w:sz w:val="24"/>
                <w:szCs w:val="24"/>
              </w:rPr>
              <w:fldChar w:fldCharType="end"/>
            </w:r>
          </w:hyperlink>
        </w:p>
        <w:p w14:paraId="1AC555C9" w14:textId="480F7221" w:rsidR="00024835" w:rsidRPr="00024835" w:rsidRDefault="006D146D" w:rsidP="00024835">
          <w:pPr>
            <w:pStyle w:val="TOC2"/>
            <w:tabs>
              <w:tab w:val="left" w:pos="880"/>
              <w:tab w:val="right" w:leader="dot" w:pos="9350"/>
            </w:tabs>
            <w:spacing w:line="360" w:lineRule="auto"/>
            <w:rPr>
              <w:rFonts w:asciiTheme="majorBidi" w:eastAsiaTheme="minorEastAsia" w:hAnsiTheme="majorBidi" w:cstheme="majorBidi"/>
              <w:noProof/>
              <w:sz w:val="24"/>
              <w:szCs w:val="24"/>
            </w:rPr>
          </w:pPr>
          <w:hyperlink w:anchor="_Toc137645807" w:history="1">
            <w:r w:rsidR="00024835" w:rsidRPr="00024835">
              <w:rPr>
                <w:rStyle w:val="Hyperlink"/>
                <w:rFonts w:asciiTheme="majorBidi" w:hAnsiTheme="majorBidi" w:cstheme="majorBidi"/>
                <w:noProof/>
                <w:sz w:val="24"/>
                <w:szCs w:val="24"/>
              </w:rPr>
              <w:t>4.2</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Gibbs Plot:</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_Toc137645807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11</w:t>
            </w:r>
            <w:r w:rsidR="00024835" w:rsidRPr="00024835">
              <w:rPr>
                <w:rFonts w:asciiTheme="majorBidi" w:hAnsiTheme="majorBidi" w:cstheme="majorBidi"/>
                <w:noProof/>
                <w:webHidden/>
                <w:sz w:val="24"/>
                <w:szCs w:val="24"/>
              </w:rPr>
              <w:fldChar w:fldCharType="end"/>
            </w:r>
          </w:hyperlink>
        </w:p>
        <w:p w14:paraId="1F78D30B" w14:textId="163D50DF" w:rsidR="00024835" w:rsidRPr="00024835" w:rsidRDefault="006D146D" w:rsidP="00024835">
          <w:pPr>
            <w:pStyle w:val="TOC2"/>
            <w:tabs>
              <w:tab w:val="left" w:pos="880"/>
              <w:tab w:val="right" w:leader="dot" w:pos="9350"/>
            </w:tabs>
            <w:spacing w:line="360" w:lineRule="auto"/>
            <w:rPr>
              <w:rFonts w:asciiTheme="majorBidi" w:eastAsiaTheme="minorEastAsia" w:hAnsiTheme="majorBidi" w:cstheme="majorBidi"/>
              <w:noProof/>
              <w:sz w:val="24"/>
              <w:szCs w:val="24"/>
            </w:rPr>
          </w:pPr>
          <w:hyperlink w:anchor="_Toc137645808" w:history="1">
            <w:r w:rsidR="00024835" w:rsidRPr="00024835">
              <w:rPr>
                <w:rStyle w:val="Hyperlink"/>
                <w:rFonts w:asciiTheme="majorBidi" w:hAnsiTheme="majorBidi" w:cstheme="majorBidi"/>
                <w:noProof/>
                <w:sz w:val="24"/>
                <w:szCs w:val="24"/>
              </w:rPr>
              <w:t>4.3</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Hydro Geochemical Facies:</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_Toc137645808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13</w:t>
            </w:r>
            <w:r w:rsidR="00024835" w:rsidRPr="00024835">
              <w:rPr>
                <w:rFonts w:asciiTheme="majorBidi" w:hAnsiTheme="majorBidi" w:cstheme="majorBidi"/>
                <w:noProof/>
                <w:webHidden/>
                <w:sz w:val="24"/>
                <w:szCs w:val="24"/>
              </w:rPr>
              <w:fldChar w:fldCharType="end"/>
            </w:r>
          </w:hyperlink>
        </w:p>
        <w:p w14:paraId="79450A5C" w14:textId="0F9EB7B8" w:rsidR="00024835" w:rsidRPr="00024835" w:rsidRDefault="006D146D" w:rsidP="00024835">
          <w:pPr>
            <w:pStyle w:val="TOC2"/>
            <w:tabs>
              <w:tab w:val="left" w:pos="880"/>
              <w:tab w:val="right" w:leader="dot" w:pos="9350"/>
            </w:tabs>
            <w:spacing w:line="360" w:lineRule="auto"/>
            <w:rPr>
              <w:rFonts w:asciiTheme="majorBidi" w:eastAsiaTheme="minorEastAsia" w:hAnsiTheme="majorBidi" w:cstheme="majorBidi"/>
              <w:noProof/>
              <w:sz w:val="24"/>
              <w:szCs w:val="24"/>
            </w:rPr>
          </w:pPr>
          <w:hyperlink w:anchor="_Toc137645809" w:history="1">
            <w:r w:rsidR="00024835" w:rsidRPr="00024835">
              <w:rPr>
                <w:rStyle w:val="Hyperlink"/>
                <w:rFonts w:asciiTheme="majorBidi" w:hAnsiTheme="majorBidi" w:cstheme="majorBidi"/>
                <w:noProof/>
                <w:sz w:val="24"/>
                <w:szCs w:val="24"/>
              </w:rPr>
              <w:t>4.4</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Agriculture Potential Analysis:</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_Toc137645809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15</w:t>
            </w:r>
            <w:r w:rsidR="00024835" w:rsidRPr="00024835">
              <w:rPr>
                <w:rFonts w:asciiTheme="majorBidi" w:hAnsiTheme="majorBidi" w:cstheme="majorBidi"/>
                <w:noProof/>
                <w:webHidden/>
                <w:sz w:val="24"/>
                <w:szCs w:val="24"/>
              </w:rPr>
              <w:fldChar w:fldCharType="end"/>
            </w:r>
          </w:hyperlink>
        </w:p>
        <w:p w14:paraId="68AB628E" w14:textId="19E21BA5" w:rsidR="00024835" w:rsidRPr="00024835" w:rsidRDefault="006D146D" w:rsidP="00024835">
          <w:pPr>
            <w:pStyle w:val="TOC3"/>
            <w:tabs>
              <w:tab w:val="left" w:pos="1320"/>
              <w:tab w:val="right" w:leader="dot" w:pos="9350"/>
            </w:tabs>
            <w:spacing w:line="360" w:lineRule="auto"/>
            <w:rPr>
              <w:rFonts w:asciiTheme="majorBidi" w:eastAsiaTheme="minorEastAsia" w:hAnsiTheme="majorBidi" w:cstheme="majorBidi"/>
              <w:noProof/>
              <w:sz w:val="24"/>
              <w:szCs w:val="24"/>
            </w:rPr>
          </w:pPr>
          <w:hyperlink w:anchor="_Toc137645810" w:history="1">
            <w:r w:rsidR="00024835" w:rsidRPr="00024835">
              <w:rPr>
                <w:rStyle w:val="Hyperlink"/>
                <w:rFonts w:asciiTheme="majorBidi" w:hAnsiTheme="majorBidi" w:cstheme="majorBidi"/>
                <w:noProof/>
                <w:sz w:val="24"/>
                <w:szCs w:val="24"/>
              </w:rPr>
              <w:t>4.4.1</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Sodium Percentage</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_Toc137645810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17</w:t>
            </w:r>
            <w:r w:rsidR="00024835" w:rsidRPr="00024835">
              <w:rPr>
                <w:rFonts w:asciiTheme="majorBidi" w:hAnsiTheme="majorBidi" w:cstheme="majorBidi"/>
                <w:noProof/>
                <w:webHidden/>
                <w:sz w:val="24"/>
                <w:szCs w:val="24"/>
              </w:rPr>
              <w:fldChar w:fldCharType="end"/>
            </w:r>
          </w:hyperlink>
        </w:p>
        <w:p w14:paraId="11F0DA99" w14:textId="263E6B94" w:rsidR="00024835" w:rsidRPr="00024835" w:rsidRDefault="006D146D" w:rsidP="00024835">
          <w:pPr>
            <w:pStyle w:val="TOC3"/>
            <w:tabs>
              <w:tab w:val="left" w:pos="1320"/>
              <w:tab w:val="right" w:leader="dot" w:pos="9350"/>
            </w:tabs>
            <w:spacing w:line="360" w:lineRule="auto"/>
            <w:rPr>
              <w:rFonts w:asciiTheme="majorBidi" w:eastAsiaTheme="minorEastAsia" w:hAnsiTheme="majorBidi" w:cstheme="majorBidi"/>
              <w:noProof/>
              <w:sz w:val="24"/>
              <w:szCs w:val="24"/>
            </w:rPr>
          </w:pPr>
          <w:hyperlink w:anchor="_Toc137645811" w:history="1">
            <w:r w:rsidR="00024835" w:rsidRPr="00024835">
              <w:rPr>
                <w:rStyle w:val="Hyperlink"/>
                <w:rFonts w:asciiTheme="majorBidi" w:hAnsiTheme="majorBidi" w:cstheme="majorBidi"/>
                <w:noProof/>
                <w:sz w:val="24"/>
                <w:szCs w:val="24"/>
              </w:rPr>
              <w:t>4.4.2</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Kelley’s Ratio</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_Toc137645811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19</w:t>
            </w:r>
            <w:r w:rsidR="00024835" w:rsidRPr="00024835">
              <w:rPr>
                <w:rFonts w:asciiTheme="majorBidi" w:hAnsiTheme="majorBidi" w:cstheme="majorBidi"/>
                <w:noProof/>
                <w:webHidden/>
                <w:sz w:val="24"/>
                <w:szCs w:val="24"/>
              </w:rPr>
              <w:fldChar w:fldCharType="end"/>
            </w:r>
          </w:hyperlink>
        </w:p>
        <w:p w14:paraId="5FFEE078" w14:textId="35BDBED8" w:rsidR="00024835" w:rsidRPr="00024835" w:rsidRDefault="006D146D" w:rsidP="00024835">
          <w:pPr>
            <w:pStyle w:val="TOC3"/>
            <w:tabs>
              <w:tab w:val="left" w:pos="1320"/>
              <w:tab w:val="right" w:leader="dot" w:pos="9350"/>
            </w:tabs>
            <w:spacing w:line="360" w:lineRule="auto"/>
            <w:rPr>
              <w:rFonts w:asciiTheme="majorBidi" w:eastAsiaTheme="minorEastAsia" w:hAnsiTheme="majorBidi" w:cstheme="majorBidi"/>
              <w:noProof/>
              <w:sz w:val="24"/>
              <w:szCs w:val="24"/>
            </w:rPr>
          </w:pPr>
          <w:hyperlink w:anchor="_Toc137645812" w:history="1">
            <w:r w:rsidR="00024835" w:rsidRPr="00024835">
              <w:rPr>
                <w:rStyle w:val="Hyperlink"/>
                <w:rFonts w:asciiTheme="majorBidi" w:hAnsiTheme="majorBidi" w:cstheme="majorBidi"/>
                <w:noProof/>
                <w:sz w:val="24"/>
                <w:szCs w:val="24"/>
              </w:rPr>
              <w:t>4.4.3</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Magnesium Adsorption Ratio (MAR)</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_Toc137645812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20</w:t>
            </w:r>
            <w:r w:rsidR="00024835" w:rsidRPr="00024835">
              <w:rPr>
                <w:rFonts w:asciiTheme="majorBidi" w:hAnsiTheme="majorBidi" w:cstheme="majorBidi"/>
                <w:noProof/>
                <w:webHidden/>
                <w:sz w:val="24"/>
                <w:szCs w:val="24"/>
              </w:rPr>
              <w:fldChar w:fldCharType="end"/>
            </w:r>
          </w:hyperlink>
        </w:p>
        <w:p w14:paraId="4FF640F9" w14:textId="64838742" w:rsidR="00024835" w:rsidRPr="00024835" w:rsidRDefault="006D146D" w:rsidP="00024835">
          <w:pPr>
            <w:pStyle w:val="TOC3"/>
            <w:tabs>
              <w:tab w:val="left" w:pos="1320"/>
              <w:tab w:val="right" w:leader="dot" w:pos="9350"/>
            </w:tabs>
            <w:spacing w:line="360" w:lineRule="auto"/>
            <w:rPr>
              <w:rFonts w:asciiTheme="majorBidi" w:eastAsiaTheme="minorEastAsia" w:hAnsiTheme="majorBidi" w:cstheme="majorBidi"/>
              <w:noProof/>
              <w:sz w:val="24"/>
              <w:szCs w:val="24"/>
            </w:rPr>
          </w:pPr>
          <w:hyperlink w:anchor="_Toc137645813" w:history="1">
            <w:r w:rsidR="00024835" w:rsidRPr="00024835">
              <w:rPr>
                <w:rStyle w:val="Hyperlink"/>
                <w:rFonts w:asciiTheme="majorBidi" w:hAnsiTheme="majorBidi" w:cstheme="majorBidi"/>
                <w:noProof/>
                <w:sz w:val="24"/>
                <w:szCs w:val="24"/>
              </w:rPr>
              <w:t>4.4.4</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Total Hardness (TH)</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_Toc137645813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20</w:t>
            </w:r>
            <w:r w:rsidR="00024835" w:rsidRPr="00024835">
              <w:rPr>
                <w:rFonts w:asciiTheme="majorBidi" w:hAnsiTheme="majorBidi" w:cstheme="majorBidi"/>
                <w:noProof/>
                <w:webHidden/>
                <w:sz w:val="24"/>
                <w:szCs w:val="24"/>
              </w:rPr>
              <w:fldChar w:fldCharType="end"/>
            </w:r>
          </w:hyperlink>
        </w:p>
        <w:p w14:paraId="35276115" w14:textId="5499D9BA" w:rsidR="00024835" w:rsidRPr="00024835" w:rsidRDefault="006D146D" w:rsidP="00024835">
          <w:pPr>
            <w:pStyle w:val="TOC2"/>
            <w:tabs>
              <w:tab w:val="left" w:pos="880"/>
              <w:tab w:val="right" w:leader="dot" w:pos="9350"/>
            </w:tabs>
            <w:spacing w:line="360" w:lineRule="auto"/>
            <w:rPr>
              <w:rFonts w:asciiTheme="majorBidi" w:eastAsiaTheme="minorEastAsia" w:hAnsiTheme="majorBidi" w:cstheme="majorBidi"/>
              <w:noProof/>
              <w:sz w:val="24"/>
              <w:szCs w:val="24"/>
            </w:rPr>
          </w:pPr>
          <w:hyperlink w:anchor="_Toc137645814" w:history="1">
            <w:r w:rsidR="00024835" w:rsidRPr="00024835">
              <w:rPr>
                <w:rStyle w:val="Hyperlink"/>
                <w:rFonts w:asciiTheme="majorBidi" w:hAnsiTheme="majorBidi" w:cstheme="majorBidi"/>
                <w:noProof/>
                <w:sz w:val="24"/>
                <w:szCs w:val="24"/>
              </w:rPr>
              <w:t>4.5</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Health risk analysis</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_Toc137645814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21</w:t>
            </w:r>
            <w:r w:rsidR="00024835" w:rsidRPr="00024835">
              <w:rPr>
                <w:rFonts w:asciiTheme="majorBidi" w:hAnsiTheme="majorBidi" w:cstheme="majorBidi"/>
                <w:noProof/>
                <w:webHidden/>
                <w:sz w:val="24"/>
                <w:szCs w:val="24"/>
              </w:rPr>
              <w:fldChar w:fldCharType="end"/>
            </w:r>
          </w:hyperlink>
        </w:p>
        <w:p w14:paraId="42C42730" w14:textId="3822A004" w:rsidR="00024835" w:rsidRPr="00024835" w:rsidRDefault="006D146D" w:rsidP="00024835">
          <w:pPr>
            <w:pStyle w:val="TOC3"/>
            <w:tabs>
              <w:tab w:val="left" w:pos="1320"/>
              <w:tab w:val="right" w:leader="dot" w:pos="9350"/>
            </w:tabs>
            <w:spacing w:line="360" w:lineRule="auto"/>
            <w:rPr>
              <w:rFonts w:asciiTheme="majorBidi" w:eastAsiaTheme="minorEastAsia" w:hAnsiTheme="majorBidi" w:cstheme="majorBidi"/>
              <w:noProof/>
              <w:sz w:val="24"/>
              <w:szCs w:val="24"/>
            </w:rPr>
          </w:pPr>
          <w:hyperlink w:anchor="_Toc137645815" w:history="1">
            <w:r w:rsidR="00024835" w:rsidRPr="00024835">
              <w:rPr>
                <w:rStyle w:val="Hyperlink"/>
                <w:rFonts w:asciiTheme="majorBidi" w:hAnsiTheme="majorBidi" w:cstheme="majorBidi"/>
                <w:noProof/>
                <w:sz w:val="24"/>
                <w:szCs w:val="24"/>
              </w:rPr>
              <w:t>4.5.1</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Fluoride Concentration</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_Toc137645815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21</w:t>
            </w:r>
            <w:r w:rsidR="00024835" w:rsidRPr="00024835">
              <w:rPr>
                <w:rFonts w:asciiTheme="majorBidi" w:hAnsiTheme="majorBidi" w:cstheme="majorBidi"/>
                <w:noProof/>
                <w:webHidden/>
                <w:sz w:val="24"/>
                <w:szCs w:val="24"/>
              </w:rPr>
              <w:fldChar w:fldCharType="end"/>
            </w:r>
          </w:hyperlink>
        </w:p>
        <w:p w14:paraId="7A203DFE" w14:textId="32BBC501" w:rsidR="00024835" w:rsidRPr="00024835" w:rsidRDefault="006D146D" w:rsidP="00024835">
          <w:pPr>
            <w:pStyle w:val="TOC3"/>
            <w:tabs>
              <w:tab w:val="left" w:pos="1320"/>
              <w:tab w:val="right" w:leader="dot" w:pos="9350"/>
            </w:tabs>
            <w:spacing w:line="360" w:lineRule="auto"/>
            <w:rPr>
              <w:rFonts w:asciiTheme="majorBidi" w:eastAsiaTheme="minorEastAsia" w:hAnsiTheme="majorBidi" w:cstheme="majorBidi"/>
              <w:noProof/>
              <w:sz w:val="24"/>
              <w:szCs w:val="24"/>
            </w:rPr>
          </w:pPr>
          <w:hyperlink w:anchor="_Toc137645816" w:history="1">
            <w:r w:rsidR="00024835" w:rsidRPr="00024835">
              <w:rPr>
                <w:rStyle w:val="Hyperlink"/>
                <w:rFonts w:asciiTheme="majorBidi" w:hAnsiTheme="majorBidi" w:cstheme="majorBidi"/>
                <w:noProof/>
                <w:sz w:val="24"/>
                <w:szCs w:val="24"/>
              </w:rPr>
              <w:t>4.5.2</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Health Risk Assessment</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_Toc137645816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22</w:t>
            </w:r>
            <w:r w:rsidR="00024835" w:rsidRPr="00024835">
              <w:rPr>
                <w:rFonts w:asciiTheme="majorBidi" w:hAnsiTheme="majorBidi" w:cstheme="majorBidi"/>
                <w:noProof/>
                <w:webHidden/>
                <w:sz w:val="24"/>
                <w:szCs w:val="24"/>
              </w:rPr>
              <w:fldChar w:fldCharType="end"/>
            </w:r>
          </w:hyperlink>
        </w:p>
        <w:p w14:paraId="41F72625" w14:textId="16CECFCC" w:rsidR="00024835" w:rsidRPr="00024835" w:rsidRDefault="006D146D" w:rsidP="00024835">
          <w:pPr>
            <w:pStyle w:val="TOC1"/>
            <w:tabs>
              <w:tab w:val="left" w:pos="440"/>
              <w:tab w:val="right" w:leader="dot" w:pos="9350"/>
            </w:tabs>
            <w:spacing w:line="360" w:lineRule="auto"/>
            <w:rPr>
              <w:rFonts w:asciiTheme="majorBidi" w:eastAsiaTheme="minorEastAsia" w:hAnsiTheme="majorBidi" w:cstheme="majorBidi"/>
              <w:noProof/>
              <w:sz w:val="24"/>
              <w:szCs w:val="24"/>
            </w:rPr>
          </w:pPr>
          <w:hyperlink w:anchor="_Toc137645817" w:history="1">
            <w:r w:rsidR="00024835" w:rsidRPr="00024835">
              <w:rPr>
                <w:rStyle w:val="Hyperlink"/>
                <w:rFonts w:asciiTheme="majorBidi" w:hAnsiTheme="majorBidi" w:cstheme="majorBidi"/>
                <w:noProof/>
                <w:sz w:val="24"/>
                <w:szCs w:val="24"/>
              </w:rPr>
              <w:t>5</w:t>
            </w:r>
            <w:r w:rsidR="00024835" w:rsidRPr="00024835">
              <w:rPr>
                <w:rFonts w:asciiTheme="majorBidi" w:eastAsiaTheme="minorEastAsia" w:hAnsiTheme="majorBidi" w:cstheme="majorBidi"/>
                <w:noProof/>
                <w:sz w:val="24"/>
                <w:szCs w:val="24"/>
              </w:rPr>
              <w:tab/>
            </w:r>
            <w:r w:rsidR="00024835" w:rsidRPr="00024835">
              <w:rPr>
                <w:rStyle w:val="Hyperlink"/>
                <w:rFonts w:asciiTheme="majorBidi" w:hAnsiTheme="majorBidi" w:cstheme="majorBidi"/>
                <w:noProof/>
                <w:sz w:val="24"/>
                <w:szCs w:val="24"/>
              </w:rPr>
              <w:t>Conclusion</w:t>
            </w:r>
            <w:r w:rsidR="00024835" w:rsidRPr="00024835">
              <w:rPr>
                <w:rFonts w:asciiTheme="majorBidi" w:hAnsiTheme="majorBidi" w:cstheme="majorBidi"/>
                <w:noProof/>
                <w:webHidden/>
                <w:sz w:val="24"/>
                <w:szCs w:val="24"/>
              </w:rPr>
              <w:tab/>
            </w:r>
            <w:r w:rsidR="00024835" w:rsidRPr="00024835">
              <w:rPr>
                <w:rFonts w:asciiTheme="majorBidi" w:hAnsiTheme="majorBidi" w:cstheme="majorBidi"/>
                <w:noProof/>
                <w:webHidden/>
                <w:sz w:val="24"/>
                <w:szCs w:val="24"/>
              </w:rPr>
              <w:fldChar w:fldCharType="begin"/>
            </w:r>
            <w:r w:rsidR="00024835" w:rsidRPr="00024835">
              <w:rPr>
                <w:rFonts w:asciiTheme="majorBidi" w:hAnsiTheme="majorBidi" w:cstheme="majorBidi"/>
                <w:noProof/>
                <w:webHidden/>
                <w:sz w:val="24"/>
                <w:szCs w:val="24"/>
              </w:rPr>
              <w:instrText xml:space="preserve"> PAGEREF _Toc137645817 \h </w:instrText>
            </w:r>
            <w:r w:rsidR="00024835" w:rsidRPr="00024835">
              <w:rPr>
                <w:rFonts w:asciiTheme="majorBidi" w:hAnsiTheme="majorBidi" w:cstheme="majorBidi"/>
                <w:noProof/>
                <w:webHidden/>
                <w:sz w:val="24"/>
                <w:szCs w:val="24"/>
              </w:rPr>
            </w:r>
            <w:r w:rsidR="00024835" w:rsidRPr="00024835">
              <w:rPr>
                <w:rFonts w:asciiTheme="majorBidi" w:hAnsiTheme="majorBidi" w:cstheme="majorBidi"/>
                <w:noProof/>
                <w:webHidden/>
                <w:sz w:val="24"/>
                <w:szCs w:val="24"/>
              </w:rPr>
              <w:fldChar w:fldCharType="separate"/>
            </w:r>
            <w:r w:rsidR="00024835" w:rsidRPr="00024835">
              <w:rPr>
                <w:rFonts w:asciiTheme="majorBidi" w:hAnsiTheme="majorBidi" w:cstheme="majorBidi"/>
                <w:noProof/>
                <w:webHidden/>
                <w:sz w:val="24"/>
                <w:szCs w:val="24"/>
              </w:rPr>
              <w:t>25</w:t>
            </w:r>
            <w:r w:rsidR="00024835" w:rsidRPr="00024835">
              <w:rPr>
                <w:rFonts w:asciiTheme="majorBidi" w:hAnsiTheme="majorBidi" w:cstheme="majorBidi"/>
                <w:noProof/>
                <w:webHidden/>
                <w:sz w:val="24"/>
                <w:szCs w:val="24"/>
              </w:rPr>
              <w:fldChar w:fldCharType="end"/>
            </w:r>
          </w:hyperlink>
        </w:p>
        <w:p w14:paraId="21F0EC23" w14:textId="417F306F" w:rsidR="00024835" w:rsidRDefault="00024835" w:rsidP="00024835">
          <w:pPr>
            <w:spacing w:line="360" w:lineRule="auto"/>
          </w:pPr>
          <w:r w:rsidRPr="00024835">
            <w:rPr>
              <w:rFonts w:asciiTheme="majorBidi" w:hAnsiTheme="majorBidi" w:cstheme="majorBidi"/>
              <w:sz w:val="24"/>
              <w:szCs w:val="24"/>
            </w:rPr>
            <w:fldChar w:fldCharType="end"/>
          </w:r>
        </w:p>
      </w:sdtContent>
    </w:sdt>
    <w:p w14:paraId="1731B16E" w14:textId="5E0B360C" w:rsidR="00024835" w:rsidRDefault="00024835">
      <w:pPr>
        <w:rPr>
          <w:rFonts w:asciiTheme="majorBidi" w:hAnsiTheme="majorBidi" w:cstheme="majorBidi"/>
          <w:b/>
          <w:bCs/>
          <w:sz w:val="24"/>
          <w:szCs w:val="24"/>
          <w:u w:val="single"/>
        </w:rPr>
      </w:pPr>
      <w:r>
        <w:rPr>
          <w:rFonts w:asciiTheme="majorBidi" w:hAnsiTheme="majorBidi" w:cstheme="majorBidi"/>
          <w:b/>
          <w:bCs/>
          <w:sz w:val="24"/>
          <w:szCs w:val="24"/>
          <w:u w:val="single"/>
        </w:rPr>
        <w:br w:type="page"/>
      </w:r>
    </w:p>
    <w:p w14:paraId="08AF22EA" w14:textId="77777777" w:rsidR="00402DC2" w:rsidRDefault="00402DC2">
      <w:pPr>
        <w:rPr>
          <w:rFonts w:asciiTheme="majorBidi" w:hAnsiTheme="majorBidi" w:cstheme="majorBidi"/>
          <w:b/>
          <w:bCs/>
          <w:sz w:val="24"/>
          <w:szCs w:val="24"/>
          <w:u w:val="single"/>
        </w:rPr>
      </w:pPr>
    </w:p>
    <w:p w14:paraId="0F2AAC17" w14:textId="75BEBCCC" w:rsidR="002F76FA" w:rsidRPr="005A15A2" w:rsidRDefault="002F76FA" w:rsidP="00F42599">
      <w:pPr>
        <w:pStyle w:val="Heading1"/>
      </w:pPr>
      <w:bookmarkStart w:id="0" w:name="_Toc137645800"/>
      <w:r w:rsidRPr="005A15A2">
        <w:t>Introduction</w:t>
      </w:r>
      <w:bookmarkEnd w:id="0"/>
    </w:p>
    <w:p w14:paraId="581D7CEF" w14:textId="7E5B6B4F" w:rsidR="00734818" w:rsidRPr="005A15A2" w:rsidRDefault="00734818"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Access to clean and safe drinking water is paramount for maintaining optimal physical and mental well-being. In the context of Pakistan, where a significant portion of the population relies on groundwater aquifers and surface water sources such as rivers, lakes, and reservoirs, ensuring the safety and quality of drinking water is of utmost importance. The district of Gujrat in Punjab, Pakistan, faces unique challenges that hinder the maintenance of a clean and reliable water supply. Notably, the presence of sodium contamination in the district's water sources warrants a comprehensive health risk assessment and hydrochemical appraisal.</w:t>
      </w:r>
    </w:p>
    <w:p w14:paraId="3100F88C" w14:textId="0A5BC9DA" w:rsidR="00734818" w:rsidRPr="005A15A2" w:rsidRDefault="00734818"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The primary objective of this study is to explore the intricate relationship between sodium pollution and associated health risks, as well as to gain insights into the chemical composition of the water sources in District Gujrat. By investigating the levels of sodium in drinking water and its implications, this study aims to contribute evidence-based strategies for safeguarding public health and fostering sustainable water management practices.</w:t>
      </w:r>
    </w:p>
    <w:p w14:paraId="31380991" w14:textId="3F1100E3" w:rsidR="00734818" w:rsidRPr="005A15A2" w:rsidRDefault="00734818"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Sodium is an essential mineral required by the human body in limited quantities. However, elevated levels of sodium in the water supply can have detrimental effects on individuals' well-being, particularly for those with pre-existing conditions such as hypertension or cardiovascular diseases. Hence, conducting a comprehensive health risk assessment is vital to ascertain the potential impact of sodium contamination on the local population's health.</w:t>
      </w:r>
    </w:p>
    <w:p w14:paraId="52EAB305" w14:textId="3C5C6164" w:rsidR="00734818" w:rsidRPr="005A15A2" w:rsidRDefault="00734818"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Furthermore, a thorough hydrochemical assessment is imperative to determine the composition and characteristics of the water sources in District Gujrat. This evaluation encompasses various factors, including pH levels, electrical conductivity, total dissolved solids, and specific ions such as sodium. By scrutinizing the hydrochemical properties of the water, valuable insights can be gained regarding the sources and mechanisms of sodium contamination, differentiating between natural geological processes and anthropogenic activities.</w:t>
      </w:r>
    </w:p>
    <w:p w14:paraId="57F064EB" w14:textId="77777777" w:rsidR="00734818" w:rsidRPr="005A15A2" w:rsidRDefault="00734818"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The findings derived from this health risk assessment and hydrochemical appraisal will provide crucial guidance for policymakers, water management authorities, and public health officials in formulating effective strategies to address sodium contamination and mitigate associated health risks. Ultimately, the objective is to ensure that the residents of District Gujrat have access to safe and clean drinking water. Moreover, the outcomes of this study aim to promote sustainable water management practices, enhance public health protection measures, and enhance the overall quality of life in the region.</w:t>
      </w:r>
    </w:p>
    <w:p w14:paraId="168576C7" w14:textId="64E8F448" w:rsidR="002F76FA" w:rsidRPr="005A15A2" w:rsidRDefault="002F76FA" w:rsidP="00F42599">
      <w:pPr>
        <w:pStyle w:val="Heading1"/>
      </w:pPr>
      <w:bookmarkStart w:id="1" w:name="_Toc137645801"/>
      <w:r w:rsidRPr="005A15A2">
        <w:t>Study Area</w:t>
      </w:r>
      <w:bookmarkEnd w:id="1"/>
    </w:p>
    <w:p w14:paraId="607E14A1" w14:textId="6BD38F07" w:rsidR="007F11AA" w:rsidRPr="005A15A2" w:rsidRDefault="007F11AA"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This study centers around District Gujrat, located in Punjab, Pakistan. District Gujrat comprises three tehsils, each with distinct characteristics. These are Kharianwala, Sara-e-Alamgir, and Gujrat.</w:t>
      </w:r>
    </w:p>
    <w:p w14:paraId="38B38AB2" w14:textId="2E22EFB6" w:rsidR="007F11AA" w:rsidRPr="005A15A2" w:rsidRDefault="007F11AA"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Gujrat, along with Fatehpur Sikri and Dipalpur, stands as one of the three historical towns in the subcontinent that were intentionally planned before their construction. Unlike Dipalpur, which was established to accommodate the royal army, or Fatehpur Sikri, conceived as the imperial capital, Gujrat was initially designed as a town for the common people. Situated atop a small mound, clearly visible from the Grand Trunk Road, it lies approximately five miles north of the meandering loops of Chenab River. The mound is believed to hold the remnants of at least two previous towns, with the more recent one thought to have been destroyed by the Mongols during the reign of Alauddin Khilji. At the command of the Mughal emperor Akbar, the current town was built, fortified with a thick wall, and garrisoned with Gujars. It was named Gujar Akbarabad. In the seventeenth century, Gujrat thrived as a prominent trade center and boasted a vibrant craft tradition. In 1849, Gujrat was designated as the district headquarters.</w:t>
      </w:r>
    </w:p>
    <w:p w14:paraId="200C11D2" w14:textId="5ADCABE0" w:rsidR="007F11AA" w:rsidRPr="005A15A2" w:rsidRDefault="007F11AA"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Gujrat holds a distinctive status within Punjab due to its manufacturing capabilities and production capacities. The district is home to approximately 1,059 industrial units operating at various scales, including cottage-level, small, medium, and large enterprises. Notably, Jalalpur Jattan, a major town in Gujrat, houses numerous textile industrial units of varying sizes. Additionally, the district accommodates a range of other industrial facilities involved in the production of electrical goods (such as fans), electric motors, earthen utensils, shoes, rubber tire tubes, sanitary ware, rice cleaning mills, and furniture. The high-quality furniture produced in Gujrat has been utilized in the National and Provincial Assemblies.</w:t>
      </w:r>
    </w:p>
    <w:p w14:paraId="41C6B81C" w14:textId="70CE72CB" w:rsidR="007F11AA" w:rsidRPr="005A15A2" w:rsidRDefault="007F11AA"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 xml:space="preserve">Gujrat is an ancient city of Pakistan located between two famous rivers, Jhelum River and Chenab River. It is bounded to the northeast by Azad Kashmir; to the northwest by the Jhelum River; to the east and southeast by the Chenab River, separating it from the districts of Gujranwala and Sialkot; and to the west by Mandi Bahauddin District. Gujrat consists of three tehsils: Sarai Alamgir, Kharianwala and Gujrat. </w:t>
      </w:r>
    </w:p>
    <w:p w14:paraId="6EE815CC" w14:textId="77777777" w:rsidR="00F42599" w:rsidRDefault="002F76FA" w:rsidP="00F42599">
      <w:pPr>
        <w:keepNext/>
        <w:spacing w:line="360" w:lineRule="auto"/>
        <w:jc w:val="center"/>
      </w:pPr>
      <w:r w:rsidRPr="005A15A2">
        <w:rPr>
          <w:rFonts w:asciiTheme="majorBidi" w:hAnsiTheme="majorBidi" w:cstheme="majorBidi"/>
          <w:noProof/>
          <w:sz w:val="24"/>
          <w:szCs w:val="24"/>
        </w:rPr>
        <w:drawing>
          <wp:inline distT="0" distB="0" distL="0" distR="0" wp14:anchorId="444FC78C" wp14:editId="4476FCDD">
            <wp:extent cx="5560060" cy="3463290"/>
            <wp:effectExtent l="19050" t="19050" r="21590" b="22860"/>
            <wp:docPr id="100807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7619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566185" cy="3467105"/>
                    </a:xfrm>
                    <a:prstGeom prst="rect">
                      <a:avLst/>
                    </a:prstGeom>
                    <a:noFill/>
                    <a:ln>
                      <a:solidFill>
                        <a:schemeClr val="tx1"/>
                      </a:solidFill>
                    </a:ln>
                  </pic:spPr>
                </pic:pic>
              </a:graphicData>
            </a:graphic>
          </wp:inline>
        </w:drawing>
      </w:r>
    </w:p>
    <w:p w14:paraId="614EF156" w14:textId="1E63712B" w:rsidR="002F76FA" w:rsidRPr="00F42599" w:rsidRDefault="00F42599" w:rsidP="00F42599">
      <w:pPr>
        <w:pStyle w:val="Caption"/>
        <w:jc w:val="center"/>
        <w:rPr>
          <w:rFonts w:asciiTheme="majorBidi" w:hAnsiTheme="majorBidi" w:cstheme="majorBidi"/>
          <w:sz w:val="36"/>
          <w:szCs w:val="36"/>
        </w:rPr>
      </w:pPr>
      <w:r w:rsidRPr="00F42599">
        <w:rPr>
          <w:sz w:val="24"/>
          <w:szCs w:val="24"/>
        </w:rPr>
        <w:t xml:space="preserve">Figure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2</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Figure \* ARABIC \s 1 </w:instrText>
      </w:r>
      <w:r w:rsidR="005425B2">
        <w:rPr>
          <w:sz w:val="24"/>
          <w:szCs w:val="24"/>
        </w:rPr>
        <w:fldChar w:fldCharType="separate"/>
      </w:r>
      <w:r w:rsidR="005425B2">
        <w:rPr>
          <w:noProof/>
          <w:sz w:val="24"/>
          <w:szCs w:val="24"/>
        </w:rPr>
        <w:t>1</w:t>
      </w:r>
      <w:r w:rsidR="005425B2">
        <w:rPr>
          <w:sz w:val="24"/>
          <w:szCs w:val="24"/>
        </w:rPr>
        <w:fldChar w:fldCharType="end"/>
      </w:r>
      <w:r w:rsidRPr="00F42599">
        <w:rPr>
          <w:sz w:val="24"/>
          <w:szCs w:val="24"/>
        </w:rPr>
        <w:t>: Location of Study Area</w:t>
      </w:r>
    </w:p>
    <w:p w14:paraId="2C8D5B64" w14:textId="335D588E" w:rsidR="002F76FA" w:rsidRPr="005A15A2" w:rsidRDefault="002F76FA" w:rsidP="00F42599">
      <w:pPr>
        <w:pStyle w:val="Heading2"/>
      </w:pPr>
      <w:bookmarkStart w:id="2" w:name="_Toc137645802"/>
      <w:r w:rsidRPr="005A15A2">
        <w:t xml:space="preserve">Geology of </w:t>
      </w:r>
      <w:r w:rsidR="00650D55" w:rsidRPr="005A15A2">
        <w:t>Gujrat</w:t>
      </w:r>
      <w:bookmarkEnd w:id="2"/>
    </w:p>
    <w:p w14:paraId="79F3745C" w14:textId="6FE57EFD" w:rsidR="0097047A" w:rsidRPr="00CE3BB1" w:rsidRDefault="0097047A" w:rsidP="005A15A2">
      <w:pPr>
        <w:pStyle w:val="NormalWeb"/>
        <w:spacing w:line="360" w:lineRule="auto"/>
        <w:jc w:val="both"/>
        <w:rPr>
          <w:rFonts w:asciiTheme="majorBidi" w:hAnsiTheme="majorBidi" w:cstheme="majorBidi"/>
        </w:rPr>
      </w:pPr>
      <w:r w:rsidRPr="005A15A2">
        <w:rPr>
          <w:rFonts w:asciiTheme="majorBidi" w:hAnsiTheme="majorBidi" w:cstheme="majorBidi"/>
        </w:rPr>
        <w:t>The study area in question encompasses a vast and dynamic sedimentary basin known as the Potwar basin, located within the Punjab province of Pakistan. This region is characterized by a diverse range of geological formations, including Himalayan molasse sediments, inundated stream and flood plain deposits, terrigenous sedimentary rocks, and older terrace sediments. The geological composition of the area consists of various materials such as clay, sandy clay, dry sandy soil, gravels, and boulders</w:t>
      </w:r>
      <w:r w:rsidR="00CE3BB1">
        <w:rPr>
          <w:rFonts w:asciiTheme="majorBidi" w:hAnsiTheme="majorBidi" w:cstheme="majorBidi"/>
        </w:rPr>
        <w:t>.</w:t>
      </w:r>
    </w:p>
    <w:p w14:paraId="0BC3DDD1" w14:textId="77777777" w:rsidR="0097047A" w:rsidRPr="005A15A2" w:rsidRDefault="0097047A" w:rsidP="005A15A2">
      <w:pPr>
        <w:pStyle w:val="NormalWeb"/>
        <w:spacing w:line="360" w:lineRule="auto"/>
        <w:jc w:val="both"/>
        <w:rPr>
          <w:rFonts w:asciiTheme="majorBidi" w:hAnsiTheme="majorBidi" w:cstheme="majorBidi"/>
        </w:rPr>
      </w:pPr>
      <w:r w:rsidRPr="005A15A2">
        <w:rPr>
          <w:rFonts w:asciiTheme="majorBidi" w:hAnsiTheme="majorBidi" w:cstheme="majorBidi"/>
        </w:rPr>
        <w:t>The molasse deposits found here can be broadly classified into two main groups: the Rawalpindi group and the Siwalik group. The Rawalpindi group, which dates back to the Miocene age, further comprises two formations: the Murree Formation and the Kamlial Formation. The Murree Formation is characterized by cyclic deposition of clay and sandstone, while the Kamlial Formation is predominantly composed of sandstone.</w:t>
      </w:r>
    </w:p>
    <w:p w14:paraId="3F6FF892" w14:textId="3812B5CB" w:rsidR="0097047A" w:rsidRPr="005A15A2" w:rsidRDefault="0097047A" w:rsidP="005A15A2">
      <w:pPr>
        <w:pStyle w:val="NormalWeb"/>
        <w:spacing w:line="360" w:lineRule="auto"/>
        <w:jc w:val="both"/>
        <w:rPr>
          <w:rFonts w:asciiTheme="majorBidi" w:hAnsiTheme="majorBidi" w:cstheme="majorBidi"/>
        </w:rPr>
      </w:pPr>
      <w:r w:rsidRPr="005A15A2">
        <w:rPr>
          <w:rFonts w:asciiTheme="majorBidi" w:hAnsiTheme="majorBidi" w:cstheme="majorBidi"/>
        </w:rPr>
        <w:t>On the other hand, the Siwalik group, which originated during the Pleistocene age, consists of four formations: the Chinji Formation, the Nagri Formation, the Dhok Pathan Formation, and the Soan Formation. The Chinji Formation primarily consists of 70% clays and 30% friable sandstone, whereas the Nagri Formation exhibits a composition of 30% clay and 70% sandstone. Similarly, the Dhok Pathan Formation presents an equal distribution of 50% clay and 50% sandstone. Lastly, the Soan Formation represents the most recent deposits, characterized by conglomerates (Shah, 2009). It is worth noting that the recent alluvium deposits form the uppermost layer of the geological composition in the area. These deposits are composed of patches of clay, sand, silt, gravels, and boulders.</w:t>
      </w:r>
    </w:p>
    <w:p w14:paraId="1A72B7FB" w14:textId="64F6D94F" w:rsidR="002F76FA" w:rsidRPr="005A15A2" w:rsidRDefault="0097047A" w:rsidP="005A15A2">
      <w:pPr>
        <w:pStyle w:val="NormalWeb"/>
        <w:spacing w:line="360" w:lineRule="auto"/>
        <w:jc w:val="both"/>
        <w:rPr>
          <w:rFonts w:asciiTheme="majorBidi" w:hAnsiTheme="majorBidi" w:cstheme="majorBidi"/>
        </w:rPr>
      </w:pPr>
      <w:r w:rsidRPr="005A15A2">
        <w:rPr>
          <w:rFonts w:asciiTheme="majorBidi" w:hAnsiTheme="majorBidi" w:cstheme="majorBidi"/>
        </w:rPr>
        <w:t>The geological landscape of Gujrat is a captivating amalgamation of diverse sedimentary formations and deposits. The intricate interplay between the Rawalpindi group and the Siwalik group, along with the presence of alluvium deposits, paints a vivid picture of the geological history that has shaped this region over time</w:t>
      </w:r>
      <w:r w:rsidR="002F76FA" w:rsidRPr="005A15A2">
        <w:rPr>
          <w:rFonts w:asciiTheme="majorBidi" w:hAnsiTheme="majorBidi" w:cstheme="majorBidi"/>
        </w:rPr>
        <w:t>.</w:t>
      </w:r>
    </w:p>
    <w:p w14:paraId="3E08C55E" w14:textId="77777777" w:rsidR="002F76FA" w:rsidRPr="005A15A2" w:rsidRDefault="002F76FA" w:rsidP="00F42599">
      <w:pPr>
        <w:pStyle w:val="Heading2"/>
      </w:pPr>
      <w:bookmarkStart w:id="3" w:name="_Toc137645803"/>
      <w:r w:rsidRPr="005A15A2">
        <w:t>Hydrogeology and aquifer systems</w:t>
      </w:r>
      <w:bookmarkEnd w:id="3"/>
    </w:p>
    <w:p w14:paraId="51990022" w14:textId="2F2F0B02" w:rsidR="006C4472" w:rsidRPr="005A15A2" w:rsidRDefault="006C4472" w:rsidP="005A15A2">
      <w:pPr>
        <w:pStyle w:val="NormalWeb"/>
        <w:spacing w:line="360" w:lineRule="auto"/>
        <w:jc w:val="both"/>
        <w:rPr>
          <w:rFonts w:asciiTheme="majorBidi" w:hAnsiTheme="majorBidi" w:cstheme="majorBidi"/>
        </w:rPr>
      </w:pPr>
      <w:r w:rsidRPr="005A15A2">
        <w:rPr>
          <w:rFonts w:asciiTheme="majorBidi" w:hAnsiTheme="majorBidi" w:cstheme="majorBidi"/>
        </w:rPr>
        <w:t>Gujrat encompasses a diverse range of terrigenous sedimentary rocks, including stream deposits, flood plain deposits, detrital sedimentary rocks, and the prominent Siwalik group of rocks. These sediments coexist in varying proportions, creating a complex interplay between sandy clay and clayey sand. It is worth noting that the sand, gravel, and their mixtures within these formations serve as significant water-bearing strata, thus exhibiting relatively enduring water production potential.</w:t>
      </w:r>
    </w:p>
    <w:p w14:paraId="75A6F4E3" w14:textId="77777777" w:rsidR="006C4472" w:rsidRPr="005A15A2" w:rsidRDefault="006C4472" w:rsidP="005A15A2">
      <w:pPr>
        <w:pStyle w:val="NormalWeb"/>
        <w:spacing w:line="360" w:lineRule="auto"/>
        <w:jc w:val="both"/>
        <w:rPr>
          <w:rFonts w:asciiTheme="majorBidi" w:hAnsiTheme="majorBidi" w:cstheme="majorBidi"/>
        </w:rPr>
      </w:pPr>
      <w:r w:rsidRPr="005A15A2">
        <w:rPr>
          <w:rFonts w:asciiTheme="majorBidi" w:hAnsiTheme="majorBidi" w:cstheme="majorBidi"/>
        </w:rPr>
        <w:t>Within the research area, the Siwalik Group of rock formations also makes its presence felt. The sandstone within these formations possesses a soft texture, rendering it suitable for water storage purposes. Conversely, the clays act as barriers, impeding groundwater storage in the subsurface. The aquifers in this region predominantly exhibit confined characteristics, with certain localized areas manifesting unconfined aquifers featuring a top layer composed of gravels and boulders.</w:t>
      </w:r>
    </w:p>
    <w:p w14:paraId="210D8ED2" w14:textId="1F281466" w:rsidR="006C4472" w:rsidRPr="005A15A2" w:rsidRDefault="006C4472" w:rsidP="005A15A2">
      <w:pPr>
        <w:pStyle w:val="NormalWeb"/>
        <w:spacing w:line="360" w:lineRule="auto"/>
        <w:jc w:val="both"/>
        <w:rPr>
          <w:rFonts w:asciiTheme="majorBidi" w:hAnsiTheme="majorBidi" w:cstheme="majorBidi"/>
        </w:rPr>
      </w:pPr>
      <w:r w:rsidRPr="005A15A2">
        <w:rPr>
          <w:rFonts w:asciiTheme="majorBidi" w:hAnsiTheme="majorBidi" w:cstheme="majorBidi"/>
        </w:rPr>
        <w:t>Furthermore, the aquifers within this region experience recharging primarily through effective infiltrations and seasonal tributaries that drain the area. Notably, the region receives an annual rainfall of approximately 1033 mm, as recorded by climate-data.org. Additionally, the majestic Jhelum River gracefully traverses the north</w:t>
      </w:r>
      <w:r w:rsidR="00DC1D56">
        <w:rPr>
          <w:rFonts w:asciiTheme="majorBidi" w:hAnsiTheme="majorBidi" w:cstheme="majorBidi"/>
        </w:rPr>
        <w:t xml:space="preserve"> </w:t>
      </w:r>
      <w:r w:rsidRPr="005A15A2">
        <w:rPr>
          <w:rFonts w:asciiTheme="majorBidi" w:hAnsiTheme="majorBidi" w:cstheme="majorBidi"/>
        </w:rPr>
        <w:t>western part of the area, while several canals branching out from the river enhance the hydrological network within the region. These water bodies, alongside the seasonal drainage patterns, serve as the primary sources of recharging the subsurface aquifers, sustaining their water levels.</w:t>
      </w:r>
    </w:p>
    <w:p w14:paraId="202CC690" w14:textId="77777777" w:rsidR="006C4472" w:rsidRPr="005A15A2" w:rsidRDefault="006C4472" w:rsidP="005A15A2">
      <w:pPr>
        <w:pStyle w:val="NormalWeb"/>
        <w:spacing w:line="360" w:lineRule="auto"/>
        <w:jc w:val="both"/>
        <w:rPr>
          <w:rFonts w:asciiTheme="majorBidi" w:hAnsiTheme="majorBidi" w:cstheme="majorBidi"/>
        </w:rPr>
      </w:pPr>
      <w:r w:rsidRPr="005A15A2">
        <w:rPr>
          <w:rFonts w:asciiTheme="majorBidi" w:hAnsiTheme="majorBidi" w:cstheme="majorBidi"/>
        </w:rPr>
        <w:t>The climatic conditions in the area contribute to unique dynamics, as the lingering heat from the sun during summer evenings influences the hydrological processes. Consequently, the water table within the research area experiences fluctuations, intricately tied to the seasonal patterns of recharging.</w:t>
      </w:r>
    </w:p>
    <w:p w14:paraId="70CA4598" w14:textId="216D3B47" w:rsidR="006C4472" w:rsidRPr="005A15A2" w:rsidRDefault="006C4472" w:rsidP="005A15A2">
      <w:pPr>
        <w:pStyle w:val="NormalWeb"/>
        <w:spacing w:line="360" w:lineRule="auto"/>
        <w:jc w:val="both"/>
        <w:rPr>
          <w:rFonts w:asciiTheme="majorBidi" w:hAnsiTheme="majorBidi" w:cstheme="majorBidi"/>
        </w:rPr>
      </w:pPr>
      <w:r w:rsidRPr="005A15A2">
        <w:rPr>
          <w:rFonts w:asciiTheme="majorBidi" w:hAnsiTheme="majorBidi" w:cstheme="majorBidi"/>
        </w:rPr>
        <w:t>Gujrat presents a captivating geological composition, characterized by a blend of diverse terrigenous sedimentary rocks and the influential Siwalik group formations. The intricate interplay between sandy clay and clayey sand offers valuable insights into the subsurface hydrological dynamics. The aquifers, both confined and unconfined, contribute significantly to water production, with recharging primarily driven by effective infiltrations and the presence of various water bodies, including the Jhelum River and its associated canals. Understanding the delicate balance between geological formations, hydrological processes, and climatic influences is crucial in comprehending the water resource potential and sustainability within this remarkable region.</w:t>
      </w:r>
    </w:p>
    <w:p w14:paraId="68FC5537" w14:textId="077EDE62" w:rsidR="009D6ADE" w:rsidRPr="005A15A2" w:rsidRDefault="008C002E" w:rsidP="00F42599">
      <w:pPr>
        <w:pStyle w:val="Heading1"/>
      </w:pPr>
      <w:bookmarkStart w:id="4" w:name="_Toc137645804"/>
      <w:r w:rsidRPr="005A15A2">
        <w:t>Data and Methodology:</w:t>
      </w:r>
      <w:bookmarkEnd w:id="4"/>
    </w:p>
    <w:p w14:paraId="357B7E8B" w14:textId="77777777" w:rsidR="00ED47BE" w:rsidRPr="005A15A2" w:rsidRDefault="00ED47BE" w:rsidP="005A15A2">
      <w:pPr>
        <w:pStyle w:val="NormalWeb"/>
        <w:spacing w:line="360" w:lineRule="auto"/>
        <w:jc w:val="both"/>
        <w:rPr>
          <w:rFonts w:asciiTheme="majorBidi" w:hAnsiTheme="majorBidi" w:cstheme="majorBidi"/>
        </w:rPr>
      </w:pPr>
      <w:r w:rsidRPr="005A15A2">
        <w:rPr>
          <w:rFonts w:asciiTheme="majorBidi" w:hAnsiTheme="majorBidi" w:cstheme="majorBidi"/>
        </w:rPr>
        <w:t>The present study conducted in the district of Gujrat involved a meticulous collection of 407 water samples for thorough analysis. Among the three tehsils surveyed, Tehsil Gujrat accounted for the highest number of samples (217), followed by tehsil Kharianwala (147) and tehsil Sara-e-Alamgir (43). These samples were strategically collected in proximity to water lines or river lines, ensuring a representative dataset for analysis. Polythene bottles, thoroughly cleaned with distilled water and nitric acid solution, were utilized as the collection containers. Prior to sampling, wells were pumped for 10-15 minutes to obtain water that best reflected the current hydrological conditions.</w:t>
      </w:r>
    </w:p>
    <w:p w14:paraId="5DB258E9" w14:textId="14AA762F" w:rsidR="00ED47BE" w:rsidRPr="005A15A2" w:rsidRDefault="00DC1D56" w:rsidP="005A15A2">
      <w:pPr>
        <w:pStyle w:val="NormalWeb"/>
        <w:spacing w:line="360" w:lineRule="auto"/>
        <w:jc w:val="both"/>
        <w:rPr>
          <w:rFonts w:asciiTheme="majorBidi" w:hAnsiTheme="majorBidi" w:cstheme="majorBidi"/>
        </w:rPr>
      </w:pPr>
      <w:r w:rsidRPr="005A15A2">
        <w:rPr>
          <w:rFonts w:asciiTheme="majorBidi" w:hAnsiTheme="majorBidi" w:cstheme="majorBidi"/>
        </w:rPr>
        <w:t>To</w:t>
      </w:r>
      <w:r w:rsidR="00ED47BE" w:rsidRPr="005A15A2">
        <w:rPr>
          <w:rFonts w:asciiTheme="majorBidi" w:hAnsiTheme="majorBidi" w:cstheme="majorBidi"/>
        </w:rPr>
        <w:t xml:space="preserve"> gain immediate insights into the physiochemical characteristics of the collected samples, in-situ measurements were conducted using portable meters to determine Total Dissolved Solids (TDS), Electrical Conductivity (EC), and pH values. These measurements were essential in gauging the overall quality and composition of the water samples.</w:t>
      </w:r>
    </w:p>
    <w:p w14:paraId="1E09C840" w14:textId="77777777" w:rsidR="00ED47BE" w:rsidRPr="005A15A2" w:rsidRDefault="00ED47BE" w:rsidP="005A15A2">
      <w:pPr>
        <w:pStyle w:val="NormalWeb"/>
        <w:spacing w:line="360" w:lineRule="auto"/>
        <w:jc w:val="both"/>
        <w:rPr>
          <w:rFonts w:asciiTheme="majorBidi" w:hAnsiTheme="majorBidi" w:cstheme="majorBidi"/>
        </w:rPr>
      </w:pPr>
      <w:r w:rsidRPr="005A15A2">
        <w:rPr>
          <w:rFonts w:asciiTheme="majorBidi" w:hAnsiTheme="majorBidi" w:cstheme="majorBidi"/>
        </w:rPr>
        <w:t>Following the collection phase, the samples were diligently labeled with the respective date and location information and expeditiously transferred to the laboratory for further analysis. The lab analysis primarily focused on determining the concentrations of cations, such as Sodium (Na+), Potassium (K+), Magnesium (Mg), and Calcium (Ca), which were quantified using a flame photometer. Additionally, the presence of arsenic was detected using an atomic absorption spectrometer. For the quantification of certain anions, including Fluoride (F-), Chloride (Cl-), Bicarbonate (HCO3-), and Carbonate (CO3), the titration method was employed.</w:t>
      </w:r>
    </w:p>
    <w:p w14:paraId="7853FE69" w14:textId="77777777" w:rsidR="00ED47BE" w:rsidRPr="005A15A2" w:rsidRDefault="00ED47BE" w:rsidP="005A15A2">
      <w:pPr>
        <w:pStyle w:val="NormalWeb"/>
        <w:spacing w:line="360" w:lineRule="auto"/>
        <w:jc w:val="both"/>
        <w:rPr>
          <w:rFonts w:asciiTheme="majorBidi" w:hAnsiTheme="majorBidi" w:cstheme="majorBidi"/>
        </w:rPr>
      </w:pPr>
      <w:r w:rsidRPr="005A15A2">
        <w:rPr>
          <w:rFonts w:asciiTheme="majorBidi" w:hAnsiTheme="majorBidi" w:cstheme="majorBidi"/>
        </w:rPr>
        <w:t>The collected data was subjected to comprehensive statistical analysis, which encompassed calculating the minimum, maximum, and average values of the physiochemical parameters. Furthermore, the obtained ion concentrations were compared against the limits prescribed by the World Health Organization (WHO), ensuring a robust evaluation of the water quality.</w:t>
      </w:r>
    </w:p>
    <w:p w14:paraId="49540711" w14:textId="77777777" w:rsidR="00ED47BE" w:rsidRPr="005A15A2" w:rsidRDefault="00ED47BE" w:rsidP="005A15A2">
      <w:pPr>
        <w:pStyle w:val="NormalWeb"/>
        <w:spacing w:line="360" w:lineRule="auto"/>
        <w:jc w:val="both"/>
        <w:rPr>
          <w:rFonts w:asciiTheme="majorBidi" w:hAnsiTheme="majorBidi" w:cstheme="majorBidi"/>
        </w:rPr>
      </w:pPr>
      <w:r w:rsidRPr="005A15A2">
        <w:rPr>
          <w:rFonts w:asciiTheme="majorBidi" w:hAnsiTheme="majorBidi" w:cstheme="majorBidi"/>
        </w:rPr>
        <w:t>To visually interpret the distribution of ions within the water samples, two graphical methods were employed: the Piper plot and the Gibbs plot. The Piper plot, composed of two triangles representing major cations (Ca, Mg, Na+K) and major anions (SO4, Cl, HCO3- + CO3), respectively, allowed for a comprehensive visualization of the ion compositions. The diamond shape in the plot represented the combined presence of both anions and cations. Conversely, the Gibbs plot considered various climatic conditions that influenced the water chemistry in the study area. It classified the water chemistry into five distinct classes: evaporation dominance, evaporation crystallization dominance, rock dominance, atmospheric precipitation dominance, and rainfall dominance. These graphical representations proved invaluable in discerning patterns and trends within the water chemistry dataset.</w:t>
      </w:r>
    </w:p>
    <w:p w14:paraId="379FFA02" w14:textId="3B63A680" w:rsidR="00ED47BE" w:rsidRPr="005A15A2" w:rsidRDefault="00ED47BE" w:rsidP="005A15A2">
      <w:pPr>
        <w:pStyle w:val="NormalWeb"/>
        <w:spacing w:line="360" w:lineRule="auto"/>
        <w:jc w:val="both"/>
        <w:rPr>
          <w:rFonts w:asciiTheme="majorBidi" w:hAnsiTheme="majorBidi" w:cstheme="majorBidi"/>
        </w:rPr>
      </w:pPr>
      <w:r w:rsidRPr="005A15A2">
        <w:rPr>
          <w:rFonts w:asciiTheme="majorBidi" w:hAnsiTheme="majorBidi" w:cstheme="majorBidi"/>
        </w:rPr>
        <w:t>By employing these rigorous analytical and graphical methodologies, the study shed light on the intricate water chemistry within the Gujrat district. The obtained results were effectively compared against the stringent standards set by the WHO, facilitating a comprehensive assessment of water quality. Such insights are crucial for formulating appropriate measures and interventions to ensure the provision of safe and potable water to the residents of Gujrat.</w:t>
      </w:r>
    </w:p>
    <w:p w14:paraId="416DC1CC" w14:textId="77777777" w:rsidR="006479DA" w:rsidRDefault="006479DA" w:rsidP="005A15A2">
      <w:pPr>
        <w:spacing w:line="360" w:lineRule="auto"/>
        <w:jc w:val="both"/>
        <w:rPr>
          <w:rFonts w:asciiTheme="majorBidi" w:hAnsiTheme="majorBidi" w:cstheme="majorBidi"/>
          <w:sz w:val="24"/>
          <w:szCs w:val="24"/>
        </w:rPr>
      </w:pPr>
    </w:p>
    <w:p w14:paraId="7FB83963" w14:textId="77777777" w:rsidR="00DC1D56" w:rsidRPr="005A15A2" w:rsidRDefault="00DC1D56" w:rsidP="005A15A2">
      <w:pPr>
        <w:spacing w:line="360" w:lineRule="auto"/>
        <w:jc w:val="both"/>
        <w:rPr>
          <w:rFonts w:asciiTheme="majorBidi" w:hAnsiTheme="majorBidi" w:cstheme="majorBidi"/>
          <w:sz w:val="24"/>
          <w:szCs w:val="24"/>
        </w:rPr>
      </w:pPr>
    </w:p>
    <w:p w14:paraId="01963412" w14:textId="175C7247" w:rsidR="00154CDB" w:rsidRPr="005A15A2" w:rsidRDefault="008A4C98" w:rsidP="00F42599">
      <w:pPr>
        <w:pStyle w:val="Heading1"/>
      </w:pPr>
      <w:bookmarkStart w:id="5" w:name="_Toc137645805"/>
      <w:r w:rsidRPr="005A15A2">
        <w:t>RESULTS:</w:t>
      </w:r>
      <w:bookmarkEnd w:id="5"/>
    </w:p>
    <w:p w14:paraId="4019CB1E" w14:textId="77777777" w:rsidR="008A4C98" w:rsidRPr="005A15A2" w:rsidRDefault="008A4C98" w:rsidP="00F42599">
      <w:pPr>
        <w:pStyle w:val="Heading2"/>
      </w:pPr>
      <w:bookmarkStart w:id="6" w:name="_Toc137645806"/>
      <w:r w:rsidRPr="005A15A2">
        <w:t>Hydrochemistry Of the Area</w:t>
      </w:r>
      <w:bookmarkEnd w:id="6"/>
    </w:p>
    <w:p w14:paraId="7FBF8B5D" w14:textId="335BF0AC" w:rsidR="008A4C98" w:rsidRPr="005A15A2" w:rsidRDefault="008A4C98"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The data contains 4</w:t>
      </w:r>
      <w:r w:rsidR="00ED47BE" w:rsidRPr="005A15A2">
        <w:rPr>
          <w:rFonts w:asciiTheme="majorBidi" w:hAnsiTheme="majorBidi" w:cstheme="majorBidi"/>
          <w:sz w:val="24"/>
          <w:szCs w:val="24"/>
        </w:rPr>
        <w:t>07</w:t>
      </w:r>
      <w:r w:rsidRPr="005A15A2">
        <w:rPr>
          <w:rFonts w:asciiTheme="majorBidi" w:hAnsiTheme="majorBidi" w:cstheme="majorBidi"/>
          <w:sz w:val="24"/>
          <w:szCs w:val="24"/>
        </w:rPr>
        <w:t xml:space="preserve"> total samples. Table 1 shows the values for physiochemical parameters along with the range of samples that lie within the limit standardized by the WHO (World Health Organization). The values for EC and TDS are</w:t>
      </w:r>
      <w:r w:rsidR="00ED47BE" w:rsidRPr="005A15A2">
        <w:rPr>
          <w:rFonts w:asciiTheme="majorBidi" w:hAnsiTheme="majorBidi" w:cstheme="majorBidi"/>
          <w:sz w:val="24"/>
          <w:szCs w:val="24"/>
        </w:rPr>
        <w:t xml:space="preserve"> also</w:t>
      </w:r>
      <w:r w:rsidRPr="005A15A2">
        <w:rPr>
          <w:rFonts w:asciiTheme="majorBidi" w:hAnsiTheme="majorBidi" w:cstheme="majorBidi"/>
          <w:sz w:val="24"/>
          <w:szCs w:val="24"/>
        </w:rPr>
        <w:t xml:space="preserve"> given in the table. For EC the samples within range of WHO standards are </w:t>
      </w:r>
      <w:r w:rsidR="00ED47BE" w:rsidRPr="005A15A2">
        <w:rPr>
          <w:rFonts w:asciiTheme="majorBidi" w:hAnsiTheme="majorBidi" w:cstheme="majorBidi"/>
          <w:sz w:val="24"/>
          <w:szCs w:val="24"/>
        </w:rPr>
        <w:t>95.82</w:t>
      </w:r>
      <w:r w:rsidRPr="005A15A2">
        <w:rPr>
          <w:rFonts w:asciiTheme="majorBidi" w:hAnsiTheme="majorBidi" w:cstheme="majorBidi"/>
          <w:sz w:val="24"/>
          <w:szCs w:val="24"/>
        </w:rPr>
        <w:t xml:space="preserve">% and out of limit are </w:t>
      </w:r>
      <w:r w:rsidR="00ED47BE" w:rsidRPr="005A15A2">
        <w:rPr>
          <w:rFonts w:asciiTheme="majorBidi" w:hAnsiTheme="majorBidi" w:cstheme="majorBidi"/>
          <w:sz w:val="24"/>
          <w:szCs w:val="24"/>
        </w:rPr>
        <w:t>4.18</w:t>
      </w:r>
      <w:r w:rsidRPr="005A15A2">
        <w:rPr>
          <w:rFonts w:asciiTheme="majorBidi" w:hAnsiTheme="majorBidi" w:cstheme="majorBidi"/>
          <w:sz w:val="24"/>
          <w:szCs w:val="24"/>
        </w:rPr>
        <w:t xml:space="preserve">%. Similarly, the percentage of sample within limits is </w:t>
      </w:r>
      <w:r w:rsidR="00ED47BE" w:rsidRPr="005A15A2">
        <w:rPr>
          <w:rFonts w:asciiTheme="majorBidi" w:hAnsiTheme="majorBidi" w:cstheme="majorBidi"/>
          <w:sz w:val="24"/>
          <w:szCs w:val="24"/>
        </w:rPr>
        <w:t>92.87</w:t>
      </w:r>
      <w:r w:rsidRPr="005A15A2">
        <w:rPr>
          <w:rFonts w:asciiTheme="majorBidi" w:hAnsiTheme="majorBidi" w:cstheme="majorBidi"/>
          <w:sz w:val="24"/>
          <w:szCs w:val="24"/>
        </w:rPr>
        <w:t>% and out of limit are 7</w:t>
      </w:r>
      <w:r w:rsidR="00ED47BE" w:rsidRPr="005A15A2">
        <w:rPr>
          <w:rFonts w:asciiTheme="majorBidi" w:hAnsiTheme="majorBidi" w:cstheme="majorBidi"/>
          <w:sz w:val="24"/>
          <w:szCs w:val="24"/>
        </w:rPr>
        <w:t>.13</w:t>
      </w:r>
      <w:r w:rsidRPr="005A15A2">
        <w:rPr>
          <w:rFonts w:asciiTheme="majorBidi" w:hAnsiTheme="majorBidi" w:cstheme="majorBidi"/>
          <w:sz w:val="24"/>
          <w:szCs w:val="24"/>
        </w:rPr>
        <w:t>% for TDS.</w:t>
      </w:r>
      <w:r w:rsidR="00ED47BE" w:rsidRPr="005A15A2">
        <w:rPr>
          <w:rFonts w:asciiTheme="majorBidi" w:hAnsiTheme="majorBidi" w:cstheme="majorBidi"/>
          <w:sz w:val="24"/>
          <w:szCs w:val="24"/>
        </w:rPr>
        <w:t xml:space="preserve"> </w:t>
      </w:r>
      <w:r w:rsidRPr="005A15A2">
        <w:rPr>
          <w:rFonts w:asciiTheme="majorBidi" w:hAnsiTheme="majorBidi" w:cstheme="majorBidi"/>
          <w:sz w:val="24"/>
          <w:szCs w:val="24"/>
        </w:rPr>
        <w:t xml:space="preserve">TDS is </w:t>
      </w:r>
      <w:r w:rsidR="00ED47BE" w:rsidRPr="005A15A2">
        <w:rPr>
          <w:rFonts w:asciiTheme="majorBidi" w:hAnsiTheme="majorBidi" w:cstheme="majorBidi"/>
          <w:sz w:val="24"/>
          <w:szCs w:val="24"/>
        </w:rPr>
        <w:t>slightly</w:t>
      </w:r>
      <w:r w:rsidRPr="005A15A2">
        <w:rPr>
          <w:rFonts w:asciiTheme="majorBidi" w:hAnsiTheme="majorBidi" w:cstheme="majorBidi"/>
          <w:sz w:val="24"/>
          <w:szCs w:val="24"/>
        </w:rPr>
        <w:t xml:space="preserve"> higher due to the involvement of the cations Na, K,</w:t>
      </w:r>
      <w:r w:rsidR="00F6380D" w:rsidRPr="005A15A2">
        <w:rPr>
          <w:rFonts w:asciiTheme="majorBidi" w:hAnsiTheme="majorBidi" w:cstheme="majorBidi"/>
          <w:sz w:val="24"/>
          <w:szCs w:val="24"/>
        </w:rPr>
        <w:t xml:space="preserve"> </w:t>
      </w:r>
      <w:r w:rsidRPr="005A15A2">
        <w:rPr>
          <w:rFonts w:asciiTheme="majorBidi" w:hAnsiTheme="majorBidi" w:cstheme="majorBidi"/>
          <w:sz w:val="24"/>
          <w:szCs w:val="24"/>
        </w:rPr>
        <w:t>Cl and SO</w:t>
      </w:r>
      <w:r w:rsidRPr="005A15A2">
        <w:rPr>
          <w:rFonts w:asciiTheme="majorBidi" w:hAnsiTheme="majorBidi" w:cstheme="majorBidi"/>
          <w:sz w:val="24"/>
          <w:szCs w:val="24"/>
          <w:vertAlign w:val="subscript"/>
        </w:rPr>
        <w:t>4</w:t>
      </w:r>
      <w:r w:rsidRPr="005A15A2">
        <w:rPr>
          <w:rFonts w:asciiTheme="majorBidi" w:hAnsiTheme="majorBidi" w:cstheme="majorBidi"/>
          <w:sz w:val="24"/>
          <w:szCs w:val="24"/>
        </w:rPr>
        <w:t xml:space="preserve">. The samples out of range for cations Na are </w:t>
      </w:r>
      <w:r w:rsidR="00ED47BE" w:rsidRPr="005A15A2">
        <w:rPr>
          <w:rFonts w:asciiTheme="majorBidi" w:hAnsiTheme="majorBidi" w:cstheme="majorBidi"/>
          <w:sz w:val="24"/>
          <w:szCs w:val="24"/>
        </w:rPr>
        <w:t>6.14</w:t>
      </w:r>
      <w:r w:rsidRPr="005A15A2">
        <w:rPr>
          <w:rFonts w:asciiTheme="majorBidi" w:hAnsiTheme="majorBidi" w:cstheme="majorBidi"/>
          <w:sz w:val="24"/>
          <w:szCs w:val="24"/>
        </w:rPr>
        <w:t xml:space="preserve">% and for K is </w:t>
      </w:r>
      <w:r w:rsidR="00ED47BE" w:rsidRPr="005A15A2">
        <w:rPr>
          <w:rFonts w:asciiTheme="majorBidi" w:hAnsiTheme="majorBidi" w:cstheme="majorBidi"/>
          <w:sz w:val="24"/>
          <w:szCs w:val="24"/>
        </w:rPr>
        <w:t>3.69</w:t>
      </w:r>
      <w:r w:rsidRPr="005A15A2">
        <w:rPr>
          <w:rFonts w:asciiTheme="majorBidi" w:hAnsiTheme="majorBidi" w:cstheme="majorBidi"/>
          <w:sz w:val="24"/>
          <w:szCs w:val="24"/>
        </w:rPr>
        <w:t>%.Similarly the samples that do not fall in limit of WHO parameters for anions Cl are</w:t>
      </w:r>
      <w:r w:rsidR="00ED47BE" w:rsidRPr="005A15A2">
        <w:rPr>
          <w:rFonts w:asciiTheme="majorBidi" w:hAnsiTheme="majorBidi" w:cstheme="majorBidi"/>
          <w:sz w:val="24"/>
          <w:szCs w:val="24"/>
        </w:rPr>
        <w:t xml:space="preserve"> 2.70</w:t>
      </w:r>
      <w:r w:rsidRPr="005A15A2">
        <w:rPr>
          <w:rFonts w:asciiTheme="majorBidi" w:hAnsiTheme="majorBidi" w:cstheme="majorBidi"/>
          <w:sz w:val="24"/>
          <w:szCs w:val="24"/>
        </w:rPr>
        <w:t xml:space="preserve">% and </w:t>
      </w:r>
      <w:r w:rsidR="00F6380D" w:rsidRPr="005A15A2">
        <w:rPr>
          <w:rFonts w:asciiTheme="majorBidi" w:hAnsiTheme="majorBidi" w:cstheme="majorBidi"/>
          <w:sz w:val="24"/>
          <w:szCs w:val="24"/>
        </w:rPr>
        <w:t xml:space="preserve"> SO</w:t>
      </w:r>
      <w:r w:rsidR="00F6380D" w:rsidRPr="005A15A2">
        <w:rPr>
          <w:rFonts w:asciiTheme="majorBidi" w:hAnsiTheme="majorBidi" w:cstheme="majorBidi"/>
          <w:sz w:val="24"/>
          <w:szCs w:val="24"/>
          <w:vertAlign w:val="subscript"/>
        </w:rPr>
        <w:t>4</w:t>
      </w:r>
      <w:r w:rsidR="00F6380D" w:rsidRPr="005A15A2">
        <w:rPr>
          <w:rFonts w:asciiTheme="majorBidi" w:hAnsiTheme="majorBidi" w:cstheme="majorBidi"/>
          <w:sz w:val="24"/>
          <w:szCs w:val="24"/>
        </w:rPr>
        <w:t xml:space="preserve"> are </w:t>
      </w:r>
      <w:r w:rsidR="00ED47BE" w:rsidRPr="005A15A2">
        <w:rPr>
          <w:rFonts w:asciiTheme="majorBidi" w:hAnsiTheme="majorBidi" w:cstheme="majorBidi"/>
          <w:sz w:val="24"/>
          <w:szCs w:val="24"/>
        </w:rPr>
        <w:t>6.14</w:t>
      </w:r>
      <w:r w:rsidRPr="005A15A2">
        <w:rPr>
          <w:rFonts w:asciiTheme="majorBidi" w:hAnsiTheme="majorBidi" w:cstheme="majorBidi"/>
          <w:sz w:val="24"/>
          <w:szCs w:val="24"/>
        </w:rPr>
        <w:t>%</w:t>
      </w:r>
      <w:r w:rsidR="00F6380D" w:rsidRPr="005A15A2">
        <w:rPr>
          <w:rFonts w:asciiTheme="majorBidi" w:hAnsiTheme="majorBidi" w:cstheme="majorBidi"/>
          <w:sz w:val="24"/>
          <w:szCs w:val="24"/>
        </w:rPr>
        <w:t>.</w:t>
      </w:r>
      <w:r w:rsidRPr="005A15A2">
        <w:rPr>
          <w:rFonts w:asciiTheme="majorBidi" w:hAnsiTheme="majorBidi" w:cstheme="majorBidi"/>
          <w:sz w:val="24"/>
          <w:szCs w:val="24"/>
        </w:rPr>
        <w:t xml:space="preserve"> Both are heavier and act as contaminants in water. The third contaminant is </w:t>
      </w:r>
      <w:r w:rsidR="00ED47BE" w:rsidRPr="005A15A2">
        <w:rPr>
          <w:rFonts w:asciiTheme="majorBidi" w:hAnsiTheme="majorBidi" w:cstheme="majorBidi"/>
          <w:sz w:val="24"/>
          <w:szCs w:val="24"/>
        </w:rPr>
        <w:t>HCO</w:t>
      </w:r>
      <w:r w:rsidR="00ED47BE" w:rsidRPr="005A15A2">
        <w:rPr>
          <w:rFonts w:asciiTheme="majorBidi" w:hAnsiTheme="majorBidi" w:cstheme="majorBidi"/>
          <w:sz w:val="24"/>
          <w:szCs w:val="24"/>
          <w:vertAlign w:val="subscript"/>
        </w:rPr>
        <w:t>3</w:t>
      </w:r>
      <w:r w:rsidRPr="005A15A2">
        <w:rPr>
          <w:rFonts w:asciiTheme="majorBidi" w:hAnsiTheme="majorBidi" w:cstheme="majorBidi"/>
          <w:sz w:val="24"/>
          <w:szCs w:val="24"/>
        </w:rPr>
        <w:t xml:space="preserve"> having 1</w:t>
      </w:r>
      <w:r w:rsidR="00ED47BE" w:rsidRPr="005A15A2">
        <w:rPr>
          <w:rFonts w:asciiTheme="majorBidi" w:hAnsiTheme="majorBidi" w:cstheme="majorBidi"/>
          <w:sz w:val="24"/>
          <w:szCs w:val="24"/>
        </w:rPr>
        <w:t>6.46</w:t>
      </w:r>
      <w:r w:rsidRPr="005A15A2">
        <w:rPr>
          <w:rFonts w:asciiTheme="majorBidi" w:hAnsiTheme="majorBidi" w:cstheme="majorBidi"/>
          <w:sz w:val="24"/>
          <w:szCs w:val="24"/>
        </w:rPr>
        <w:t>% as exceeding limit.</w:t>
      </w:r>
      <w:r w:rsidR="00ED47BE" w:rsidRPr="005A15A2">
        <w:rPr>
          <w:rFonts w:asciiTheme="majorBidi" w:hAnsiTheme="majorBidi" w:cstheme="majorBidi"/>
          <w:sz w:val="24"/>
          <w:szCs w:val="24"/>
        </w:rPr>
        <w:t xml:space="preserve"> Fluoride also has 2.95% sample exceeding the WHO limit.</w:t>
      </w:r>
    </w:p>
    <w:p w14:paraId="062E335D" w14:textId="2BEF6E39" w:rsidR="0005235F" w:rsidRPr="005A15A2" w:rsidRDefault="00F6380D"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 xml:space="preserve">PH ranges from 3-9 having </w:t>
      </w:r>
      <w:r w:rsidR="00ED47BE" w:rsidRPr="005A15A2">
        <w:rPr>
          <w:rFonts w:asciiTheme="majorBidi" w:hAnsiTheme="majorBidi" w:cstheme="majorBidi"/>
          <w:sz w:val="24"/>
          <w:szCs w:val="24"/>
        </w:rPr>
        <w:t>92</w:t>
      </w:r>
      <w:r w:rsidRPr="005A15A2">
        <w:rPr>
          <w:rFonts w:asciiTheme="majorBidi" w:hAnsiTheme="majorBidi" w:cstheme="majorBidi"/>
          <w:sz w:val="24"/>
          <w:szCs w:val="24"/>
        </w:rPr>
        <w:t>% samples within the limit of WHO standards and 7</w:t>
      </w:r>
      <w:r w:rsidR="0031647D" w:rsidRPr="005A15A2">
        <w:rPr>
          <w:rFonts w:asciiTheme="majorBidi" w:hAnsiTheme="majorBidi" w:cstheme="majorBidi"/>
          <w:sz w:val="24"/>
          <w:szCs w:val="24"/>
        </w:rPr>
        <w:t>.86</w:t>
      </w:r>
      <w:r w:rsidRPr="005A15A2">
        <w:rPr>
          <w:rFonts w:asciiTheme="majorBidi" w:hAnsiTheme="majorBidi" w:cstheme="majorBidi"/>
          <w:sz w:val="24"/>
          <w:szCs w:val="24"/>
        </w:rPr>
        <w:t>% samples out of limit.</w:t>
      </w:r>
      <w:r w:rsidR="001C20CC" w:rsidRPr="005A15A2">
        <w:rPr>
          <w:rFonts w:asciiTheme="majorBidi" w:hAnsiTheme="majorBidi" w:cstheme="majorBidi"/>
          <w:sz w:val="24"/>
          <w:szCs w:val="24"/>
        </w:rPr>
        <w:t xml:space="preserve"> Hardness values range from </w:t>
      </w:r>
      <w:r w:rsidR="0031647D" w:rsidRPr="005A15A2">
        <w:rPr>
          <w:rFonts w:asciiTheme="majorBidi" w:hAnsiTheme="majorBidi" w:cstheme="majorBidi"/>
          <w:sz w:val="24"/>
          <w:szCs w:val="24"/>
        </w:rPr>
        <w:t xml:space="preserve">30-1450 </w:t>
      </w:r>
      <w:r w:rsidR="001C20CC" w:rsidRPr="005A15A2">
        <w:rPr>
          <w:rFonts w:asciiTheme="majorBidi" w:hAnsiTheme="majorBidi" w:cstheme="majorBidi"/>
          <w:sz w:val="24"/>
          <w:szCs w:val="24"/>
        </w:rPr>
        <w:t>mg/l having 9</w:t>
      </w:r>
      <w:r w:rsidR="0031647D" w:rsidRPr="005A15A2">
        <w:rPr>
          <w:rFonts w:asciiTheme="majorBidi" w:hAnsiTheme="majorBidi" w:cstheme="majorBidi"/>
          <w:sz w:val="24"/>
          <w:szCs w:val="24"/>
        </w:rPr>
        <w:t>4.84</w:t>
      </w:r>
      <w:r w:rsidR="001C20CC" w:rsidRPr="005A15A2">
        <w:rPr>
          <w:rFonts w:asciiTheme="majorBidi" w:hAnsiTheme="majorBidi" w:cstheme="majorBidi"/>
          <w:sz w:val="24"/>
          <w:szCs w:val="24"/>
        </w:rPr>
        <w:t>%samples within limit.  There are no traces of carbonate being present in the area whereas va</w:t>
      </w:r>
      <w:r w:rsidR="002200F5" w:rsidRPr="005A15A2">
        <w:rPr>
          <w:rFonts w:asciiTheme="majorBidi" w:hAnsiTheme="majorBidi" w:cstheme="majorBidi"/>
          <w:sz w:val="24"/>
          <w:szCs w:val="24"/>
        </w:rPr>
        <w:t>l</w:t>
      </w:r>
      <w:r w:rsidR="001C20CC" w:rsidRPr="005A15A2">
        <w:rPr>
          <w:rFonts w:asciiTheme="majorBidi" w:hAnsiTheme="majorBidi" w:cstheme="majorBidi"/>
          <w:sz w:val="24"/>
          <w:szCs w:val="24"/>
        </w:rPr>
        <w:t xml:space="preserve">ue for bicarbonate ranges from </w:t>
      </w:r>
      <w:r w:rsidR="0031647D" w:rsidRPr="005A15A2">
        <w:rPr>
          <w:rFonts w:asciiTheme="majorBidi" w:hAnsiTheme="majorBidi" w:cstheme="majorBidi"/>
          <w:sz w:val="24"/>
          <w:szCs w:val="24"/>
        </w:rPr>
        <w:t>35</w:t>
      </w:r>
      <w:r w:rsidR="001C20CC" w:rsidRPr="005A15A2">
        <w:rPr>
          <w:rFonts w:asciiTheme="majorBidi" w:hAnsiTheme="majorBidi" w:cstheme="majorBidi"/>
          <w:sz w:val="24"/>
          <w:szCs w:val="24"/>
        </w:rPr>
        <w:t>-</w:t>
      </w:r>
      <w:r w:rsidR="0031647D" w:rsidRPr="005A15A2">
        <w:rPr>
          <w:rFonts w:asciiTheme="majorBidi" w:hAnsiTheme="majorBidi" w:cstheme="majorBidi"/>
          <w:sz w:val="24"/>
          <w:szCs w:val="24"/>
        </w:rPr>
        <w:t>201</w:t>
      </w:r>
      <w:r w:rsidR="001C20CC" w:rsidRPr="005A15A2">
        <w:rPr>
          <w:rFonts w:asciiTheme="majorBidi" w:hAnsiTheme="majorBidi" w:cstheme="majorBidi"/>
          <w:sz w:val="24"/>
          <w:szCs w:val="24"/>
        </w:rPr>
        <w:t xml:space="preserve">0 having </w:t>
      </w:r>
      <w:r w:rsidR="0031647D" w:rsidRPr="005A15A2">
        <w:rPr>
          <w:rFonts w:asciiTheme="majorBidi" w:hAnsiTheme="majorBidi" w:cstheme="majorBidi"/>
          <w:sz w:val="24"/>
          <w:szCs w:val="24"/>
        </w:rPr>
        <w:t>8</w:t>
      </w:r>
      <w:r w:rsidR="001C20CC" w:rsidRPr="005A15A2">
        <w:rPr>
          <w:rFonts w:asciiTheme="majorBidi" w:hAnsiTheme="majorBidi" w:cstheme="majorBidi"/>
          <w:sz w:val="24"/>
          <w:szCs w:val="24"/>
        </w:rPr>
        <w:t xml:space="preserve">3% values within the limit of WHO standards. Ca and Mg have values ranging from </w:t>
      </w:r>
      <w:r w:rsidR="0031647D" w:rsidRPr="005A15A2">
        <w:rPr>
          <w:rFonts w:asciiTheme="majorBidi" w:hAnsiTheme="majorBidi" w:cstheme="majorBidi"/>
          <w:sz w:val="24"/>
          <w:szCs w:val="24"/>
        </w:rPr>
        <w:t>10</w:t>
      </w:r>
      <w:r w:rsidR="001C20CC" w:rsidRPr="005A15A2">
        <w:rPr>
          <w:rFonts w:asciiTheme="majorBidi" w:hAnsiTheme="majorBidi" w:cstheme="majorBidi"/>
          <w:sz w:val="24"/>
          <w:szCs w:val="24"/>
        </w:rPr>
        <w:t>-</w:t>
      </w:r>
      <w:r w:rsidR="0031647D" w:rsidRPr="005A15A2">
        <w:rPr>
          <w:rFonts w:asciiTheme="majorBidi" w:hAnsiTheme="majorBidi" w:cstheme="majorBidi"/>
          <w:sz w:val="24"/>
          <w:szCs w:val="24"/>
        </w:rPr>
        <w:t>450</w:t>
      </w:r>
      <w:r w:rsidR="001C20CC" w:rsidRPr="005A15A2">
        <w:rPr>
          <w:rFonts w:asciiTheme="majorBidi" w:hAnsiTheme="majorBidi" w:cstheme="majorBidi"/>
          <w:sz w:val="24"/>
          <w:szCs w:val="24"/>
        </w:rPr>
        <w:t xml:space="preserve"> and </w:t>
      </w:r>
      <w:r w:rsidR="0031647D" w:rsidRPr="005A15A2">
        <w:rPr>
          <w:rFonts w:asciiTheme="majorBidi" w:hAnsiTheme="majorBidi" w:cstheme="majorBidi"/>
          <w:sz w:val="24"/>
          <w:szCs w:val="24"/>
        </w:rPr>
        <w:t>0</w:t>
      </w:r>
      <w:r w:rsidR="001C20CC" w:rsidRPr="005A15A2">
        <w:rPr>
          <w:rFonts w:asciiTheme="majorBidi" w:hAnsiTheme="majorBidi" w:cstheme="majorBidi"/>
          <w:sz w:val="24"/>
          <w:szCs w:val="24"/>
        </w:rPr>
        <w:t>-</w:t>
      </w:r>
      <w:r w:rsidR="0031647D" w:rsidRPr="005A15A2">
        <w:rPr>
          <w:rFonts w:asciiTheme="majorBidi" w:hAnsiTheme="majorBidi" w:cstheme="majorBidi"/>
          <w:sz w:val="24"/>
          <w:szCs w:val="24"/>
        </w:rPr>
        <w:t>134</w:t>
      </w:r>
      <w:r w:rsidR="001C20CC" w:rsidRPr="005A15A2">
        <w:rPr>
          <w:rFonts w:asciiTheme="majorBidi" w:hAnsiTheme="majorBidi" w:cstheme="majorBidi"/>
          <w:sz w:val="24"/>
          <w:szCs w:val="24"/>
        </w:rPr>
        <w:t xml:space="preserve"> respectively. Both have 99% samples within the limit. NO3, PO4, and Fe have more than 9</w:t>
      </w:r>
      <w:r w:rsidR="0031647D" w:rsidRPr="005A15A2">
        <w:rPr>
          <w:rFonts w:asciiTheme="majorBidi" w:hAnsiTheme="majorBidi" w:cstheme="majorBidi"/>
          <w:sz w:val="24"/>
          <w:szCs w:val="24"/>
        </w:rPr>
        <w:t>9</w:t>
      </w:r>
      <w:r w:rsidR="001C20CC" w:rsidRPr="005A15A2">
        <w:rPr>
          <w:rFonts w:asciiTheme="majorBidi" w:hAnsiTheme="majorBidi" w:cstheme="majorBidi"/>
          <w:sz w:val="24"/>
          <w:szCs w:val="24"/>
        </w:rPr>
        <w:t>% samples within the limit.</w:t>
      </w:r>
      <w:r w:rsidR="00CC7788" w:rsidRPr="005A15A2">
        <w:rPr>
          <w:rFonts w:asciiTheme="majorBidi" w:hAnsiTheme="majorBidi" w:cstheme="majorBidi"/>
          <w:sz w:val="24"/>
          <w:szCs w:val="24"/>
        </w:rPr>
        <w:t xml:space="preserve"> The statistical summary of the examined parameters and their comparison with WHO is given in the table below:</w:t>
      </w:r>
    </w:p>
    <w:p w14:paraId="0BF5BC5B" w14:textId="12965FCC" w:rsidR="001D18B0" w:rsidRPr="001D18B0" w:rsidRDefault="001D18B0" w:rsidP="001D18B0">
      <w:pPr>
        <w:pStyle w:val="Caption"/>
        <w:keepNext/>
        <w:rPr>
          <w:sz w:val="24"/>
          <w:szCs w:val="24"/>
        </w:rPr>
      </w:pPr>
      <w:r w:rsidRPr="001D18B0">
        <w:rPr>
          <w:sz w:val="24"/>
          <w:szCs w:val="24"/>
        </w:rPr>
        <w:t xml:space="preserve">Table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4</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Table \* ARABIC \s 1 </w:instrText>
      </w:r>
      <w:r w:rsidR="005425B2">
        <w:rPr>
          <w:sz w:val="24"/>
          <w:szCs w:val="24"/>
        </w:rPr>
        <w:fldChar w:fldCharType="separate"/>
      </w:r>
      <w:r w:rsidR="005425B2">
        <w:rPr>
          <w:noProof/>
          <w:sz w:val="24"/>
          <w:szCs w:val="24"/>
        </w:rPr>
        <w:t>1</w:t>
      </w:r>
      <w:r w:rsidR="005425B2">
        <w:rPr>
          <w:sz w:val="24"/>
          <w:szCs w:val="24"/>
        </w:rPr>
        <w:fldChar w:fldCharType="end"/>
      </w:r>
      <w:r w:rsidRPr="001D18B0">
        <w:rPr>
          <w:sz w:val="24"/>
          <w:szCs w:val="24"/>
        </w:rPr>
        <w:t>: Comparison with WHO Standard Limits</w:t>
      </w:r>
    </w:p>
    <w:tbl>
      <w:tblPr>
        <w:tblStyle w:val="GridTable5Dark-Accent1"/>
        <w:tblW w:w="5079" w:type="pct"/>
        <w:tblInd w:w="-147" w:type="dxa"/>
        <w:tblLook w:val="04A0" w:firstRow="1" w:lastRow="0" w:firstColumn="1" w:lastColumn="0" w:noHBand="0" w:noVBand="1"/>
      </w:tblPr>
      <w:tblGrid>
        <w:gridCol w:w="1561"/>
        <w:gridCol w:w="851"/>
        <w:gridCol w:w="996"/>
        <w:gridCol w:w="1094"/>
        <w:gridCol w:w="1094"/>
        <w:gridCol w:w="1094"/>
        <w:gridCol w:w="1404"/>
        <w:gridCol w:w="1404"/>
      </w:tblGrid>
      <w:tr w:rsidR="00734818" w:rsidRPr="005A15A2" w14:paraId="2A18ED8F" w14:textId="77777777" w:rsidTr="00734818">
        <w:trPr>
          <w:cnfStyle w:val="100000000000" w:firstRow="1" w:lastRow="0" w:firstColumn="0" w:lastColumn="0" w:oddVBand="0" w:evenVBand="0" w:oddHBand="0"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4F1F375B" w14:textId="7A3F8C2F"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Parameters</w:t>
            </w:r>
          </w:p>
        </w:tc>
        <w:tc>
          <w:tcPr>
            <w:tcW w:w="448" w:type="pct"/>
            <w:vAlign w:val="center"/>
          </w:tcPr>
          <w:p w14:paraId="5BB1EDB4" w14:textId="5E469C97" w:rsidR="00734818" w:rsidRPr="005A15A2" w:rsidRDefault="00734818"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Unit</w:t>
            </w:r>
          </w:p>
        </w:tc>
        <w:tc>
          <w:tcPr>
            <w:tcW w:w="524" w:type="pct"/>
            <w:vAlign w:val="center"/>
          </w:tcPr>
          <w:p w14:paraId="292FC1AB" w14:textId="39ED325D" w:rsidR="00734818" w:rsidRPr="005A15A2" w:rsidRDefault="00734818"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kern w:val="0"/>
                <w:sz w:val="24"/>
                <w:szCs w:val="24"/>
                <w14:ligatures w14:val="none"/>
              </w:rPr>
            </w:pPr>
            <w:r w:rsidRPr="005A15A2">
              <w:rPr>
                <w:rFonts w:asciiTheme="majorBidi" w:eastAsia="Times New Roman" w:hAnsiTheme="majorBidi" w:cstheme="majorBidi"/>
                <w:kern w:val="0"/>
                <w:sz w:val="24"/>
                <w:szCs w:val="24"/>
                <w14:ligatures w14:val="none"/>
              </w:rPr>
              <w:t>WHO Limits</w:t>
            </w:r>
          </w:p>
        </w:tc>
        <w:tc>
          <w:tcPr>
            <w:tcW w:w="576" w:type="pct"/>
            <w:vAlign w:val="center"/>
            <w:hideMark/>
          </w:tcPr>
          <w:p w14:paraId="7B9B8F6C" w14:textId="512C3D12" w:rsidR="00734818" w:rsidRPr="004D10E9" w:rsidRDefault="00734818"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Samples within Range</w:t>
            </w:r>
          </w:p>
        </w:tc>
        <w:tc>
          <w:tcPr>
            <w:tcW w:w="576" w:type="pct"/>
            <w:vAlign w:val="center"/>
            <w:hideMark/>
          </w:tcPr>
          <w:p w14:paraId="19DA1B9F" w14:textId="77777777" w:rsidR="00734818" w:rsidRPr="004D10E9" w:rsidRDefault="00734818"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Samples out of Range</w:t>
            </w:r>
          </w:p>
        </w:tc>
        <w:tc>
          <w:tcPr>
            <w:tcW w:w="576" w:type="pct"/>
            <w:vAlign w:val="center"/>
            <w:hideMark/>
          </w:tcPr>
          <w:p w14:paraId="5F626020" w14:textId="77777777" w:rsidR="00734818" w:rsidRPr="004D10E9" w:rsidRDefault="00734818"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Total Samples</w:t>
            </w:r>
          </w:p>
        </w:tc>
        <w:tc>
          <w:tcPr>
            <w:tcW w:w="739" w:type="pct"/>
            <w:vAlign w:val="center"/>
            <w:hideMark/>
          </w:tcPr>
          <w:p w14:paraId="5C0EA2C2" w14:textId="77777777" w:rsidR="00734818" w:rsidRPr="004D10E9" w:rsidRDefault="00734818"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Percentage Within Limit</w:t>
            </w:r>
          </w:p>
        </w:tc>
        <w:tc>
          <w:tcPr>
            <w:tcW w:w="739" w:type="pct"/>
            <w:vAlign w:val="center"/>
            <w:hideMark/>
          </w:tcPr>
          <w:p w14:paraId="3886E556" w14:textId="77777777" w:rsidR="00734818" w:rsidRPr="004D10E9" w:rsidRDefault="00734818"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Percentage Out of Limit</w:t>
            </w:r>
          </w:p>
        </w:tc>
      </w:tr>
      <w:tr w:rsidR="00734818" w:rsidRPr="005A15A2" w14:paraId="598675AA" w14:textId="77777777" w:rsidTr="0073481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195E4E35" w14:textId="69CC93B1" w:rsidR="00734818" w:rsidRPr="004D10E9" w:rsidRDefault="00ED47BE" w:rsidP="005A15A2">
            <w:pPr>
              <w:spacing w:line="360" w:lineRule="auto"/>
              <w:jc w:val="center"/>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EC</w:t>
            </w:r>
          </w:p>
        </w:tc>
        <w:tc>
          <w:tcPr>
            <w:tcW w:w="448" w:type="pct"/>
            <w:vAlign w:val="center"/>
          </w:tcPr>
          <w:p w14:paraId="120F4824" w14:textId="55F23BC0"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µS\cm</w:t>
            </w:r>
          </w:p>
        </w:tc>
        <w:tc>
          <w:tcPr>
            <w:tcW w:w="524" w:type="pct"/>
            <w:vAlign w:val="center"/>
          </w:tcPr>
          <w:p w14:paraId="42AD691A" w14:textId="53F8FD03"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1500.00</w:t>
            </w:r>
          </w:p>
        </w:tc>
        <w:tc>
          <w:tcPr>
            <w:tcW w:w="576" w:type="pct"/>
            <w:vAlign w:val="center"/>
            <w:hideMark/>
          </w:tcPr>
          <w:p w14:paraId="51EB1720" w14:textId="282586B4"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390</w:t>
            </w:r>
          </w:p>
        </w:tc>
        <w:tc>
          <w:tcPr>
            <w:tcW w:w="576" w:type="pct"/>
            <w:vAlign w:val="center"/>
            <w:hideMark/>
          </w:tcPr>
          <w:p w14:paraId="42E31897"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17</w:t>
            </w:r>
          </w:p>
        </w:tc>
        <w:tc>
          <w:tcPr>
            <w:tcW w:w="576" w:type="pct"/>
            <w:vAlign w:val="center"/>
            <w:hideMark/>
          </w:tcPr>
          <w:p w14:paraId="1D333D43"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51C1F61A"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95.82</w:t>
            </w:r>
          </w:p>
        </w:tc>
        <w:tc>
          <w:tcPr>
            <w:tcW w:w="739" w:type="pct"/>
            <w:vAlign w:val="center"/>
            <w:hideMark/>
          </w:tcPr>
          <w:p w14:paraId="190B1738"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4.18</w:t>
            </w:r>
          </w:p>
        </w:tc>
      </w:tr>
      <w:tr w:rsidR="00734818" w:rsidRPr="005A15A2" w14:paraId="5EBA11B5" w14:textId="77777777" w:rsidTr="00734818">
        <w:trPr>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165CEF0D"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TDS</w:t>
            </w:r>
          </w:p>
        </w:tc>
        <w:tc>
          <w:tcPr>
            <w:tcW w:w="448" w:type="pct"/>
            <w:vAlign w:val="center"/>
          </w:tcPr>
          <w:p w14:paraId="4DFF1E2C" w14:textId="48EB07FF"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25EB6268" w14:textId="6F4F3DB4"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1000.00</w:t>
            </w:r>
          </w:p>
        </w:tc>
        <w:tc>
          <w:tcPr>
            <w:tcW w:w="576" w:type="pct"/>
            <w:vAlign w:val="center"/>
            <w:hideMark/>
          </w:tcPr>
          <w:p w14:paraId="064B759B" w14:textId="11A5EFC0"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378</w:t>
            </w:r>
          </w:p>
        </w:tc>
        <w:tc>
          <w:tcPr>
            <w:tcW w:w="576" w:type="pct"/>
            <w:vAlign w:val="center"/>
            <w:hideMark/>
          </w:tcPr>
          <w:p w14:paraId="17EB7169"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29</w:t>
            </w:r>
          </w:p>
        </w:tc>
        <w:tc>
          <w:tcPr>
            <w:tcW w:w="576" w:type="pct"/>
            <w:vAlign w:val="center"/>
            <w:hideMark/>
          </w:tcPr>
          <w:p w14:paraId="3E6A822A"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171067DE"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92.87</w:t>
            </w:r>
          </w:p>
        </w:tc>
        <w:tc>
          <w:tcPr>
            <w:tcW w:w="739" w:type="pct"/>
            <w:vAlign w:val="center"/>
            <w:hideMark/>
          </w:tcPr>
          <w:p w14:paraId="6B6D649F"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7.13</w:t>
            </w:r>
          </w:p>
        </w:tc>
      </w:tr>
      <w:tr w:rsidR="00734818" w:rsidRPr="005A15A2" w14:paraId="7D048FD0" w14:textId="77777777" w:rsidTr="0073481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234646F7" w14:textId="0503CBC4" w:rsidR="00734818" w:rsidRPr="004D10E9" w:rsidRDefault="00ED47BE"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pH</w:t>
            </w:r>
          </w:p>
        </w:tc>
        <w:tc>
          <w:tcPr>
            <w:tcW w:w="448" w:type="pct"/>
            <w:vAlign w:val="center"/>
          </w:tcPr>
          <w:p w14:paraId="4CDE86AB" w14:textId="7B9E93E8"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w:t>
            </w:r>
          </w:p>
        </w:tc>
        <w:tc>
          <w:tcPr>
            <w:tcW w:w="524" w:type="pct"/>
            <w:vAlign w:val="center"/>
          </w:tcPr>
          <w:p w14:paraId="558AA80C" w14:textId="4F355A85"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6.5-8.5</w:t>
            </w:r>
          </w:p>
        </w:tc>
        <w:tc>
          <w:tcPr>
            <w:tcW w:w="576" w:type="pct"/>
            <w:vAlign w:val="center"/>
            <w:hideMark/>
          </w:tcPr>
          <w:p w14:paraId="5A1D2F05" w14:textId="522AF876"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375</w:t>
            </w:r>
          </w:p>
        </w:tc>
        <w:tc>
          <w:tcPr>
            <w:tcW w:w="576" w:type="pct"/>
            <w:vAlign w:val="center"/>
            <w:hideMark/>
          </w:tcPr>
          <w:p w14:paraId="2CA1C2FC"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32</w:t>
            </w:r>
          </w:p>
        </w:tc>
        <w:tc>
          <w:tcPr>
            <w:tcW w:w="576" w:type="pct"/>
            <w:vAlign w:val="center"/>
            <w:hideMark/>
          </w:tcPr>
          <w:p w14:paraId="54C2142A"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348C6833"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92.14</w:t>
            </w:r>
          </w:p>
        </w:tc>
        <w:tc>
          <w:tcPr>
            <w:tcW w:w="739" w:type="pct"/>
            <w:vAlign w:val="center"/>
            <w:hideMark/>
          </w:tcPr>
          <w:p w14:paraId="0986374F"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7.86</w:t>
            </w:r>
          </w:p>
        </w:tc>
      </w:tr>
      <w:tr w:rsidR="00734818" w:rsidRPr="005A15A2" w14:paraId="6E99E82D" w14:textId="77777777" w:rsidTr="00734818">
        <w:trPr>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330E0EA8"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HCO3</w:t>
            </w:r>
          </w:p>
        </w:tc>
        <w:tc>
          <w:tcPr>
            <w:tcW w:w="448" w:type="pct"/>
            <w:vAlign w:val="center"/>
          </w:tcPr>
          <w:p w14:paraId="4C791205" w14:textId="0D9D160F"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7F51E545" w14:textId="0FE12C9C"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350.00</w:t>
            </w:r>
          </w:p>
        </w:tc>
        <w:tc>
          <w:tcPr>
            <w:tcW w:w="576" w:type="pct"/>
            <w:vAlign w:val="center"/>
            <w:hideMark/>
          </w:tcPr>
          <w:p w14:paraId="3D5512AE" w14:textId="435DC4C0"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340</w:t>
            </w:r>
          </w:p>
        </w:tc>
        <w:tc>
          <w:tcPr>
            <w:tcW w:w="576" w:type="pct"/>
            <w:vAlign w:val="center"/>
            <w:hideMark/>
          </w:tcPr>
          <w:p w14:paraId="03BA7A47"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67</w:t>
            </w:r>
          </w:p>
        </w:tc>
        <w:tc>
          <w:tcPr>
            <w:tcW w:w="576" w:type="pct"/>
            <w:vAlign w:val="center"/>
            <w:hideMark/>
          </w:tcPr>
          <w:p w14:paraId="23F199D6"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06A76862"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83.54</w:t>
            </w:r>
          </w:p>
        </w:tc>
        <w:tc>
          <w:tcPr>
            <w:tcW w:w="739" w:type="pct"/>
            <w:vAlign w:val="center"/>
            <w:hideMark/>
          </w:tcPr>
          <w:p w14:paraId="5F5C2F92"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16.46</w:t>
            </w:r>
          </w:p>
        </w:tc>
      </w:tr>
      <w:tr w:rsidR="00734818" w:rsidRPr="005A15A2" w14:paraId="0F7ADAC8" w14:textId="77777777" w:rsidTr="0073481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216CF505"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CO3</w:t>
            </w:r>
          </w:p>
        </w:tc>
        <w:tc>
          <w:tcPr>
            <w:tcW w:w="448" w:type="pct"/>
            <w:vAlign w:val="center"/>
          </w:tcPr>
          <w:p w14:paraId="51089FFA" w14:textId="5E63EAC8"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2FDCC7C8" w14:textId="5BB5303E"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200.00</w:t>
            </w:r>
          </w:p>
        </w:tc>
        <w:tc>
          <w:tcPr>
            <w:tcW w:w="576" w:type="pct"/>
            <w:vAlign w:val="center"/>
            <w:hideMark/>
          </w:tcPr>
          <w:p w14:paraId="6C007F3B" w14:textId="03D57B03"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576" w:type="pct"/>
            <w:vAlign w:val="center"/>
            <w:hideMark/>
          </w:tcPr>
          <w:p w14:paraId="6A1DE009"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w:t>
            </w:r>
          </w:p>
        </w:tc>
        <w:tc>
          <w:tcPr>
            <w:tcW w:w="576" w:type="pct"/>
            <w:vAlign w:val="center"/>
            <w:hideMark/>
          </w:tcPr>
          <w:p w14:paraId="17289ECD"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0C60D6AC"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100.00</w:t>
            </w:r>
          </w:p>
        </w:tc>
        <w:tc>
          <w:tcPr>
            <w:tcW w:w="739" w:type="pct"/>
            <w:vAlign w:val="center"/>
            <w:hideMark/>
          </w:tcPr>
          <w:p w14:paraId="7A1840CC"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0.00</w:t>
            </w:r>
          </w:p>
        </w:tc>
      </w:tr>
      <w:tr w:rsidR="00734818" w:rsidRPr="005A15A2" w14:paraId="2D172105" w14:textId="77777777" w:rsidTr="00734818">
        <w:trPr>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7727EA1E"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Cl</w:t>
            </w:r>
          </w:p>
        </w:tc>
        <w:tc>
          <w:tcPr>
            <w:tcW w:w="448" w:type="pct"/>
            <w:vAlign w:val="center"/>
          </w:tcPr>
          <w:p w14:paraId="121ECFF3" w14:textId="3A32D060"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5D772CD7" w14:textId="52EE1169"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250.00</w:t>
            </w:r>
          </w:p>
        </w:tc>
        <w:tc>
          <w:tcPr>
            <w:tcW w:w="576" w:type="pct"/>
            <w:vAlign w:val="center"/>
            <w:hideMark/>
          </w:tcPr>
          <w:p w14:paraId="514D7B55" w14:textId="43E90525"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396</w:t>
            </w:r>
          </w:p>
        </w:tc>
        <w:tc>
          <w:tcPr>
            <w:tcW w:w="576" w:type="pct"/>
            <w:vAlign w:val="center"/>
            <w:hideMark/>
          </w:tcPr>
          <w:p w14:paraId="24813E3A"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11</w:t>
            </w:r>
          </w:p>
        </w:tc>
        <w:tc>
          <w:tcPr>
            <w:tcW w:w="576" w:type="pct"/>
            <w:vAlign w:val="center"/>
            <w:hideMark/>
          </w:tcPr>
          <w:p w14:paraId="0D3D0274"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7893C546"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97.30</w:t>
            </w:r>
          </w:p>
        </w:tc>
        <w:tc>
          <w:tcPr>
            <w:tcW w:w="739" w:type="pct"/>
            <w:vAlign w:val="center"/>
            <w:hideMark/>
          </w:tcPr>
          <w:p w14:paraId="580403EB"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2.70</w:t>
            </w:r>
          </w:p>
        </w:tc>
      </w:tr>
      <w:tr w:rsidR="00734818" w:rsidRPr="005A15A2" w14:paraId="54020288" w14:textId="77777777" w:rsidTr="0073481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6B5A7DB4"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SO4</w:t>
            </w:r>
          </w:p>
        </w:tc>
        <w:tc>
          <w:tcPr>
            <w:tcW w:w="448" w:type="pct"/>
            <w:vAlign w:val="center"/>
          </w:tcPr>
          <w:p w14:paraId="31893FD2" w14:textId="4A70C4EC"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5C91352E" w14:textId="431C58D8"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400.00</w:t>
            </w:r>
          </w:p>
        </w:tc>
        <w:tc>
          <w:tcPr>
            <w:tcW w:w="576" w:type="pct"/>
            <w:vAlign w:val="center"/>
            <w:hideMark/>
          </w:tcPr>
          <w:p w14:paraId="099547C6" w14:textId="40000A20"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382</w:t>
            </w:r>
          </w:p>
        </w:tc>
        <w:tc>
          <w:tcPr>
            <w:tcW w:w="576" w:type="pct"/>
            <w:vAlign w:val="center"/>
            <w:hideMark/>
          </w:tcPr>
          <w:p w14:paraId="3EEF2144"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25</w:t>
            </w:r>
          </w:p>
        </w:tc>
        <w:tc>
          <w:tcPr>
            <w:tcW w:w="576" w:type="pct"/>
            <w:vAlign w:val="center"/>
            <w:hideMark/>
          </w:tcPr>
          <w:p w14:paraId="76DBF93A"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6FF529DE" w14:textId="77777777" w:rsidR="00734818" w:rsidRPr="004D10E9" w:rsidRDefault="00734818" w:rsidP="005A15A2">
            <w:pPr>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93.86</w:t>
            </w:r>
          </w:p>
        </w:tc>
        <w:tc>
          <w:tcPr>
            <w:tcW w:w="739" w:type="pct"/>
            <w:vAlign w:val="center"/>
            <w:hideMark/>
          </w:tcPr>
          <w:p w14:paraId="2B5416F8"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6.14</w:t>
            </w:r>
          </w:p>
        </w:tc>
      </w:tr>
      <w:tr w:rsidR="00734818" w:rsidRPr="005A15A2" w14:paraId="7A5155C3" w14:textId="77777777" w:rsidTr="00734818">
        <w:trPr>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6C27FE76"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Ca</w:t>
            </w:r>
          </w:p>
        </w:tc>
        <w:tc>
          <w:tcPr>
            <w:tcW w:w="448" w:type="pct"/>
            <w:vAlign w:val="center"/>
          </w:tcPr>
          <w:p w14:paraId="44166D45" w14:textId="633F679A"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4F5496FC" w14:textId="79621D99"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300.00</w:t>
            </w:r>
          </w:p>
        </w:tc>
        <w:tc>
          <w:tcPr>
            <w:tcW w:w="576" w:type="pct"/>
            <w:vAlign w:val="center"/>
            <w:hideMark/>
          </w:tcPr>
          <w:p w14:paraId="5559D3A7" w14:textId="49B21175"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405</w:t>
            </w:r>
          </w:p>
        </w:tc>
        <w:tc>
          <w:tcPr>
            <w:tcW w:w="576" w:type="pct"/>
            <w:vAlign w:val="center"/>
            <w:hideMark/>
          </w:tcPr>
          <w:p w14:paraId="72197EF6"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2</w:t>
            </w:r>
          </w:p>
        </w:tc>
        <w:tc>
          <w:tcPr>
            <w:tcW w:w="576" w:type="pct"/>
            <w:vAlign w:val="center"/>
            <w:hideMark/>
          </w:tcPr>
          <w:p w14:paraId="5728A6A4"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4D8DC468"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99.51</w:t>
            </w:r>
          </w:p>
        </w:tc>
        <w:tc>
          <w:tcPr>
            <w:tcW w:w="739" w:type="pct"/>
            <w:vAlign w:val="center"/>
            <w:hideMark/>
          </w:tcPr>
          <w:p w14:paraId="52B4BA06"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0.49</w:t>
            </w:r>
          </w:p>
        </w:tc>
      </w:tr>
      <w:tr w:rsidR="00734818" w:rsidRPr="005A15A2" w14:paraId="737B390B" w14:textId="77777777" w:rsidTr="0073481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1D541506"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Mg</w:t>
            </w:r>
          </w:p>
        </w:tc>
        <w:tc>
          <w:tcPr>
            <w:tcW w:w="448" w:type="pct"/>
            <w:vAlign w:val="center"/>
          </w:tcPr>
          <w:p w14:paraId="3932AD94" w14:textId="12765EEE"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27C341D1" w14:textId="2B6ABF1E"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150.00</w:t>
            </w:r>
          </w:p>
        </w:tc>
        <w:tc>
          <w:tcPr>
            <w:tcW w:w="576" w:type="pct"/>
            <w:vAlign w:val="center"/>
            <w:hideMark/>
          </w:tcPr>
          <w:p w14:paraId="3DB75255" w14:textId="7B312772"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576" w:type="pct"/>
            <w:vAlign w:val="center"/>
            <w:hideMark/>
          </w:tcPr>
          <w:p w14:paraId="3CDE67D6"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w:t>
            </w:r>
          </w:p>
        </w:tc>
        <w:tc>
          <w:tcPr>
            <w:tcW w:w="576" w:type="pct"/>
            <w:vAlign w:val="center"/>
            <w:hideMark/>
          </w:tcPr>
          <w:p w14:paraId="3B42583B"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7B3FA0F4"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100.00</w:t>
            </w:r>
          </w:p>
        </w:tc>
        <w:tc>
          <w:tcPr>
            <w:tcW w:w="739" w:type="pct"/>
            <w:vAlign w:val="center"/>
            <w:hideMark/>
          </w:tcPr>
          <w:p w14:paraId="530EA275"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0.00</w:t>
            </w:r>
          </w:p>
        </w:tc>
      </w:tr>
      <w:tr w:rsidR="00734818" w:rsidRPr="005A15A2" w14:paraId="48C615D2" w14:textId="77777777" w:rsidTr="00734818">
        <w:trPr>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59485354"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Hardness</w:t>
            </w:r>
          </w:p>
        </w:tc>
        <w:tc>
          <w:tcPr>
            <w:tcW w:w="448" w:type="pct"/>
            <w:vAlign w:val="center"/>
          </w:tcPr>
          <w:p w14:paraId="0C4B4FF0" w14:textId="62249E16"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65226D0C" w14:textId="6839CBC6"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500.00</w:t>
            </w:r>
          </w:p>
        </w:tc>
        <w:tc>
          <w:tcPr>
            <w:tcW w:w="576" w:type="pct"/>
            <w:vAlign w:val="center"/>
            <w:hideMark/>
          </w:tcPr>
          <w:p w14:paraId="46B1B2EE" w14:textId="08C0BD14"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386</w:t>
            </w:r>
          </w:p>
        </w:tc>
        <w:tc>
          <w:tcPr>
            <w:tcW w:w="576" w:type="pct"/>
            <w:vAlign w:val="center"/>
            <w:hideMark/>
          </w:tcPr>
          <w:p w14:paraId="2A2A2024"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21</w:t>
            </w:r>
          </w:p>
        </w:tc>
        <w:tc>
          <w:tcPr>
            <w:tcW w:w="576" w:type="pct"/>
            <w:vAlign w:val="center"/>
            <w:hideMark/>
          </w:tcPr>
          <w:p w14:paraId="2D1FCA17"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379892FF"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94.84</w:t>
            </w:r>
          </w:p>
        </w:tc>
        <w:tc>
          <w:tcPr>
            <w:tcW w:w="739" w:type="pct"/>
            <w:vAlign w:val="center"/>
            <w:hideMark/>
          </w:tcPr>
          <w:p w14:paraId="734C14C7"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5.16</w:t>
            </w:r>
          </w:p>
        </w:tc>
      </w:tr>
      <w:tr w:rsidR="00734818" w:rsidRPr="005A15A2" w14:paraId="6982316E" w14:textId="77777777" w:rsidTr="0073481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723FF91F"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Na</w:t>
            </w:r>
          </w:p>
        </w:tc>
        <w:tc>
          <w:tcPr>
            <w:tcW w:w="448" w:type="pct"/>
            <w:vAlign w:val="center"/>
          </w:tcPr>
          <w:p w14:paraId="65A99E42" w14:textId="31D192BA"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45D567CC" w14:textId="404657F8"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200.00</w:t>
            </w:r>
          </w:p>
        </w:tc>
        <w:tc>
          <w:tcPr>
            <w:tcW w:w="576" w:type="pct"/>
            <w:vAlign w:val="center"/>
            <w:hideMark/>
          </w:tcPr>
          <w:p w14:paraId="1B450051" w14:textId="74BE5BD1"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382</w:t>
            </w:r>
          </w:p>
        </w:tc>
        <w:tc>
          <w:tcPr>
            <w:tcW w:w="576" w:type="pct"/>
            <w:vAlign w:val="center"/>
            <w:hideMark/>
          </w:tcPr>
          <w:p w14:paraId="4129E630"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25</w:t>
            </w:r>
          </w:p>
        </w:tc>
        <w:tc>
          <w:tcPr>
            <w:tcW w:w="576" w:type="pct"/>
            <w:vAlign w:val="center"/>
            <w:hideMark/>
          </w:tcPr>
          <w:p w14:paraId="7F709334"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1CCC34F1"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93.86</w:t>
            </w:r>
          </w:p>
        </w:tc>
        <w:tc>
          <w:tcPr>
            <w:tcW w:w="739" w:type="pct"/>
            <w:vAlign w:val="center"/>
            <w:hideMark/>
          </w:tcPr>
          <w:p w14:paraId="6117CF8D"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6.14</w:t>
            </w:r>
          </w:p>
        </w:tc>
      </w:tr>
      <w:tr w:rsidR="00734818" w:rsidRPr="005A15A2" w14:paraId="77964A41" w14:textId="77777777" w:rsidTr="00734818">
        <w:trPr>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42AF47AA"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K</w:t>
            </w:r>
          </w:p>
        </w:tc>
        <w:tc>
          <w:tcPr>
            <w:tcW w:w="448" w:type="pct"/>
            <w:vAlign w:val="center"/>
          </w:tcPr>
          <w:p w14:paraId="41301083" w14:textId="4FF6B027"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262CFD0E" w14:textId="372929A9"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10.00</w:t>
            </w:r>
          </w:p>
        </w:tc>
        <w:tc>
          <w:tcPr>
            <w:tcW w:w="576" w:type="pct"/>
            <w:vAlign w:val="center"/>
            <w:hideMark/>
          </w:tcPr>
          <w:p w14:paraId="595D2484" w14:textId="26FBD52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392</w:t>
            </w:r>
          </w:p>
        </w:tc>
        <w:tc>
          <w:tcPr>
            <w:tcW w:w="576" w:type="pct"/>
            <w:vAlign w:val="center"/>
            <w:hideMark/>
          </w:tcPr>
          <w:p w14:paraId="654EBB09"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15</w:t>
            </w:r>
          </w:p>
        </w:tc>
        <w:tc>
          <w:tcPr>
            <w:tcW w:w="576" w:type="pct"/>
            <w:vAlign w:val="center"/>
            <w:hideMark/>
          </w:tcPr>
          <w:p w14:paraId="186A355E"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3D8E1C9C"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96.31</w:t>
            </w:r>
          </w:p>
        </w:tc>
        <w:tc>
          <w:tcPr>
            <w:tcW w:w="739" w:type="pct"/>
            <w:vAlign w:val="center"/>
            <w:hideMark/>
          </w:tcPr>
          <w:p w14:paraId="0FEC4EC3"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3.69</w:t>
            </w:r>
          </w:p>
        </w:tc>
      </w:tr>
      <w:tr w:rsidR="00734818" w:rsidRPr="005A15A2" w14:paraId="3DB836E6" w14:textId="77777777" w:rsidTr="0073481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5BABA163"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NO3</w:t>
            </w:r>
          </w:p>
        </w:tc>
        <w:tc>
          <w:tcPr>
            <w:tcW w:w="448" w:type="pct"/>
            <w:vAlign w:val="center"/>
          </w:tcPr>
          <w:p w14:paraId="6079A67F" w14:textId="45D0A60E"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1827C17C" w14:textId="6BF63C71"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45.00</w:t>
            </w:r>
          </w:p>
        </w:tc>
        <w:tc>
          <w:tcPr>
            <w:tcW w:w="576" w:type="pct"/>
            <w:vAlign w:val="center"/>
            <w:hideMark/>
          </w:tcPr>
          <w:p w14:paraId="625B43E1" w14:textId="26F4CB4B"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576" w:type="pct"/>
            <w:vAlign w:val="center"/>
            <w:hideMark/>
          </w:tcPr>
          <w:p w14:paraId="624804AC"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w:t>
            </w:r>
          </w:p>
        </w:tc>
        <w:tc>
          <w:tcPr>
            <w:tcW w:w="576" w:type="pct"/>
            <w:vAlign w:val="center"/>
            <w:hideMark/>
          </w:tcPr>
          <w:p w14:paraId="7FE836F0"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0A908A14"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100.00</w:t>
            </w:r>
          </w:p>
        </w:tc>
        <w:tc>
          <w:tcPr>
            <w:tcW w:w="739" w:type="pct"/>
            <w:vAlign w:val="center"/>
            <w:hideMark/>
          </w:tcPr>
          <w:p w14:paraId="660DE287"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0.00</w:t>
            </w:r>
          </w:p>
        </w:tc>
      </w:tr>
      <w:tr w:rsidR="00734818" w:rsidRPr="005A15A2" w14:paraId="43110AB8" w14:textId="77777777" w:rsidTr="00734818">
        <w:trPr>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5F1EF7EF"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PO4</w:t>
            </w:r>
          </w:p>
        </w:tc>
        <w:tc>
          <w:tcPr>
            <w:tcW w:w="448" w:type="pct"/>
            <w:vAlign w:val="center"/>
          </w:tcPr>
          <w:p w14:paraId="1CFBBBF0" w14:textId="707F316A"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68F02236" w14:textId="35F54242"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0.30</w:t>
            </w:r>
          </w:p>
        </w:tc>
        <w:tc>
          <w:tcPr>
            <w:tcW w:w="576" w:type="pct"/>
            <w:vAlign w:val="center"/>
            <w:hideMark/>
          </w:tcPr>
          <w:p w14:paraId="421A789F" w14:textId="48365F3A"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405</w:t>
            </w:r>
          </w:p>
        </w:tc>
        <w:tc>
          <w:tcPr>
            <w:tcW w:w="576" w:type="pct"/>
            <w:vAlign w:val="center"/>
            <w:hideMark/>
          </w:tcPr>
          <w:p w14:paraId="0C923BB7"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2</w:t>
            </w:r>
          </w:p>
        </w:tc>
        <w:tc>
          <w:tcPr>
            <w:tcW w:w="576" w:type="pct"/>
            <w:vAlign w:val="center"/>
            <w:hideMark/>
          </w:tcPr>
          <w:p w14:paraId="610987B0"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45A74B38"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99.51</w:t>
            </w:r>
          </w:p>
        </w:tc>
        <w:tc>
          <w:tcPr>
            <w:tcW w:w="739" w:type="pct"/>
            <w:vAlign w:val="center"/>
            <w:hideMark/>
          </w:tcPr>
          <w:p w14:paraId="3DFD8CD8"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0.49</w:t>
            </w:r>
          </w:p>
        </w:tc>
      </w:tr>
      <w:tr w:rsidR="00734818" w:rsidRPr="005A15A2" w14:paraId="6CE59A18" w14:textId="77777777" w:rsidTr="0073481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7FD4FCEC"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F</w:t>
            </w:r>
          </w:p>
        </w:tc>
        <w:tc>
          <w:tcPr>
            <w:tcW w:w="448" w:type="pct"/>
            <w:vAlign w:val="center"/>
          </w:tcPr>
          <w:p w14:paraId="593CECF5" w14:textId="5A97908A"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1EF59630" w14:textId="0065B77D"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1.50</w:t>
            </w:r>
          </w:p>
        </w:tc>
        <w:tc>
          <w:tcPr>
            <w:tcW w:w="576" w:type="pct"/>
            <w:vAlign w:val="center"/>
            <w:hideMark/>
          </w:tcPr>
          <w:p w14:paraId="28F7DFE6" w14:textId="5F5D7244"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395</w:t>
            </w:r>
          </w:p>
        </w:tc>
        <w:tc>
          <w:tcPr>
            <w:tcW w:w="576" w:type="pct"/>
            <w:vAlign w:val="center"/>
            <w:hideMark/>
          </w:tcPr>
          <w:p w14:paraId="48553F44"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12</w:t>
            </w:r>
          </w:p>
        </w:tc>
        <w:tc>
          <w:tcPr>
            <w:tcW w:w="576" w:type="pct"/>
            <w:vAlign w:val="center"/>
            <w:hideMark/>
          </w:tcPr>
          <w:p w14:paraId="0968DCD6"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16ECBC03"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97.05</w:t>
            </w:r>
          </w:p>
        </w:tc>
        <w:tc>
          <w:tcPr>
            <w:tcW w:w="739" w:type="pct"/>
            <w:vAlign w:val="center"/>
            <w:hideMark/>
          </w:tcPr>
          <w:p w14:paraId="12F57065"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2.95</w:t>
            </w:r>
          </w:p>
        </w:tc>
      </w:tr>
      <w:tr w:rsidR="00734818" w:rsidRPr="005A15A2" w14:paraId="13F5217B" w14:textId="77777777" w:rsidTr="00734818">
        <w:trPr>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3F558EE5"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Fe</w:t>
            </w:r>
          </w:p>
        </w:tc>
        <w:tc>
          <w:tcPr>
            <w:tcW w:w="448" w:type="pct"/>
            <w:vAlign w:val="center"/>
          </w:tcPr>
          <w:p w14:paraId="77F8CB01" w14:textId="0390E0AB"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mg/l</w:t>
            </w:r>
          </w:p>
        </w:tc>
        <w:tc>
          <w:tcPr>
            <w:tcW w:w="524" w:type="pct"/>
            <w:vAlign w:val="center"/>
          </w:tcPr>
          <w:p w14:paraId="6FCC65EA" w14:textId="115B55D7" w:rsidR="00734818" w:rsidRPr="005A15A2"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3.00</w:t>
            </w:r>
          </w:p>
        </w:tc>
        <w:tc>
          <w:tcPr>
            <w:tcW w:w="576" w:type="pct"/>
            <w:vAlign w:val="center"/>
            <w:hideMark/>
          </w:tcPr>
          <w:p w14:paraId="5057AA8D" w14:textId="4E8F701A"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576" w:type="pct"/>
            <w:vAlign w:val="center"/>
            <w:hideMark/>
          </w:tcPr>
          <w:p w14:paraId="4E36C860"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w:t>
            </w:r>
          </w:p>
        </w:tc>
        <w:tc>
          <w:tcPr>
            <w:tcW w:w="576" w:type="pct"/>
            <w:vAlign w:val="center"/>
            <w:hideMark/>
          </w:tcPr>
          <w:p w14:paraId="26B1ECF5"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12DC43EE"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100.00</w:t>
            </w:r>
          </w:p>
        </w:tc>
        <w:tc>
          <w:tcPr>
            <w:tcW w:w="739" w:type="pct"/>
            <w:vAlign w:val="center"/>
            <w:hideMark/>
          </w:tcPr>
          <w:p w14:paraId="2726BB88" w14:textId="77777777" w:rsidR="00734818" w:rsidRPr="004D10E9" w:rsidRDefault="00734818"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0.00</w:t>
            </w:r>
          </w:p>
        </w:tc>
      </w:tr>
      <w:tr w:rsidR="00734818" w:rsidRPr="005A15A2" w14:paraId="0D6C0D93" w14:textId="77777777" w:rsidTr="0073481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822" w:type="pct"/>
            <w:vAlign w:val="center"/>
            <w:hideMark/>
          </w:tcPr>
          <w:p w14:paraId="3E1233B1" w14:textId="77777777" w:rsidR="00734818" w:rsidRPr="004D10E9" w:rsidRDefault="00734818" w:rsidP="005A15A2">
            <w:pPr>
              <w:spacing w:line="360" w:lineRule="auto"/>
              <w:jc w:val="center"/>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As</w:t>
            </w:r>
          </w:p>
        </w:tc>
        <w:tc>
          <w:tcPr>
            <w:tcW w:w="448" w:type="pct"/>
            <w:vAlign w:val="center"/>
          </w:tcPr>
          <w:p w14:paraId="379B7F3C" w14:textId="6807AE20"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µg/l</w:t>
            </w:r>
          </w:p>
        </w:tc>
        <w:tc>
          <w:tcPr>
            <w:tcW w:w="524" w:type="pct"/>
            <w:vAlign w:val="center"/>
          </w:tcPr>
          <w:p w14:paraId="27961DEF" w14:textId="1E90E485" w:rsidR="00734818" w:rsidRPr="005A15A2"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A15A2">
              <w:rPr>
                <w:rFonts w:asciiTheme="majorBidi" w:eastAsia="Times New Roman" w:hAnsiTheme="majorBidi" w:cstheme="majorBidi"/>
                <w:kern w:val="0"/>
                <w:sz w:val="24"/>
                <w:szCs w:val="24"/>
                <w14:ligatures w14:val="none"/>
              </w:rPr>
              <w:t>10.00</w:t>
            </w:r>
          </w:p>
        </w:tc>
        <w:tc>
          <w:tcPr>
            <w:tcW w:w="576" w:type="pct"/>
            <w:vAlign w:val="center"/>
            <w:hideMark/>
          </w:tcPr>
          <w:p w14:paraId="5B55D621" w14:textId="0F6EC55C"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576" w:type="pct"/>
            <w:vAlign w:val="center"/>
            <w:hideMark/>
          </w:tcPr>
          <w:p w14:paraId="07049F1C"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w:t>
            </w:r>
          </w:p>
        </w:tc>
        <w:tc>
          <w:tcPr>
            <w:tcW w:w="576" w:type="pct"/>
            <w:vAlign w:val="center"/>
            <w:hideMark/>
          </w:tcPr>
          <w:p w14:paraId="5758B6F5"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407</w:t>
            </w:r>
          </w:p>
        </w:tc>
        <w:tc>
          <w:tcPr>
            <w:tcW w:w="739" w:type="pct"/>
            <w:vAlign w:val="center"/>
            <w:hideMark/>
          </w:tcPr>
          <w:p w14:paraId="016FC148"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100.00</w:t>
            </w:r>
          </w:p>
        </w:tc>
        <w:tc>
          <w:tcPr>
            <w:tcW w:w="739" w:type="pct"/>
            <w:vAlign w:val="center"/>
            <w:hideMark/>
          </w:tcPr>
          <w:p w14:paraId="37568654" w14:textId="77777777" w:rsidR="00734818" w:rsidRPr="004D10E9" w:rsidRDefault="00734818"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D10E9">
              <w:rPr>
                <w:rFonts w:asciiTheme="majorBidi" w:eastAsia="Times New Roman" w:hAnsiTheme="majorBidi" w:cstheme="majorBidi"/>
                <w:kern w:val="0"/>
                <w:sz w:val="24"/>
                <w:szCs w:val="24"/>
                <w14:ligatures w14:val="none"/>
              </w:rPr>
              <w:t>0.00</w:t>
            </w:r>
          </w:p>
        </w:tc>
      </w:tr>
    </w:tbl>
    <w:p w14:paraId="3DF9064E" w14:textId="77777777" w:rsidR="004D10E9" w:rsidRPr="005A15A2" w:rsidRDefault="004D10E9" w:rsidP="005A15A2">
      <w:pPr>
        <w:spacing w:line="360" w:lineRule="auto"/>
        <w:rPr>
          <w:rFonts w:asciiTheme="majorBidi" w:eastAsia="Times New Roman" w:hAnsiTheme="majorBidi" w:cstheme="majorBidi"/>
          <w:kern w:val="0"/>
          <w:sz w:val="24"/>
          <w:szCs w:val="24"/>
          <w14:ligatures w14:val="none"/>
        </w:rPr>
      </w:pPr>
    </w:p>
    <w:p w14:paraId="12205D1E" w14:textId="77777777" w:rsidR="001D18B0" w:rsidRDefault="00A73303" w:rsidP="001D18B0">
      <w:pPr>
        <w:keepNext/>
        <w:spacing w:line="360" w:lineRule="auto"/>
      </w:pPr>
      <w:r w:rsidRPr="005A15A2">
        <w:rPr>
          <w:rFonts w:asciiTheme="majorBidi" w:hAnsiTheme="majorBidi" w:cstheme="majorBidi"/>
          <w:noProof/>
          <w:sz w:val="24"/>
          <w:szCs w:val="24"/>
        </w:rPr>
        <w:drawing>
          <wp:inline distT="0" distB="0" distL="0" distR="0" wp14:anchorId="4A35AFE6" wp14:editId="452D3060">
            <wp:extent cx="5943600" cy="2971800"/>
            <wp:effectExtent l="19050" t="19050" r="19050" b="19050"/>
            <wp:docPr id="20313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36979"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a:ln w="12700">
                      <a:solidFill>
                        <a:schemeClr val="tx1"/>
                      </a:solidFill>
                    </a:ln>
                  </pic:spPr>
                </pic:pic>
              </a:graphicData>
            </a:graphic>
          </wp:inline>
        </w:drawing>
      </w:r>
    </w:p>
    <w:p w14:paraId="7176D4ED" w14:textId="57A1C6B9" w:rsidR="00A73303" w:rsidRPr="001D18B0" w:rsidRDefault="001D18B0" w:rsidP="001D18B0">
      <w:pPr>
        <w:pStyle w:val="Caption"/>
        <w:jc w:val="center"/>
        <w:rPr>
          <w:rFonts w:asciiTheme="majorBidi" w:eastAsia="Times New Roman" w:hAnsiTheme="majorBidi" w:cstheme="majorBidi"/>
          <w:kern w:val="0"/>
          <w:sz w:val="36"/>
          <w:szCs w:val="36"/>
          <w14:ligatures w14:val="none"/>
        </w:rPr>
      </w:pPr>
      <w:r w:rsidRPr="001D18B0">
        <w:rPr>
          <w:sz w:val="24"/>
          <w:szCs w:val="24"/>
        </w:rPr>
        <w:t xml:space="preserve">Figure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4</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Figure \* ARABIC \s 1 </w:instrText>
      </w:r>
      <w:r w:rsidR="005425B2">
        <w:rPr>
          <w:sz w:val="24"/>
          <w:szCs w:val="24"/>
        </w:rPr>
        <w:fldChar w:fldCharType="separate"/>
      </w:r>
      <w:r w:rsidR="005425B2">
        <w:rPr>
          <w:noProof/>
          <w:sz w:val="24"/>
          <w:szCs w:val="24"/>
        </w:rPr>
        <w:t>1</w:t>
      </w:r>
      <w:r w:rsidR="005425B2">
        <w:rPr>
          <w:sz w:val="24"/>
          <w:szCs w:val="24"/>
        </w:rPr>
        <w:fldChar w:fldCharType="end"/>
      </w:r>
      <w:r w:rsidRPr="001D18B0">
        <w:rPr>
          <w:sz w:val="24"/>
          <w:szCs w:val="24"/>
        </w:rPr>
        <w:t>: Distribtio of different Parameters against WHO Limits</w:t>
      </w:r>
    </w:p>
    <w:p w14:paraId="5B0E4C83" w14:textId="597E84DF" w:rsidR="00A73303" w:rsidRPr="005A15A2" w:rsidRDefault="00901656" w:rsidP="00DC1D56">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The table</w:t>
      </w:r>
      <w:r w:rsidR="007C0D0F" w:rsidRPr="005A15A2">
        <w:rPr>
          <w:rFonts w:asciiTheme="majorBidi" w:hAnsiTheme="majorBidi" w:cstheme="majorBidi"/>
          <w:sz w:val="24"/>
          <w:szCs w:val="24"/>
        </w:rPr>
        <w:t xml:space="preserve"> below</w:t>
      </w:r>
      <w:r w:rsidRPr="005A15A2">
        <w:rPr>
          <w:rFonts w:asciiTheme="majorBidi" w:hAnsiTheme="majorBidi" w:cstheme="majorBidi"/>
          <w:sz w:val="24"/>
          <w:szCs w:val="24"/>
        </w:rPr>
        <w:t xml:space="preserve"> provides a summary of the classification and distribution of water samples based on their salt enrichment levels (classified as Type 1, Type 2, and Type 3) and their respective electrical conductivity (EC) ranges. The data is presented for different towns within the specified region.</w:t>
      </w:r>
      <w:r w:rsidR="007C0D0F" w:rsidRPr="005A15A2">
        <w:rPr>
          <w:rFonts w:asciiTheme="majorBidi" w:hAnsiTheme="majorBidi" w:cstheme="majorBidi"/>
          <w:sz w:val="24"/>
          <w:szCs w:val="24"/>
        </w:rPr>
        <w:t xml:space="preserve"> Following</w:t>
      </w:r>
      <w:r w:rsidRPr="005A15A2">
        <w:rPr>
          <w:rFonts w:asciiTheme="majorBidi" w:hAnsiTheme="majorBidi" w:cstheme="majorBidi"/>
          <w:sz w:val="24"/>
          <w:szCs w:val="24"/>
        </w:rPr>
        <w:t xml:space="preserve"> table shows the percentage distribution of water samples in each town for each salt enrichment type. Type 1 represents water samples with low salt enrichment</w:t>
      </w:r>
      <w:r w:rsidR="00FC59F7" w:rsidRPr="005A15A2">
        <w:rPr>
          <w:rFonts w:asciiTheme="majorBidi" w:hAnsiTheme="majorBidi" w:cstheme="majorBidi"/>
          <w:sz w:val="24"/>
          <w:szCs w:val="24"/>
        </w:rPr>
        <w:t>(&lt;1500)</w:t>
      </w:r>
      <w:r w:rsidRPr="005A15A2">
        <w:rPr>
          <w:rFonts w:asciiTheme="majorBidi" w:hAnsiTheme="majorBidi" w:cstheme="majorBidi"/>
          <w:sz w:val="24"/>
          <w:szCs w:val="24"/>
        </w:rPr>
        <w:t>, Type 2 represents medium salt enrichment</w:t>
      </w:r>
      <w:r w:rsidR="00FC59F7" w:rsidRPr="005A15A2">
        <w:rPr>
          <w:rFonts w:asciiTheme="majorBidi" w:hAnsiTheme="majorBidi" w:cstheme="majorBidi"/>
          <w:sz w:val="24"/>
          <w:szCs w:val="24"/>
        </w:rPr>
        <w:t>(1500-3000</w:t>
      </w:r>
      <w:r w:rsidRPr="005A15A2">
        <w:rPr>
          <w:rFonts w:asciiTheme="majorBidi" w:hAnsiTheme="majorBidi" w:cstheme="majorBidi"/>
          <w:sz w:val="24"/>
          <w:szCs w:val="24"/>
        </w:rPr>
        <w:t>, and Type 3 represents high salt enrichment</w:t>
      </w:r>
      <w:r w:rsidR="00FC59F7" w:rsidRPr="005A15A2">
        <w:rPr>
          <w:rFonts w:asciiTheme="majorBidi" w:hAnsiTheme="majorBidi" w:cstheme="majorBidi"/>
          <w:sz w:val="24"/>
          <w:szCs w:val="24"/>
        </w:rPr>
        <w:t>(&gt;3000)</w:t>
      </w:r>
      <w:r w:rsidRPr="005A15A2">
        <w:rPr>
          <w:rFonts w:asciiTheme="majorBidi" w:hAnsiTheme="majorBidi" w:cstheme="majorBidi"/>
          <w:sz w:val="24"/>
          <w:szCs w:val="24"/>
        </w:rPr>
        <w:t>.</w:t>
      </w:r>
    </w:p>
    <w:p w14:paraId="517B0F8D" w14:textId="38F47B41" w:rsidR="00A63FF0" w:rsidRPr="00A63FF0" w:rsidRDefault="00A63FF0" w:rsidP="00A63FF0">
      <w:pPr>
        <w:pStyle w:val="Caption"/>
        <w:keepNext/>
        <w:rPr>
          <w:sz w:val="24"/>
          <w:szCs w:val="24"/>
        </w:rPr>
      </w:pPr>
      <w:r w:rsidRPr="00A63FF0">
        <w:rPr>
          <w:sz w:val="24"/>
          <w:szCs w:val="24"/>
        </w:rPr>
        <w:t xml:space="preserve">Table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4</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Table \* ARABIC \s 1 </w:instrText>
      </w:r>
      <w:r w:rsidR="005425B2">
        <w:rPr>
          <w:sz w:val="24"/>
          <w:szCs w:val="24"/>
        </w:rPr>
        <w:fldChar w:fldCharType="separate"/>
      </w:r>
      <w:r w:rsidR="005425B2">
        <w:rPr>
          <w:noProof/>
          <w:sz w:val="24"/>
          <w:szCs w:val="24"/>
        </w:rPr>
        <w:t>2</w:t>
      </w:r>
      <w:r w:rsidR="005425B2">
        <w:rPr>
          <w:sz w:val="24"/>
          <w:szCs w:val="24"/>
        </w:rPr>
        <w:fldChar w:fldCharType="end"/>
      </w:r>
      <w:r w:rsidRPr="00A63FF0">
        <w:rPr>
          <w:sz w:val="24"/>
          <w:szCs w:val="24"/>
        </w:rPr>
        <w:t>: Classification based on Electrical Conductivity (EC) values</w:t>
      </w:r>
    </w:p>
    <w:tbl>
      <w:tblPr>
        <w:tblStyle w:val="GridTable5Dark-Accent1"/>
        <w:tblW w:w="6168" w:type="pct"/>
        <w:tblLook w:val="04A0" w:firstRow="1" w:lastRow="0" w:firstColumn="1" w:lastColumn="0" w:noHBand="0" w:noVBand="1"/>
      </w:tblPr>
      <w:tblGrid>
        <w:gridCol w:w="767"/>
        <w:gridCol w:w="923"/>
        <w:gridCol w:w="1564"/>
        <w:gridCol w:w="1077"/>
        <w:gridCol w:w="777"/>
        <w:gridCol w:w="1264"/>
        <w:gridCol w:w="1564"/>
        <w:gridCol w:w="1564"/>
        <w:gridCol w:w="1264"/>
        <w:gridCol w:w="770"/>
      </w:tblGrid>
      <w:tr w:rsidR="00A63FF0" w:rsidRPr="005A15A2" w14:paraId="44743B9D" w14:textId="77777777" w:rsidTr="00A63FF0">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32" w:type="pct"/>
            <w:vAlign w:val="center"/>
            <w:hideMark/>
          </w:tcPr>
          <w:p w14:paraId="2319514D" w14:textId="77777777" w:rsidR="00A63FF0" w:rsidRPr="004F7F77" w:rsidRDefault="00A63FF0" w:rsidP="005A15A2">
            <w:pPr>
              <w:spacing w:line="360" w:lineRule="auto"/>
              <w:jc w:val="center"/>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Class</w:t>
            </w:r>
          </w:p>
        </w:tc>
        <w:tc>
          <w:tcPr>
            <w:tcW w:w="400" w:type="pct"/>
            <w:vAlign w:val="center"/>
            <w:hideMark/>
          </w:tcPr>
          <w:p w14:paraId="1D50B5FD" w14:textId="77777777" w:rsidR="00A63FF0" w:rsidRPr="004F7F77" w:rsidRDefault="00A63FF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Gujrat</w:t>
            </w:r>
          </w:p>
        </w:tc>
        <w:tc>
          <w:tcPr>
            <w:tcW w:w="678" w:type="pct"/>
            <w:vAlign w:val="center"/>
            <w:hideMark/>
          </w:tcPr>
          <w:p w14:paraId="3C627B89" w14:textId="77777777" w:rsidR="00A63FF0" w:rsidRPr="004F7F77" w:rsidRDefault="00A63FF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Kharianwala</w:t>
            </w:r>
          </w:p>
        </w:tc>
        <w:tc>
          <w:tcPr>
            <w:tcW w:w="467" w:type="pct"/>
            <w:vAlign w:val="center"/>
            <w:hideMark/>
          </w:tcPr>
          <w:p w14:paraId="2929FB55" w14:textId="77777777" w:rsidR="00A63FF0" w:rsidRPr="004F7F77" w:rsidRDefault="00A63FF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Sara-e-Alamgir</w:t>
            </w:r>
          </w:p>
        </w:tc>
        <w:tc>
          <w:tcPr>
            <w:tcW w:w="337" w:type="pct"/>
            <w:vAlign w:val="center"/>
            <w:hideMark/>
          </w:tcPr>
          <w:p w14:paraId="4A9BA712" w14:textId="77777777" w:rsidR="00A63FF0" w:rsidRPr="004F7F77" w:rsidRDefault="00A63FF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Total</w:t>
            </w:r>
          </w:p>
        </w:tc>
        <w:tc>
          <w:tcPr>
            <w:tcW w:w="548" w:type="pct"/>
            <w:vAlign w:val="center"/>
            <w:hideMark/>
          </w:tcPr>
          <w:p w14:paraId="50654A69" w14:textId="77777777" w:rsidR="00A63FF0" w:rsidRPr="004F7F77" w:rsidRDefault="00A63FF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Gujrat (%)</w:t>
            </w:r>
          </w:p>
        </w:tc>
        <w:tc>
          <w:tcPr>
            <w:tcW w:w="678" w:type="pct"/>
          </w:tcPr>
          <w:p w14:paraId="629808D0" w14:textId="77777777" w:rsidR="00A63FF0" w:rsidRPr="004F7F77" w:rsidRDefault="00A63FF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kern w:val="0"/>
                <w:sz w:val="24"/>
                <w:szCs w:val="24"/>
                <w14:ligatures w14:val="none"/>
              </w:rPr>
            </w:pPr>
          </w:p>
        </w:tc>
        <w:tc>
          <w:tcPr>
            <w:tcW w:w="678" w:type="pct"/>
            <w:vAlign w:val="center"/>
            <w:hideMark/>
          </w:tcPr>
          <w:p w14:paraId="58E4750F" w14:textId="2A498C4C" w:rsidR="00A63FF0" w:rsidRPr="004F7F77" w:rsidRDefault="00A63FF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Kharianwala (%)</w:t>
            </w:r>
          </w:p>
        </w:tc>
        <w:tc>
          <w:tcPr>
            <w:tcW w:w="548" w:type="pct"/>
            <w:vAlign w:val="center"/>
            <w:hideMark/>
          </w:tcPr>
          <w:p w14:paraId="4F6BB543" w14:textId="77777777" w:rsidR="00A63FF0" w:rsidRPr="004F7F77" w:rsidRDefault="00A63FF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Sara-e-Alamgir (%)</w:t>
            </w:r>
          </w:p>
        </w:tc>
        <w:tc>
          <w:tcPr>
            <w:tcW w:w="336" w:type="pct"/>
            <w:vAlign w:val="center"/>
            <w:hideMark/>
          </w:tcPr>
          <w:p w14:paraId="7215ABFF" w14:textId="77777777" w:rsidR="00A63FF0" w:rsidRPr="004F7F77" w:rsidRDefault="00A63FF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Total (%)</w:t>
            </w:r>
          </w:p>
        </w:tc>
      </w:tr>
      <w:tr w:rsidR="00A63FF0" w:rsidRPr="005A15A2" w14:paraId="0D3A7181" w14:textId="77777777" w:rsidTr="00A63FF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32" w:type="pct"/>
            <w:vAlign w:val="center"/>
            <w:hideMark/>
          </w:tcPr>
          <w:p w14:paraId="3A1FD81E" w14:textId="7E882AB0" w:rsidR="00A63FF0" w:rsidRPr="004F7F77" w:rsidRDefault="00A63FF0" w:rsidP="005A15A2">
            <w:pPr>
              <w:spacing w:line="360" w:lineRule="auto"/>
              <w:jc w:val="center"/>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 xml:space="preserve">Type </w:t>
            </w:r>
            <w:r w:rsidRPr="005A15A2">
              <w:rPr>
                <w:rFonts w:asciiTheme="majorBidi" w:eastAsia="Times New Roman" w:hAnsiTheme="majorBidi" w:cstheme="majorBidi"/>
                <w:kern w:val="0"/>
                <w:sz w:val="24"/>
                <w:szCs w:val="24"/>
                <w14:ligatures w14:val="none"/>
              </w:rPr>
              <w:t>1</w:t>
            </w:r>
          </w:p>
        </w:tc>
        <w:tc>
          <w:tcPr>
            <w:tcW w:w="400" w:type="pct"/>
            <w:vAlign w:val="center"/>
            <w:hideMark/>
          </w:tcPr>
          <w:p w14:paraId="72B2C7D1"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202</w:t>
            </w:r>
          </w:p>
        </w:tc>
        <w:tc>
          <w:tcPr>
            <w:tcW w:w="678" w:type="pct"/>
            <w:vAlign w:val="center"/>
            <w:hideMark/>
          </w:tcPr>
          <w:p w14:paraId="4FA8A3B9"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130</w:t>
            </w:r>
          </w:p>
        </w:tc>
        <w:tc>
          <w:tcPr>
            <w:tcW w:w="467" w:type="pct"/>
            <w:vAlign w:val="center"/>
            <w:hideMark/>
          </w:tcPr>
          <w:p w14:paraId="139DC15B"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43</w:t>
            </w:r>
          </w:p>
        </w:tc>
        <w:tc>
          <w:tcPr>
            <w:tcW w:w="337" w:type="pct"/>
            <w:vAlign w:val="center"/>
            <w:hideMark/>
          </w:tcPr>
          <w:p w14:paraId="260F8F09"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375</w:t>
            </w:r>
          </w:p>
        </w:tc>
        <w:tc>
          <w:tcPr>
            <w:tcW w:w="548" w:type="pct"/>
            <w:vAlign w:val="center"/>
            <w:hideMark/>
          </w:tcPr>
          <w:p w14:paraId="3DEF10FB"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53.866667</w:t>
            </w:r>
          </w:p>
        </w:tc>
        <w:tc>
          <w:tcPr>
            <w:tcW w:w="678" w:type="pct"/>
          </w:tcPr>
          <w:p w14:paraId="24C79B71"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p>
        </w:tc>
        <w:tc>
          <w:tcPr>
            <w:tcW w:w="678" w:type="pct"/>
            <w:vAlign w:val="center"/>
            <w:hideMark/>
          </w:tcPr>
          <w:p w14:paraId="176B3651" w14:textId="7D96FF28"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34.666667</w:t>
            </w:r>
          </w:p>
        </w:tc>
        <w:tc>
          <w:tcPr>
            <w:tcW w:w="548" w:type="pct"/>
            <w:vAlign w:val="center"/>
            <w:hideMark/>
          </w:tcPr>
          <w:p w14:paraId="070F7FB2" w14:textId="7407DF02"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11.46</w:t>
            </w:r>
          </w:p>
        </w:tc>
        <w:tc>
          <w:tcPr>
            <w:tcW w:w="336" w:type="pct"/>
            <w:vAlign w:val="center"/>
            <w:hideMark/>
          </w:tcPr>
          <w:p w14:paraId="78A280F7"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92%</w:t>
            </w:r>
          </w:p>
        </w:tc>
      </w:tr>
      <w:tr w:rsidR="00A63FF0" w:rsidRPr="005A15A2" w14:paraId="02EC6134" w14:textId="77777777" w:rsidTr="00A63FF0">
        <w:trPr>
          <w:trHeight w:val="354"/>
        </w:trPr>
        <w:tc>
          <w:tcPr>
            <w:cnfStyle w:val="001000000000" w:firstRow="0" w:lastRow="0" w:firstColumn="1" w:lastColumn="0" w:oddVBand="0" w:evenVBand="0" w:oddHBand="0" w:evenHBand="0" w:firstRowFirstColumn="0" w:firstRowLastColumn="0" w:lastRowFirstColumn="0" w:lastRowLastColumn="0"/>
            <w:tcW w:w="332" w:type="pct"/>
            <w:vAlign w:val="center"/>
            <w:hideMark/>
          </w:tcPr>
          <w:p w14:paraId="16211963" w14:textId="00AA2523" w:rsidR="00A63FF0" w:rsidRPr="004F7F77" w:rsidRDefault="00A63FF0" w:rsidP="005A15A2">
            <w:pPr>
              <w:spacing w:line="360" w:lineRule="auto"/>
              <w:jc w:val="center"/>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 xml:space="preserve">Type </w:t>
            </w:r>
            <w:r w:rsidRPr="005A15A2">
              <w:rPr>
                <w:rFonts w:asciiTheme="majorBidi" w:eastAsia="Times New Roman" w:hAnsiTheme="majorBidi" w:cstheme="majorBidi"/>
                <w:kern w:val="0"/>
                <w:sz w:val="24"/>
                <w:szCs w:val="24"/>
                <w14:ligatures w14:val="none"/>
              </w:rPr>
              <w:t>2</w:t>
            </w:r>
          </w:p>
        </w:tc>
        <w:tc>
          <w:tcPr>
            <w:tcW w:w="400" w:type="pct"/>
            <w:vAlign w:val="center"/>
            <w:hideMark/>
          </w:tcPr>
          <w:p w14:paraId="0ED7B54C" w14:textId="77777777" w:rsidR="00A63FF0" w:rsidRPr="004F7F77" w:rsidRDefault="00A63FF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9</w:t>
            </w:r>
          </w:p>
        </w:tc>
        <w:tc>
          <w:tcPr>
            <w:tcW w:w="678" w:type="pct"/>
            <w:vAlign w:val="center"/>
            <w:hideMark/>
          </w:tcPr>
          <w:p w14:paraId="0452DF48" w14:textId="77777777" w:rsidR="00A63FF0" w:rsidRPr="004F7F77" w:rsidRDefault="00A63FF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12</w:t>
            </w:r>
          </w:p>
        </w:tc>
        <w:tc>
          <w:tcPr>
            <w:tcW w:w="467" w:type="pct"/>
            <w:vAlign w:val="center"/>
            <w:hideMark/>
          </w:tcPr>
          <w:p w14:paraId="7A4C893F" w14:textId="77777777" w:rsidR="00A63FF0" w:rsidRPr="004F7F77" w:rsidRDefault="00A63FF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0</w:t>
            </w:r>
          </w:p>
        </w:tc>
        <w:tc>
          <w:tcPr>
            <w:tcW w:w="337" w:type="pct"/>
            <w:vAlign w:val="center"/>
            <w:hideMark/>
          </w:tcPr>
          <w:p w14:paraId="653A29A6" w14:textId="77777777" w:rsidR="00A63FF0" w:rsidRPr="004F7F77" w:rsidRDefault="00A63FF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21</w:t>
            </w:r>
          </w:p>
        </w:tc>
        <w:tc>
          <w:tcPr>
            <w:tcW w:w="548" w:type="pct"/>
            <w:vAlign w:val="center"/>
            <w:hideMark/>
          </w:tcPr>
          <w:p w14:paraId="035CB793" w14:textId="77777777" w:rsidR="00A63FF0" w:rsidRPr="004F7F77" w:rsidRDefault="00A63FF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42.857143</w:t>
            </w:r>
          </w:p>
        </w:tc>
        <w:tc>
          <w:tcPr>
            <w:tcW w:w="678" w:type="pct"/>
          </w:tcPr>
          <w:p w14:paraId="4126768A" w14:textId="77777777" w:rsidR="00A63FF0" w:rsidRPr="004F7F77" w:rsidRDefault="00A63FF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p>
        </w:tc>
        <w:tc>
          <w:tcPr>
            <w:tcW w:w="678" w:type="pct"/>
            <w:vAlign w:val="center"/>
            <w:hideMark/>
          </w:tcPr>
          <w:p w14:paraId="16FB35F5" w14:textId="18A305E9" w:rsidR="00A63FF0" w:rsidRPr="004F7F77" w:rsidRDefault="00A63FF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57.142857</w:t>
            </w:r>
          </w:p>
        </w:tc>
        <w:tc>
          <w:tcPr>
            <w:tcW w:w="548" w:type="pct"/>
            <w:vAlign w:val="center"/>
            <w:hideMark/>
          </w:tcPr>
          <w:p w14:paraId="3E51AA48" w14:textId="77777777" w:rsidR="00A63FF0" w:rsidRPr="004F7F77" w:rsidRDefault="00A63FF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0</w:t>
            </w:r>
          </w:p>
        </w:tc>
        <w:tc>
          <w:tcPr>
            <w:tcW w:w="336" w:type="pct"/>
            <w:vAlign w:val="center"/>
            <w:hideMark/>
          </w:tcPr>
          <w:p w14:paraId="5DFE616C" w14:textId="77777777" w:rsidR="00A63FF0" w:rsidRPr="004F7F77" w:rsidRDefault="00A63FF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5%</w:t>
            </w:r>
          </w:p>
        </w:tc>
      </w:tr>
      <w:tr w:rsidR="00A63FF0" w:rsidRPr="005A15A2" w14:paraId="6706B722" w14:textId="77777777" w:rsidTr="00A63FF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32" w:type="pct"/>
            <w:vAlign w:val="center"/>
            <w:hideMark/>
          </w:tcPr>
          <w:p w14:paraId="4159A9C2" w14:textId="37339434" w:rsidR="00A63FF0" w:rsidRPr="004F7F77" w:rsidRDefault="00A63FF0" w:rsidP="005A15A2">
            <w:pPr>
              <w:spacing w:line="360" w:lineRule="auto"/>
              <w:jc w:val="center"/>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 xml:space="preserve">Type </w:t>
            </w:r>
            <w:r w:rsidRPr="005A15A2">
              <w:rPr>
                <w:rFonts w:asciiTheme="majorBidi" w:eastAsia="Times New Roman" w:hAnsiTheme="majorBidi" w:cstheme="majorBidi"/>
                <w:kern w:val="0"/>
                <w:sz w:val="24"/>
                <w:szCs w:val="24"/>
                <w14:ligatures w14:val="none"/>
              </w:rPr>
              <w:t>3</w:t>
            </w:r>
          </w:p>
        </w:tc>
        <w:tc>
          <w:tcPr>
            <w:tcW w:w="400" w:type="pct"/>
            <w:vAlign w:val="center"/>
            <w:hideMark/>
          </w:tcPr>
          <w:p w14:paraId="27D25537"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6</w:t>
            </w:r>
          </w:p>
        </w:tc>
        <w:tc>
          <w:tcPr>
            <w:tcW w:w="678" w:type="pct"/>
            <w:vAlign w:val="center"/>
            <w:hideMark/>
          </w:tcPr>
          <w:p w14:paraId="4B1BF260"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5</w:t>
            </w:r>
          </w:p>
        </w:tc>
        <w:tc>
          <w:tcPr>
            <w:tcW w:w="467" w:type="pct"/>
            <w:vAlign w:val="center"/>
            <w:hideMark/>
          </w:tcPr>
          <w:p w14:paraId="0A2E2D16"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0</w:t>
            </w:r>
          </w:p>
        </w:tc>
        <w:tc>
          <w:tcPr>
            <w:tcW w:w="337" w:type="pct"/>
            <w:vAlign w:val="center"/>
            <w:hideMark/>
          </w:tcPr>
          <w:p w14:paraId="28846129"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11</w:t>
            </w:r>
          </w:p>
        </w:tc>
        <w:tc>
          <w:tcPr>
            <w:tcW w:w="548" w:type="pct"/>
            <w:vAlign w:val="center"/>
            <w:hideMark/>
          </w:tcPr>
          <w:p w14:paraId="79903643"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54.545455</w:t>
            </w:r>
          </w:p>
        </w:tc>
        <w:tc>
          <w:tcPr>
            <w:tcW w:w="678" w:type="pct"/>
          </w:tcPr>
          <w:p w14:paraId="0567A265"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p>
        </w:tc>
        <w:tc>
          <w:tcPr>
            <w:tcW w:w="678" w:type="pct"/>
            <w:vAlign w:val="center"/>
            <w:hideMark/>
          </w:tcPr>
          <w:p w14:paraId="2C7E9669" w14:textId="7B9E5D21"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45.454545</w:t>
            </w:r>
          </w:p>
        </w:tc>
        <w:tc>
          <w:tcPr>
            <w:tcW w:w="548" w:type="pct"/>
            <w:vAlign w:val="center"/>
            <w:hideMark/>
          </w:tcPr>
          <w:p w14:paraId="0F5D0D8B"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0</w:t>
            </w:r>
          </w:p>
        </w:tc>
        <w:tc>
          <w:tcPr>
            <w:tcW w:w="336" w:type="pct"/>
            <w:vAlign w:val="center"/>
            <w:hideMark/>
          </w:tcPr>
          <w:p w14:paraId="7FDD4756" w14:textId="77777777" w:rsidR="00A63FF0" w:rsidRPr="004F7F77" w:rsidRDefault="00A63FF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4F7F77">
              <w:rPr>
                <w:rFonts w:asciiTheme="majorBidi" w:eastAsia="Times New Roman" w:hAnsiTheme="majorBidi" w:cstheme="majorBidi"/>
                <w:kern w:val="0"/>
                <w:sz w:val="24"/>
                <w:szCs w:val="24"/>
                <w14:ligatures w14:val="none"/>
              </w:rPr>
              <w:t>3%</w:t>
            </w:r>
          </w:p>
        </w:tc>
      </w:tr>
    </w:tbl>
    <w:p w14:paraId="0264947A" w14:textId="49B8358E" w:rsidR="00F16472" w:rsidRPr="005A15A2" w:rsidRDefault="00F16472" w:rsidP="005A15A2">
      <w:pPr>
        <w:spacing w:line="360" w:lineRule="auto"/>
        <w:jc w:val="both"/>
        <w:rPr>
          <w:rFonts w:asciiTheme="majorBidi" w:hAnsiTheme="majorBidi" w:cstheme="majorBidi"/>
          <w:sz w:val="24"/>
          <w:szCs w:val="24"/>
        </w:rPr>
      </w:pPr>
    </w:p>
    <w:p w14:paraId="75E235F6" w14:textId="4FC4D9DD" w:rsidR="00A95A39" w:rsidRPr="005A15A2" w:rsidRDefault="00A95A39" w:rsidP="00F42599">
      <w:pPr>
        <w:pStyle w:val="Heading2"/>
      </w:pPr>
      <w:bookmarkStart w:id="7" w:name="_Toc137645807"/>
      <w:r w:rsidRPr="005A15A2">
        <w:t>Gibbs Plot:</w:t>
      </w:r>
      <w:bookmarkEnd w:id="7"/>
    </w:p>
    <w:p w14:paraId="2DB48B63" w14:textId="77777777" w:rsidR="00A73303" w:rsidRPr="005A15A2" w:rsidRDefault="00A73303" w:rsidP="005A15A2">
      <w:pPr>
        <w:pStyle w:val="NormalWeb"/>
        <w:spacing w:line="360" w:lineRule="auto"/>
        <w:jc w:val="both"/>
        <w:rPr>
          <w:rFonts w:asciiTheme="majorBidi" w:hAnsiTheme="majorBidi" w:cstheme="majorBidi"/>
        </w:rPr>
      </w:pPr>
      <w:r w:rsidRPr="005A15A2">
        <w:rPr>
          <w:rFonts w:asciiTheme="majorBidi" w:hAnsiTheme="majorBidi" w:cstheme="majorBidi"/>
        </w:rPr>
        <w:t>The Gibbs plot stands as a powerful graphical method employed in the meticulous analysis of water chemistry within a specific geographical region, taking into account the diverse influence of various climate conditions. By delving into the intricacies of the Gibbs plot, valuable insights can be gained regarding the dominant processes and factors that shape the water chemistry within the study area. This graphical representation serves as a valuable tool in unraveling the complex interplay of elements that contribute to groundwater chemistry.</w:t>
      </w:r>
    </w:p>
    <w:p w14:paraId="0254218C" w14:textId="77777777" w:rsidR="00A73303" w:rsidRPr="005A15A2" w:rsidRDefault="00A73303" w:rsidP="005A15A2">
      <w:pPr>
        <w:pStyle w:val="NormalWeb"/>
        <w:spacing w:line="360" w:lineRule="auto"/>
        <w:jc w:val="both"/>
        <w:rPr>
          <w:rFonts w:asciiTheme="majorBidi" w:hAnsiTheme="majorBidi" w:cstheme="majorBidi"/>
        </w:rPr>
      </w:pPr>
      <w:r w:rsidRPr="005A15A2">
        <w:rPr>
          <w:rFonts w:asciiTheme="majorBidi" w:hAnsiTheme="majorBidi" w:cstheme="majorBidi"/>
        </w:rPr>
        <w:t>The Gibbs plot effectively illustrates a range of processes that can significantly impact the chemistry of groundwater. These processes include evaporation dominance, evaporation crystallization dominance, rock dominance, atmospheric precipitation dominance, and rainfall dominance. By closely examining the spatial arrangement of data points on the Gibbs diagram, the key controlling processes governing water chemistry can be discerned, providing crucial information for comprehensive analysis.</w:t>
      </w:r>
    </w:p>
    <w:p w14:paraId="70979D65" w14:textId="79B002E6" w:rsidR="00A73303" w:rsidRPr="005A15A2" w:rsidRDefault="00A73303" w:rsidP="005A15A2">
      <w:pPr>
        <w:pStyle w:val="NormalWeb"/>
        <w:spacing w:line="360" w:lineRule="auto"/>
        <w:jc w:val="both"/>
        <w:rPr>
          <w:rFonts w:asciiTheme="majorBidi" w:hAnsiTheme="majorBidi" w:cstheme="majorBidi"/>
        </w:rPr>
      </w:pPr>
      <w:r w:rsidRPr="005A15A2">
        <w:rPr>
          <w:rFonts w:asciiTheme="majorBidi" w:hAnsiTheme="majorBidi" w:cstheme="majorBidi"/>
        </w:rPr>
        <w:t>Construction of the Gibbs plot involves the utilization of two vital ratios: one for anions and one for cations. The anion ratio, calculated by dividing the chloride ion concentration (Cl-) by the sum of chloride and bicarbonate ion concentrations (Cl- + HCO3-), enables an in-depth understanding of anionic contributions to water chemistry. Similarly, the cation ratio, calculated by dividing the sum of sodium and potassium ion concentrations (Na) by the sum of sodium and calcium ion concentrations (Na</w:t>
      </w:r>
      <w:r w:rsidR="00864588" w:rsidRPr="005A15A2">
        <w:rPr>
          <w:rFonts w:asciiTheme="majorBidi" w:hAnsiTheme="majorBidi" w:cstheme="majorBidi"/>
        </w:rPr>
        <w:t xml:space="preserve"> </w:t>
      </w:r>
      <w:r w:rsidRPr="005A15A2">
        <w:rPr>
          <w:rFonts w:asciiTheme="majorBidi" w:hAnsiTheme="majorBidi" w:cstheme="majorBidi"/>
        </w:rPr>
        <w:t>+</w:t>
      </w:r>
      <w:r w:rsidR="00864588" w:rsidRPr="005A15A2">
        <w:rPr>
          <w:rFonts w:asciiTheme="majorBidi" w:hAnsiTheme="majorBidi" w:cstheme="majorBidi"/>
        </w:rPr>
        <w:t xml:space="preserve"> </w:t>
      </w:r>
      <w:r w:rsidRPr="005A15A2">
        <w:rPr>
          <w:rFonts w:asciiTheme="majorBidi" w:hAnsiTheme="majorBidi" w:cstheme="majorBidi"/>
        </w:rPr>
        <w:t>Ca), sheds light on the relative abundance of cations.</w:t>
      </w:r>
    </w:p>
    <w:p w14:paraId="037E2BFA" w14:textId="3473CB74" w:rsidR="00A73303" w:rsidRPr="005A15A2" w:rsidRDefault="00A73303" w:rsidP="005A15A2">
      <w:pPr>
        <w:pStyle w:val="NormalWeb"/>
        <w:spacing w:line="360" w:lineRule="auto"/>
        <w:jc w:val="both"/>
        <w:rPr>
          <w:rFonts w:asciiTheme="majorBidi" w:hAnsiTheme="majorBidi" w:cstheme="majorBidi"/>
        </w:rPr>
      </w:pPr>
      <w:r w:rsidRPr="005A15A2">
        <w:rPr>
          <w:rFonts w:asciiTheme="majorBidi" w:hAnsiTheme="majorBidi" w:cstheme="majorBidi"/>
        </w:rPr>
        <w:t>Displayed within the Gibbs plot are the distributions of cations and anions. It is noteworthy that the majority of the analyzed samples exhibit TDS (Total Dissolved Solids) values falling within the range of 100-10000. TDS values within the range of 100</w:t>
      </w:r>
      <w:r w:rsidR="00864588" w:rsidRPr="005A15A2">
        <w:rPr>
          <w:rFonts w:asciiTheme="majorBidi" w:hAnsiTheme="majorBidi" w:cstheme="majorBidi"/>
        </w:rPr>
        <w:t xml:space="preserve">0 </w:t>
      </w:r>
      <w:r w:rsidRPr="005A15A2">
        <w:rPr>
          <w:rFonts w:asciiTheme="majorBidi" w:hAnsiTheme="majorBidi" w:cstheme="majorBidi"/>
        </w:rPr>
        <w:t>-10000 indicate the influence of evaporation processes. Furthermore, TDS values ranging from 1000-1000</w:t>
      </w:r>
      <w:r w:rsidR="00864588" w:rsidRPr="005A15A2">
        <w:rPr>
          <w:rFonts w:asciiTheme="majorBidi" w:hAnsiTheme="majorBidi" w:cstheme="majorBidi"/>
        </w:rPr>
        <w:t>0</w:t>
      </w:r>
      <w:r w:rsidRPr="005A15A2">
        <w:rPr>
          <w:rFonts w:asciiTheme="majorBidi" w:hAnsiTheme="majorBidi" w:cstheme="majorBidi"/>
        </w:rPr>
        <w:t xml:space="preserve"> signify the effect of "Rock Dominance" on water chemistry.</w:t>
      </w:r>
    </w:p>
    <w:p w14:paraId="1A69B8D0" w14:textId="2244A431" w:rsidR="00A73303" w:rsidRPr="005A15A2" w:rsidRDefault="00A73303" w:rsidP="005A15A2">
      <w:pPr>
        <w:pStyle w:val="NormalWeb"/>
        <w:spacing w:line="360" w:lineRule="auto"/>
        <w:jc w:val="both"/>
        <w:rPr>
          <w:rFonts w:asciiTheme="majorBidi" w:hAnsiTheme="majorBidi" w:cstheme="majorBidi"/>
        </w:rPr>
      </w:pPr>
      <w:r w:rsidRPr="005A15A2">
        <w:rPr>
          <w:rFonts w:asciiTheme="majorBidi" w:hAnsiTheme="majorBidi" w:cstheme="majorBidi"/>
        </w:rPr>
        <w:t xml:space="preserve">Based on our comprehensive analysis and interpretation of the obtained results, it can be confidently stated that the water chemistry of District Gujrat is predominantly controlled by the intricate interplay of rock dominance and evaporation crystallization processes. These findings provide valuable insights into the underlying mechanisms shaping the water composition within the region, facilitating a more profound understanding of the hydrological dynamics and contributing to informed decision-making regarding water resource management. </w:t>
      </w:r>
    </w:p>
    <w:p w14:paraId="03143680" w14:textId="77777777" w:rsidR="00A63FF0" w:rsidRDefault="000C14B7" w:rsidP="00A63FF0">
      <w:pPr>
        <w:keepNext/>
        <w:spacing w:line="360" w:lineRule="auto"/>
        <w:jc w:val="center"/>
      </w:pPr>
      <w:r w:rsidRPr="005A15A2">
        <w:rPr>
          <w:rFonts w:asciiTheme="majorBidi" w:hAnsiTheme="majorBidi" w:cstheme="majorBidi"/>
          <w:noProof/>
          <w:sz w:val="24"/>
          <w:szCs w:val="24"/>
        </w:rPr>
        <w:drawing>
          <wp:inline distT="0" distB="0" distL="0" distR="0" wp14:anchorId="18E01576" wp14:editId="401C3349">
            <wp:extent cx="5943363" cy="4071620"/>
            <wp:effectExtent l="19050" t="19050" r="19685" b="24130"/>
            <wp:docPr id="71356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68364"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363" cy="4071620"/>
                    </a:xfrm>
                    <a:prstGeom prst="rect">
                      <a:avLst/>
                    </a:prstGeom>
                    <a:ln>
                      <a:solidFill>
                        <a:schemeClr val="tx1"/>
                      </a:solidFill>
                    </a:ln>
                  </pic:spPr>
                </pic:pic>
              </a:graphicData>
            </a:graphic>
          </wp:inline>
        </w:drawing>
      </w:r>
    </w:p>
    <w:p w14:paraId="0BAADCD7" w14:textId="2ED9225A" w:rsidR="00D23AD2" w:rsidRPr="00A63FF0" w:rsidRDefault="00A63FF0" w:rsidP="00A63FF0">
      <w:pPr>
        <w:pStyle w:val="Caption"/>
        <w:jc w:val="center"/>
        <w:rPr>
          <w:rFonts w:asciiTheme="majorBidi" w:hAnsiTheme="majorBidi" w:cstheme="majorBidi"/>
          <w:sz w:val="36"/>
          <w:szCs w:val="36"/>
        </w:rPr>
      </w:pPr>
      <w:r w:rsidRPr="00A63FF0">
        <w:rPr>
          <w:sz w:val="24"/>
          <w:szCs w:val="24"/>
        </w:rPr>
        <w:t xml:space="preserve">Figure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4</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Figure \* ARABIC \s 1 </w:instrText>
      </w:r>
      <w:r w:rsidR="005425B2">
        <w:rPr>
          <w:sz w:val="24"/>
          <w:szCs w:val="24"/>
        </w:rPr>
        <w:fldChar w:fldCharType="separate"/>
      </w:r>
      <w:r w:rsidR="005425B2">
        <w:rPr>
          <w:noProof/>
          <w:sz w:val="24"/>
          <w:szCs w:val="24"/>
        </w:rPr>
        <w:t>2</w:t>
      </w:r>
      <w:r w:rsidR="005425B2">
        <w:rPr>
          <w:sz w:val="24"/>
          <w:szCs w:val="24"/>
        </w:rPr>
        <w:fldChar w:fldCharType="end"/>
      </w:r>
      <w:r w:rsidRPr="00A63FF0">
        <w:rPr>
          <w:sz w:val="24"/>
          <w:szCs w:val="24"/>
        </w:rPr>
        <w:t>: Gibbs Plot</w:t>
      </w:r>
    </w:p>
    <w:p w14:paraId="05339182" w14:textId="053B4C68" w:rsidR="008A4C98" w:rsidRPr="005A15A2" w:rsidRDefault="009D1E5B" w:rsidP="00F42599">
      <w:pPr>
        <w:pStyle w:val="Heading2"/>
      </w:pPr>
      <w:bookmarkStart w:id="8" w:name="_Toc137645808"/>
      <w:r w:rsidRPr="005A15A2">
        <w:t>Hydro Geochemical Facies</w:t>
      </w:r>
      <w:r w:rsidR="00526306" w:rsidRPr="005A15A2">
        <w:t>:</w:t>
      </w:r>
      <w:bookmarkEnd w:id="8"/>
    </w:p>
    <w:p w14:paraId="09DD881A" w14:textId="12BAFE00" w:rsidR="00C44787" w:rsidRPr="005A15A2" w:rsidRDefault="00C44787" w:rsidP="005A15A2">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 xml:space="preserve">The Piper plot, a trilinear diagram, is a graphical tool for analyzing and classifying water chemistry. It utilizes three equilateral triangles to represent the concentrations of major cations (calcium, magnesium, sodium, and potassium) and major anions (bicarbonate, sulfate, and chloride). These triangles connect to form a hexagon, revealing the intricate composition of water samples in a visually concise manner. </w:t>
      </w:r>
    </w:p>
    <w:p w14:paraId="19B06070" w14:textId="77777777" w:rsidR="00C44787" w:rsidRPr="005A15A2" w:rsidRDefault="00C44787" w:rsidP="005A15A2">
      <w:pPr>
        <w:spacing w:line="360" w:lineRule="auto"/>
        <w:jc w:val="both"/>
        <w:rPr>
          <w:rFonts w:asciiTheme="majorBidi" w:hAnsiTheme="majorBidi" w:cstheme="majorBidi"/>
          <w:sz w:val="24"/>
          <w:szCs w:val="24"/>
        </w:rPr>
      </w:pPr>
    </w:p>
    <w:p w14:paraId="1386AB65" w14:textId="77777777" w:rsidR="00A63FF0" w:rsidRDefault="004C7A19" w:rsidP="00A63FF0">
      <w:pPr>
        <w:keepNext/>
        <w:spacing w:line="360" w:lineRule="auto"/>
        <w:jc w:val="center"/>
      </w:pPr>
      <w:r w:rsidRPr="005A15A2">
        <w:rPr>
          <w:rFonts w:asciiTheme="majorBidi" w:hAnsiTheme="majorBidi" w:cstheme="majorBidi"/>
          <w:noProof/>
          <w:sz w:val="24"/>
          <w:szCs w:val="24"/>
        </w:rPr>
        <w:drawing>
          <wp:inline distT="0" distB="0" distL="0" distR="0" wp14:anchorId="43519CDF" wp14:editId="2392D42B">
            <wp:extent cx="4958876" cy="4509706"/>
            <wp:effectExtent l="19050" t="19050" r="13335" b="24765"/>
            <wp:docPr id="744234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34986"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9493" cy="4519361"/>
                    </a:xfrm>
                    <a:prstGeom prst="rect">
                      <a:avLst/>
                    </a:prstGeom>
                    <a:ln>
                      <a:solidFill>
                        <a:schemeClr val="tx1"/>
                      </a:solidFill>
                    </a:ln>
                  </pic:spPr>
                </pic:pic>
              </a:graphicData>
            </a:graphic>
          </wp:inline>
        </w:drawing>
      </w:r>
    </w:p>
    <w:p w14:paraId="685B8EA3" w14:textId="69C6C3DA" w:rsidR="001D3B56" w:rsidRPr="00F46AFF" w:rsidRDefault="00A63FF0" w:rsidP="00F46AFF">
      <w:pPr>
        <w:pStyle w:val="Caption"/>
        <w:jc w:val="center"/>
        <w:rPr>
          <w:rFonts w:asciiTheme="majorBidi" w:hAnsiTheme="majorBidi" w:cstheme="majorBidi"/>
          <w:sz w:val="36"/>
          <w:szCs w:val="36"/>
        </w:rPr>
      </w:pPr>
      <w:r w:rsidRPr="00A63FF0">
        <w:rPr>
          <w:sz w:val="24"/>
          <w:szCs w:val="24"/>
        </w:rPr>
        <w:t xml:space="preserve">Figure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4</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Figure \* ARABIC \s 1 </w:instrText>
      </w:r>
      <w:r w:rsidR="005425B2">
        <w:rPr>
          <w:sz w:val="24"/>
          <w:szCs w:val="24"/>
        </w:rPr>
        <w:fldChar w:fldCharType="separate"/>
      </w:r>
      <w:r w:rsidR="005425B2">
        <w:rPr>
          <w:noProof/>
          <w:sz w:val="24"/>
          <w:szCs w:val="24"/>
        </w:rPr>
        <w:t>3</w:t>
      </w:r>
      <w:r w:rsidR="005425B2">
        <w:rPr>
          <w:sz w:val="24"/>
          <w:szCs w:val="24"/>
        </w:rPr>
        <w:fldChar w:fldCharType="end"/>
      </w:r>
      <w:r w:rsidRPr="00A63FF0">
        <w:rPr>
          <w:sz w:val="24"/>
          <w:szCs w:val="24"/>
        </w:rPr>
        <w:t>: Piper Plot</w:t>
      </w:r>
    </w:p>
    <w:p w14:paraId="7D9728A2" w14:textId="0FD7B62A" w:rsidR="00F46AFF" w:rsidRPr="00F46AFF" w:rsidRDefault="00F46AFF" w:rsidP="00F46AFF">
      <w:pPr>
        <w:pStyle w:val="Caption"/>
        <w:keepNext/>
        <w:rPr>
          <w:sz w:val="24"/>
          <w:szCs w:val="24"/>
        </w:rPr>
      </w:pPr>
      <w:r w:rsidRPr="00F46AFF">
        <w:rPr>
          <w:sz w:val="24"/>
          <w:szCs w:val="24"/>
        </w:rPr>
        <w:t xml:space="preserve">Table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4</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Table \* ARABIC \s 1 </w:instrText>
      </w:r>
      <w:r w:rsidR="005425B2">
        <w:rPr>
          <w:sz w:val="24"/>
          <w:szCs w:val="24"/>
        </w:rPr>
        <w:fldChar w:fldCharType="separate"/>
      </w:r>
      <w:r w:rsidR="005425B2">
        <w:rPr>
          <w:noProof/>
          <w:sz w:val="24"/>
          <w:szCs w:val="24"/>
        </w:rPr>
        <w:t>3</w:t>
      </w:r>
      <w:r w:rsidR="005425B2">
        <w:rPr>
          <w:sz w:val="24"/>
          <w:szCs w:val="24"/>
        </w:rPr>
        <w:fldChar w:fldCharType="end"/>
      </w:r>
      <w:r w:rsidRPr="00F46AFF">
        <w:rPr>
          <w:sz w:val="24"/>
          <w:szCs w:val="24"/>
        </w:rPr>
        <w:t>: Ion Concentrationbased on Piper Plot</w:t>
      </w:r>
    </w:p>
    <w:tbl>
      <w:tblPr>
        <w:tblStyle w:val="GridTable4-Accent5"/>
        <w:tblW w:w="0" w:type="auto"/>
        <w:tblInd w:w="808" w:type="dxa"/>
        <w:tblLook w:val="04A0" w:firstRow="1" w:lastRow="0" w:firstColumn="1" w:lastColumn="0" w:noHBand="0" w:noVBand="1"/>
      </w:tblPr>
      <w:tblGrid>
        <w:gridCol w:w="1440"/>
        <w:gridCol w:w="6295"/>
      </w:tblGrid>
      <w:tr w:rsidR="004C7A19" w:rsidRPr="005A15A2" w14:paraId="72C354EB" w14:textId="77777777" w:rsidTr="00816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C8D3621"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Denotation</w:t>
            </w:r>
          </w:p>
        </w:tc>
        <w:tc>
          <w:tcPr>
            <w:tcW w:w="6295" w:type="dxa"/>
          </w:tcPr>
          <w:p w14:paraId="20623621" w14:textId="77777777" w:rsidR="004C7A19" w:rsidRPr="005A15A2" w:rsidRDefault="004C7A19" w:rsidP="005A15A2">
            <w:pPr>
              <w:tabs>
                <w:tab w:val="left" w:pos="5653"/>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Classes</w:t>
            </w:r>
          </w:p>
        </w:tc>
      </w:tr>
      <w:tr w:rsidR="004C7A19" w:rsidRPr="005A15A2" w14:paraId="503F640A" w14:textId="77777777" w:rsidTr="0081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A9DBFC5"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1</w:t>
            </w:r>
          </w:p>
        </w:tc>
        <w:tc>
          <w:tcPr>
            <w:tcW w:w="6295" w:type="dxa"/>
          </w:tcPr>
          <w:p w14:paraId="20D2C0E9" w14:textId="77777777" w:rsidR="004C7A19" w:rsidRPr="005A15A2" w:rsidRDefault="004C7A19" w:rsidP="005A15A2">
            <w:pPr>
              <w:tabs>
                <w:tab w:val="left" w:pos="5653"/>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Mixed Ca Mg Cl SO</w:t>
            </w:r>
            <w:r w:rsidRPr="005A15A2">
              <w:rPr>
                <w:rFonts w:asciiTheme="majorBidi" w:hAnsiTheme="majorBidi" w:cstheme="majorBidi"/>
                <w:sz w:val="24"/>
                <w:szCs w:val="24"/>
                <w:vertAlign w:val="subscript"/>
              </w:rPr>
              <w:t>4</w:t>
            </w:r>
            <w:r w:rsidRPr="005A15A2">
              <w:rPr>
                <w:rFonts w:asciiTheme="majorBidi" w:hAnsiTheme="majorBidi" w:cstheme="majorBidi"/>
                <w:sz w:val="24"/>
                <w:szCs w:val="24"/>
              </w:rPr>
              <w:t xml:space="preserve"> type</w:t>
            </w:r>
          </w:p>
        </w:tc>
      </w:tr>
      <w:tr w:rsidR="004C7A19" w:rsidRPr="005A15A2" w14:paraId="750C0A39" w14:textId="77777777" w:rsidTr="00816AD9">
        <w:tc>
          <w:tcPr>
            <w:cnfStyle w:val="001000000000" w:firstRow="0" w:lastRow="0" w:firstColumn="1" w:lastColumn="0" w:oddVBand="0" w:evenVBand="0" w:oddHBand="0" w:evenHBand="0" w:firstRowFirstColumn="0" w:firstRowLastColumn="0" w:lastRowFirstColumn="0" w:lastRowLastColumn="0"/>
            <w:tcW w:w="1440" w:type="dxa"/>
          </w:tcPr>
          <w:p w14:paraId="2AEDB2B8"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2</w:t>
            </w:r>
          </w:p>
        </w:tc>
        <w:tc>
          <w:tcPr>
            <w:tcW w:w="6295" w:type="dxa"/>
          </w:tcPr>
          <w:p w14:paraId="7BEE0393" w14:textId="77777777" w:rsidR="004C7A19" w:rsidRPr="005A15A2" w:rsidRDefault="004C7A19" w:rsidP="005A15A2">
            <w:pPr>
              <w:tabs>
                <w:tab w:val="left" w:pos="5653"/>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SO</w:t>
            </w:r>
            <w:r w:rsidRPr="005A15A2">
              <w:rPr>
                <w:rFonts w:asciiTheme="majorBidi" w:hAnsiTheme="majorBidi" w:cstheme="majorBidi"/>
                <w:sz w:val="24"/>
                <w:szCs w:val="24"/>
                <w:vertAlign w:val="subscript"/>
              </w:rPr>
              <w:t>4</w:t>
            </w:r>
            <w:r w:rsidRPr="005A15A2">
              <w:rPr>
                <w:rFonts w:asciiTheme="majorBidi" w:hAnsiTheme="majorBidi" w:cstheme="majorBidi"/>
                <w:sz w:val="24"/>
                <w:szCs w:val="24"/>
              </w:rPr>
              <w:t xml:space="preserve"> Cl-Na type</w:t>
            </w:r>
          </w:p>
        </w:tc>
      </w:tr>
      <w:tr w:rsidR="004C7A19" w:rsidRPr="005A15A2" w14:paraId="0247FF3E" w14:textId="77777777" w:rsidTr="0081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9F1153B"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3</w:t>
            </w:r>
          </w:p>
        </w:tc>
        <w:tc>
          <w:tcPr>
            <w:tcW w:w="6295" w:type="dxa"/>
          </w:tcPr>
          <w:p w14:paraId="60C86142" w14:textId="77777777" w:rsidR="004C7A19" w:rsidRPr="005A15A2" w:rsidRDefault="004C7A19" w:rsidP="005A15A2">
            <w:pPr>
              <w:tabs>
                <w:tab w:val="left" w:pos="5653"/>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HCO</w:t>
            </w:r>
            <w:r w:rsidRPr="005A15A2">
              <w:rPr>
                <w:rFonts w:asciiTheme="majorBidi" w:hAnsiTheme="majorBidi" w:cstheme="majorBidi"/>
                <w:sz w:val="24"/>
                <w:szCs w:val="24"/>
                <w:vertAlign w:val="subscript"/>
              </w:rPr>
              <w:t>3</w:t>
            </w:r>
            <w:r w:rsidRPr="005A15A2">
              <w:rPr>
                <w:rFonts w:asciiTheme="majorBidi" w:hAnsiTheme="majorBidi" w:cstheme="majorBidi"/>
                <w:sz w:val="24"/>
                <w:szCs w:val="24"/>
              </w:rPr>
              <w:t>-Na Mg type</w:t>
            </w:r>
          </w:p>
        </w:tc>
      </w:tr>
      <w:tr w:rsidR="004C7A19" w:rsidRPr="005A15A2" w14:paraId="6661FCA5" w14:textId="77777777" w:rsidTr="00816AD9">
        <w:tc>
          <w:tcPr>
            <w:cnfStyle w:val="001000000000" w:firstRow="0" w:lastRow="0" w:firstColumn="1" w:lastColumn="0" w:oddVBand="0" w:evenVBand="0" w:oddHBand="0" w:evenHBand="0" w:firstRowFirstColumn="0" w:firstRowLastColumn="0" w:lastRowFirstColumn="0" w:lastRowLastColumn="0"/>
            <w:tcW w:w="1440" w:type="dxa"/>
          </w:tcPr>
          <w:p w14:paraId="1F178DF8"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4</w:t>
            </w:r>
          </w:p>
        </w:tc>
        <w:tc>
          <w:tcPr>
            <w:tcW w:w="6295" w:type="dxa"/>
          </w:tcPr>
          <w:p w14:paraId="65AE2F85" w14:textId="77777777" w:rsidR="004C7A19" w:rsidRPr="005A15A2" w:rsidRDefault="004C7A19" w:rsidP="005A15A2">
            <w:pPr>
              <w:tabs>
                <w:tab w:val="left" w:pos="5653"/>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HCO</w:t>
            </w:r>
            <w:r w:rsidRPr="005A15A2">
              <w:rPr>
                <w:rFonts w:asciiTheme="majorBidi" w:hAnsiTheme="majorBidi" w:cstheme="majorBidi"/>
                <w:sz w:val="24"/>
                <w:szCs w:val="24"/>
                <w:vertAlign w:val="subscript"/>
              </w:rPr>
              <w:t>3</w:t>
            </w:r>
            <w:r w:rsidRPr="005A15A2">
              <w:rPr>
                <w:rFonts w:asciiTheme="majorBidi" w:hAnsiTheme="majorBidi" w:cstheme="majorBidi"/>
                <w:sz w:val="24"/>
                <w:szCs w:val="24"/>
              </w:rPr>
              <w:t>-Ca Mg type</w:t>
            </w:r>
          </w:p>
        </w:tc>
      </w:tr>
      <w:tr w:rsidR="004C7A19" w:rsidRPr="005A15A2" w14:paraId="0D85CE05" w14:textId="77777777" w:rsidTr="0081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8264565"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A</w:t>
            </w:r>
          </w:p>
        </w:tc>
        <w:tc>
          <w:tcPr>
            <w:tcW w:w="6295" w:type="dxa"/>
          </w:tcPr>
          <w:p w14:paraId="4F410C68" w14:textId="77777777" w:rsidR="004C7A19" w:rsidRPr="005A15A2" w:rsidRDefault="004C7A19" w:rsidP="005A15A2">
            <w:pPr>
              <w:tabs>
                <w:tab w:val="left" w:pos="5653"/>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Calcium Type</w:t>
            </w:r>
          </w:p>
        </w:tc>
      </w:tr>
      <w:tr w:rsidR="004C7A19" w:rsidRPr="005A15A2" w14:paraId="52757431" w14:textId="77777777" w:rsidTr="00816AD9">
        <w:tc>
          <w:tcPr>
            <w:cnfStyle w:val="001000000000" w:firstRow="0" w:lastRow="0" w:firstColumn="1" w:lastColumn="0" w:oddVBand="0" w:evenVBand="0" w:oddHBand="0" w:evenHBand="0" w:firstRowFirstColumn="0" w:firstRowLastColumn="0" w:lastRowFirstColumn="0" w:lastRowLastColumn="0"/>
            <w:tcW w:w="1440" w:type="dxa"/>
          </w:tcPr>
          <w:p w14:paraId="613D604B"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B</w:t>
            </w:r>
          </w:p>
        </w:tc>
        <w:tc>
          <w:tcPr>
            <w:tcW w:w="6295" w:type="dxa"/>
          </w:tcPr>
          <w:p w14:paraId="0AA40C38" w14:textId="77777777" w:rsidR="004C7A19" w:rsidRPr="005A15A2" w:rsidRDefault="004C7A19" w:rsidP="005A15A2">
            <w:pPr>
              <w:tabs>
                <w:tab w:val="left" w:pos="5653"/>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No dominant Zone</w:t>
            </w:r>
          </w:p>
        </w:tc>
      </w:tr>
      <w:tr w:rsidR="004C7A19" w:rsidRPr="005A15A2" w14:paraId="13881FDE" w14:textId="77777777" w:rsidTr="0081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EF77050"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C</w:t>
            </w:r>
          </w:p>
        </w:tc>
        <w:tc>
          <w:tcPr>
            <w:tcW w:w="6295" w:type="dxa"/>
          </w:tcPr>
          <w:p w14:paraId="759C9835" w14:textId="77777777" w:rsidR="004C7A19" w:rsidRPr="005A15A2" w:rsidRDefault="004C7A19" w:rsidP="005A15A2">
            <w:pPr>
              <w:tabs>
                <w:tab w:val="left" w:pos="5653"/>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Magneisum Type</w:t>
            </w:r>
          </w:p>
        </w:tc>
      </w:tr>
      <w:tr w:rsidR="004C7A19" w:rsidRPr="005A15A2" w14:paraId="07C6C2D3" w14:textId="77777777" w:rsidTr="00816AD9">
        <w:tc>
          <w:tcPr>
            <w:cnfStyle w:val="001000000000" w:firstRow="0" w:lastRow="0" w:firstColumn="1" w:lastColumn="0" w:oddVBand="0" w:evenVBand="0" w:oddHBand="0" w:evenHBand="0" w:firstRowFirstColumn="0" w:firstRowLastColumn="0" w:lastRowFirstColumn="0" w:lastRowLastColumn="0"/>
            <w:tcW w:w="1440" w:type="dxa"/>
          </w:tcPr>
          <w:p w14:paraId="683B4FCD"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D</w:t>
            </w:r>
          </w:p>
        </w:tc>
        <w:tc>
          <w:tcPr>
            <w:tcW w:w="6295" w:type="dxa"/>
          </w:tcPr>
          <w:p w14:paraId="4671689A" w14:textId="77777777" w:rsidR="004C7A19" w:rsidRPr="005A15A2" w:rsidRDefault="004C7A19" w:rsidP="005A15A2">
            <w:pPr>
              <w:tabs>
                <w:tab w:val="left" w:pos="5653"/>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Sodium Type</w:t>
            </w:r>
          </w:p>
        </w:tc>
      </w:tr>
      <w:tr w:rsidR="004C7A19" w:rsidRPr="005A15A2" w14:paraId="399D53E2" w14:textId="77777777" w:rsidTr="0081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F2CDB30"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E</w:t>
            </w:r>
          </w:p>
        </w:tc>
        <w:tc>
          <w:tcPr>
            <w:tcW w:w="6295" w:type="dxa"/>
          </w:tcPr>
          <w:p w14:paraId="26E1A5AB" w14:textId="77777777" w:rsidR="004C7A19" w:rsidRPr="005A15A2" w:rsidRDefault="004C7A19" w:rsidP="005A15A2">
            <w:pPr>
              <w:tabs>
                <w:tab w:val="left" w:pos="5653"/>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Bicarbonate Type</w:t>
            </w:r>
          </w:p>
        </w:tc>
      </w:tr>
      <w:tr w:rsidR="004C7A19" w:rsidRPr="005A15A2" w14:paraId="2AC203F4" w14:textId="77777777" w:rsidTr="00816AD9">
        <w:tc>
          <w:tcPr>
            <w:cnfStyle w:val="001000000000" w:firstRow="0" w:lastRow="0" w:firstColumn="1" w:lastColumn="0" w:oddVBand="0" w:evenVBand="0" w:oddHBand="0" w:evenHBand="0" w:firstRowFirstColumn="0" w:firstRowLastColumn="0" w:lastRowFirstColumn="0" w:lastRowLastColumn="0"/>
            <w:tcW w:w="1440" w:type="dxa"/>
          </w:tcPr>
          <w:p w14:paraId="63A7D8DF"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F</w:t>
            </w:r>
          </w:p>
        </w:tc>
        <w:tc>
          <w:tcPr>
            <w:tcW w:w="6295" w:type="dxa"/>
          </w:tcPr>
          <w:p w14:paraId="3937BFB3" w14:textId="77777777" w:rsidR="004C7A19" w:rsidRPr="005A15A2" w:rsidRDefault="004C7A19" w:rsidP="005A15A2">
            <w:pPr>
              <w:tabs>
                <w:tab w:val="left" w:pos="5653"/>
              </w:tabs>
              <w:spacing w:line="360" w:lineRule="auto"/>
              <w:ind w:left="5653" w:hanging="5653"/>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Sulfate type</w:t>
            </w:r>
          </w:p>
        </w:tc>
      </w:tr>
      <w:tr w:rsidR="004C7A19" w:rsidRPr="005A15A2" w14:paraId="37F12AD9" w14:textId="77777777" w:rsidTr="0081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01E7DE1" w14:textId="77777777" w:rsidR="004C7A19" w:rsidRPr="005A15A2" w:rsidRDefault="004C7A19"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G</w:t>
            </w:r>
          </w:p>
        </w:tc>
        <w:tc>
          <w:tcPr>
            <w:tcW w:w="6295" w:type="dxa"/>
          </w:tcPr>
          <w:p w14:paraId="5CD02390" w14:textId="77777777" w:rsidR="004C7A19" w:rsidRPr="005A15A2" w:rsidRDefault="004C7A19" w:rsidP="005A15A2">
            <w:pPr>
              <w:tabs>
                <w:tab w:val="left" w:pos="5653"/>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A15A2">
              <w:rPr>
                <w:rFonts w:asciiTheme="majorBidi" w:hAnsiTheme="majorBidi" w:cstheme="majorBidi"/>
                <w:sz w:val="24"/>
                <w:szCs w:val="24"/>
              </w:rPr>
              <w:t>Chloride Type</w:t>
            </w:r>
          </w:p>
        </w:tc>
      </w:tr>
    </w:tbl>
    <w:p w14:paraId="204E9343" w14:textId="77777777" w:rsidR="00F473BD" w:rsidRPr="005A15A2" w:rsidRDefault="00F473BD" w:rsidP="005A15A2">
      <w:pPr>
        <w:spacing w:line="360" w:lineRule="auto"/>
        <w:jc w:val="both"/>
        <w:rPr>
          <w:rFonts w:asciiTheme="majorBidi" w:hAnsiTheme="majorBidi" w:cstheme="majorBidi"/>
          <w:noProof/>
          <w:sz w:val="24"/>
          <w:szCs w:val="24"/>
        </w:rPr>
      </w:pPr>
    </w:p>
    <w:p w14:paraId="128B2BC6" w14:textId="4B093785" w:rsidR="004C7A19" w:rsidRPr="005A15A2" w:rsidRDefault="004C7A19" w:rsidP="00D23AD2">
      <w:pPr>
        <w:spacing w:line="360" w:lineRule="auto"/>
        <w:jc w:val="both"/>
        <w:rPr>
          <w:rFonts w:asciiTheme="majorBidi" w:hAnsiTheme="majorBidi" w:cstheme="majorBidi"/>
          <w:noProof/>
          <w:sz w:val="24"/>
          <w:szCs w:val="24"/>
        </w:rPr>
      </w:pPr>
      <w:r w:rsidRPr="005A15A2">
        <w:rPr>
          <w:rFonts w:asciiTheme="majorBidi" w:hAnsiTheme="majorBidi" w:cstheme="majorBidi"/>
          <w:noProof/>
          <w:sz w:val="24"/>
          <w:szCs w:val="24"/>
        </w:rPr>
        <w:t xml:space="preserve">The figure represents the water sample points collected from district </w:t>
      </w:r>
      <w:r w:rsidR="000C14B7" w:rsidRPr="005A15A2">
        <w:rPr>
          <w:rFonts w:asciiTheme="majorBidi" w:hAnsiTheme="majorBidi" w:cstheme="majorBidi"/>
          <w:noProof/>
          <w:sz w:val="24"/>
          <w:szCs w:val="24"/>
        </w:rPr>
        <w:t>Gujrat</w:t>
      </w:r>
      <w:r w:rsidRPr="005A15A2">
        <w:rPr>
          <w:rFonts w:asciiTheme="majorBidi" w:hAnsiTheme="majorBidi" w:cstheme="majorBidi"/>
          <w:noProof/>
          <w:sz w:val="24"/>
          <w:szCs w:val="24"/>
        </w:rPr>
        <w:t>.</w:t>
      </w:r>
      <w:r w:rsidR="000C14B7" w:rsidRPr="005A15A2">
        <w:rPr>
          <w:rFonts w:asciiTheme="majorBidi" w:hAnsiTheme="majorBidi" w:cstheme="majorBidi"/>
          <w:noProof/>
          <w:sz w:val="24"/>
          <w:szCs w:val="24"/>
        </w:rPr>
        <w:t xml:space="preserve"> </w:t>
      </w:r>
      <w:r w:rsidRPr="005A15A2">
        <w:rPr>
          <w:rFonts w:asciiTheme="majorBidi" w:hAnsiTheme="majorBidi" w:cstheme="majorBidi"/>
          <w:noProof/>
          <w:sz w:val="24"/>
          <w:szCs w:val="24"/>
        </w:rPr>
        <w:t>From the figure we can observe that most of the samples lie in Sodium dominance</w:t>
      </w:r>
      <w:r w:rsidR="00C44787" w:rsidRPr="005A15A2">
        <w:rPr>
          <w:rFonts w:asciiTheme="majorBidi" w:hAnsiTheme="majorBidi" w:cstheme="majorBidi"/>
          <w:noProof/>
          <w:sz w:val="24"/>
          <w:szCs w:val="24"/>
        </w:rPr>
        <w:t xml:space="preserve"> Zone D</w:t>
      </w:r>
      <w:r w:rsidRPr="005A15A2">
        <w:rPr>
          <w:rFonts w:asciiTheme="majorBidi" w:hAnsiTheme="majorBidi" w:cstheme="majorBidi"/>
          <w:noProof/>
          <w:sz w:val="24"/>
          <w:szCs w:val="24"/>
        </w:rPr>
        <w:t>.</w:t>
      </w:r>
      <w:r w:rsidR="000C14B7" w:rsidRPr="005A15A2">
        <w:rPr>
          <w:rFonts w:asciiTheme="majorBidi" w:hAnsiTheme="majorBidi" w:cstheme="majorBidi"/>
          <w:noProof/>
          <w:sz w:val="24"/>
          <w:szCs w:val="24"/>
        </w:rPr>
        <w:t xml:space="preserve"> </w:t>
      </w:r>
      <w:r w:rsidR="00EB41EF" w:rsidRPr="005A15A2">
        <w:rPr>
          <w:rFonts w:asciiTheme="majorBidi" w:hAnsiTheme="majorBidi" w:cstheme="majorBidi"/>
          <w:noProof/>
          <w:sz w:val="24"/>
          <w:szCs w:val="24"/>
        </w:rPr>
        <w:t>Data points can also be seen in Zone E. Zone E is related to the dominance of Bicarbonate.</w:t>
      </w:r>
      <w:r w:rsidR="000C14B7" w:rsidRPr="005A15A2">
        <w:rPr>
          <w:rFonts w:asciiTheme="majorBidi" w:hAnsiTheme="majorBidi" w:cstheme="majorBidi"/>
          <w:noProof/>
          <w:sz w:val="24"/>
          <w:szCs w:val="24"/>
        </w:rPr>
        <w:t xml:space="preserve"> </w:t>
      </w:r>
      <w:r w:rsidR="00EB41EF" w:rsidRPr="005A15A2">
        <w:rPr>
          <w:rFonts w:asciiTheme="majorBidi" w:hAnsiTheme="majorBidi" w:cstheme="majorBidi"/>
          <w:noProof/>
          <w:sz w:val="24"/>
          <w:szCs w:val="24"/>
        </w:rPr>
        <w:t>In the diamond the data is acumulated in 2 zones that are 2 and 4. Zone 2 represents the SO</w:t>
      </w:r>
      <w:r w:rsidR="00EB41EF" w:rsidRPr="005A15A2">
        <w:rPr>
          <w:rFonts w:asciiTheme="majorBidi" w:hAnsiTheme="majorBidi" w:cstheme="majorBidi"/>
          <w:noProof/>
          <w:sz w:val="24"/>
          <w:szCs w:val="24"/>
          <w:vertAlign w:val="subscript"/>
        </w:rPr>
        <w:t xml:space="preserve">4 </w:t>
      </w:r>
      <w:r w:rsidR="00EB41EF" w:rsidRPr="005A15A2">
        <w:rPr>
          <w:rFonts w:asciiTheme="majorBidi" w:hAnsiTheme="majorBidi" w:cstheme="majorBidi"/>
          <w:noProof/>
          <w:sz w:val="24"/>
          <w:szCs w:val="24"/>
        </w:rPr>
        <w:t>Cl-Na type whereas Zone 4 represents HCO</w:t>
      </w:r>
      <w:r w:rsidR="00EB41EF" w:rsidRPr="005A15A2">
        <w:rPr>
          <w:rFonts w:asciiTheme="majorBidi" w:hAnsiTheme="majorBidi" w:cstheme="majorBidi"/>
          <w:noProof/>
          <w:sz w:val="24"/>
          <w:szCs w:val="24"/>
          <w:vertAlign w:val="subscript"/>
        </w:rPr>
        <w:t>3</w:t>
      </w:r>
      <w:r w:rsidR="00EB41EF" w:rsidRPr="005A15A2">
        <w:rPr>
          <w:rFonts w:asciiTheme="majorBidi" w:hAnsiTheme="majorBidi" w:cstheme="majorBidi"/>
          <w:noProof/>
          <w:sz w:val="24"/>
          <w:szCs w:val="24"/>
        </w:rPr>
        <w:t xml:space="preserve">-Ca Mg type. </w:t>
      </w:r>
      <w:r w:rsidR="001A7878" w:rsidRPr="005A15A2">
        <w:rPr>
          <w:rFonts w:asciiTheme="majorBidi" w:hAnsiTheme="majorBidi" w:cstheme="majorBidi"/>
          <w:sz w:val="24"/>
          <w:szCs w:val="24"/>
        </w:rPr>
        <w:t xml:space="preserve">The figure represents the samples in different colors </w:t>
      </w:r>
      <w:r w:rsidR="00C44787" w:rsidRPr="005A15A2">
        <w:rPr>
          <w:rFonts w:asciiTheme="majorBidi" w:hAnsiTheme="majorBidi" w:cstheme="majorBidi"/>
          <w:sz w:val="24"/>
          <w:szCs w:val="24"/>
        </w:rPr>
        <w:t>showing different</w:t>
      </w:r>
      <w:r w:rsidR="001A7878" w:rsidRPr="005A15A2">
        <w:rPr>
          <w:rFonts w:asciiTheme="majorBidi" w:hAnsiTheme="majorBidi" w:cstheme="majorBidi"/>
          <w:sz w:val="24"/>
          <w:szCs w:val="24"/>
        </w:rPr>
        <w:t xml:space="preserve"> tehsils. </w:t>
      </w:r>
    </w:p>
    <w:p w14:paraId="39BC376D" w14:textId="77777777" w:rsidR="000A7708" w:rsidRPr="005A15A2" w:rsidRDefault="000A7708" w:rsidP="00F42599">
      <w:pPr>
        <w:pStyle w:val="Heading2"/>
      </w:pPr>
      <w:bookmarkStart w:id="9" w:name="_Toc137645809"/>
      <w:r w:rsidRPr="005A15A2">
        <w:t>Agriculture Potential Analysis:</w:t>
      </w:r>
      <w:bookmarkEnd w:id="9"/>
    </w:p>
    <w:p w14:paraId="5EE60564" w14:textId="485BDCBE" w:rsidR="000A7708" w:rsidRPr="005A15A2" w:rsidRDefault="001A7878"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 xml:space="preserve"> </w:t>
      </w:r>
      <w:r w:rsidR="000A7708" w:rsidRPr="005A15A2">
        <w:rPr>
          <w:rFonts w:asciiTheme="majorBidi" w:hAnsiTheme="majorBidi" w:cstheme="majorBidi"/>
          <w:sz w:val="24"/>
          <w:szCs w:val="24"/>
        </w:rPr>
        <w:t>SAR (Sodium Adsorption Ratio) is a measurement used to assess the suitability of water for irrigation by evaluating its sodium content. It compares the concentration of sodium ions to the concentrations of other cations like calcium and magnesium. SAR is calculated in milliequivalent per meters using formula:</w:t>
      </w:r>
    </w:p>
    <w:p w14:paraId="78D64C40" w14:textId="791F661B" w:rsidR="00F16472" w:rsidRPr="005A15A2" w:rsidRDefault="00F16472" w:rsidP="005A15A2">
      <w:pPr>
        <w:tabs>
          <w:tab w:val="left" w:pos="5653"/>
        </w:tabs>
        <w:spacing w:line="360" w:lineRule="auto"/>
        <w:jc w:val="both"/>
        <w:rPr>
          <w:rFonts w:asciiTheme="majorBidi" w:eastAsiaTheme="minorEastAsia" w:hAnsiTheme="majorBidi" w:cstheme="majorBidi"/>
          <w:sz w:val="24"/>
          <w:szCs w:val="24"/>
        </w:rPr>
      </w:pPr>
      <m:oMathPara>
        <m:oMath>
          <m:r>
            <w:rPr>
              <w:rFonts w:ascii="Cambria Math" w:hAnsi="Cambria Math" w:cstheme="majorBidi"/>
              <w:sz w:val="24"/>
              <w:szCs w:val="24"/>
            </w:rPr>
            <m:t xml:space="preserve">SAR= </m:t>
          </m:r>
          <m:f>
            <m:fPr>
              <m:ctrlPr>
                <w:rPr>
                  <w:rFonts w:ascii="Cambria Math" w:hAnsi="Cambria Math" w:cstheme="majorBidi"/>
                  <w:i/>
                  <w:sz w:val="24"/>
                  <w:szCs w:val="24"/>
                </w:rPr>
              </m:ctrlPr>
            </m:fPr>
            <m:num>
              <m:r>
                <w:rPr>
                  <w:rFonts w:ascii="Cambria Math" w:hAnsi="Cambria Math" w:cstheme="majorBidi"/>
                  <w:sz w:val="24"/>
                  <w:szCs w:val="24"/>
                </w:rPr>
                <m:t>Na</m:t>
              </m:r>
            </m:num>
            <m:den>
              <m:rad>
                <m:radPr>
                  <m:degHide m:val="1"/>
                  <m:ctrlPr>
                    <w:rPr>
                      <w:rFonts w:ascii="Cambria Math" w:hAnsi="Cambria Math" w:cstheme="majorBidi"/>
                      <w:i/>
                      <w:sz w:val="24"/>
                      <w:szCs w:val="24"/>
                    </w:rPr>
                  </m:ctrlPr>
                </m:radPr>
                <m:deg/>
                <m:e>
                  <m:r>
                    <w:rPr>
                      <w:rFonts w:ascii="Cambria Math" w:hAnsi="Cambria Math" w:cstheme="majorBidi"/>
                      <w:sz w:val="24"/>
                      <w:szCs w:val="24"/>
                    </w:rPr>
                    <m:t>Ca+Mg</m:t>
                  </m:r>
                </m:e>
              </m:rad>
            </m:den>
          </m:f>
          <m:r>
            <w:rPr>
              <w:rFonts w:ascii="Cambria Math" w:hAnsi="Cambria Math" w:cstheme="majorBidi"/>
              <w:sz w:val="24"/>
              <w:szCs w:val="24"/>
            </w:rPr>
            <m:t>×100</m:t>
          </m:r>
        </m:oMath>
      </m:oMathPara>
    </w:p>
    <w:p w14:paraId="2C80F45C" w14:textId="41156336" w:rsidR="00C44787" w:rsidRPr="005A15A2" w:rsidRDefault="00C44787" w:rsidP="005A15A2">
      <w:pPr>
        <w:pStyle w:val="NormalWeb"/>
        <w:spacing w:line="360" w:lineRule="auto"/>
        <w:jc w:val="both"/>
        <w:rPr>
          <w:rFonts w:asciiTheme="majorBidi" w:hAnsiTheme="majorBidi" w:cstheme="majorBidi"/>
        </w:rPr>
      </w:pPr>
      <w:r w:rsidRPr="005A15A2">
        <w:rPr>
          <w:rFonts w:asciiTheme="majorBidi" w:hAnsiTheme="majorBidi" w:cstheme="majorBidi"/>
        </w:rPr>
        <w:t>Sodium Adsorption Ratio (SAR) values are categorized into four distinct ranges: excellent, good, doubtful, and unsuitable. The range of excellent SAR values extends from 0 to 10, denoting highly favourable conditions for irrigation. Good values encompass the range of 10 to 18, while doubtful values fall between 18 and 26. Unsuitable values exceed 26, indicating a heightened risk of soil degradation due to sodium content. It is crucial to note that crop and soil tolerances may exhibit regional variations, necessitating the consideration of specific geographical conditions and agricultural practices.</w:t>
      </w:r>
    </w:p>
    <w:p w14:paraId="6A2B3919" w14:textId="0E6F726F" w:rsidR="00C44787" w:rsidRPr="005A15A2" w:rsidRDefault="00C44787" w:rsidP="005A15A2">
      <w:pPr>
        <w:pStyle w:val="NormalWeb"/>
        <w:spacing w:line="360" w:lineRule="auto"/>
        <w:jc w:val="both"/>
        <w:rPr>
          <w:rFonts w:asciiTheme="majorBidi" w:hAnsiTheme="majorBidi" w:cstheme="majorBidi"/>
        </w:rPr>
      </w:pPr>
      <w:r w:rsidRPr="005A15A2">
        <w:rPr>
          <w:rFonts w:asciiTheme="majorBidi" w:hAnsiTheme="majorBidi" w:cstheme="majorBidi"/>
        </w:rPr>
        <w:t>The provided table presents comprehensive information regarding the levels of Sodium Adsorption Ratio (SAR) in various areas, including Gujrat, Kharianwala, and Sara-e-Alamgir. Upon analyzing the data, it becomes apparent that a significant number of samples in most areas fall within the excellent to good range, signifying favourable SAR levels suitable for irrigation purposes. Nonetheless, there are also instances where samples fall within the doubtful and unsuitable ranges, indicating potential limitations for irrigation in those samples or areas.</w:t>
      </w:r>
    </w:p>
    <w:p w14:paraId="2C4E93DA" w14:textId="6BCCF468" w:rsidR="006F50D7" w:rsidRPr="005A15A2" w:rsidRDefault="00C44787" w:rsidP="00F42599">
      <w:pPr>
        <w:pStyle w:val="NormalWeb"/>
        <w:spacing w:line="360" w:lineRule="auto"/>
        <w:jc w:val="both"/>
        <w:rPr>
          <w:rFonts w:asciiTheme="majorBidi" w:hAnsiTheme="majorBidi" w:cstheme="majorBidi"/>
        </w:rPr>
      </w:pPr>
      <w:r w:rsidRPr="005A15A2">
        <w:rPr>
          <w:rFonts w:asciiTheme="majorBidi" w:hAnsiTheme="majorBidi" w:cstheme="majorBidi"/>
        </w:rPr>
        <w:t>The table further reveals pertinent information regarding the Sodium Adsorption Ratio (SAR) levels in different regions, encompassing Gujrat, Kharianwala, and Sara-e-Alamgir. It is noteworthy that 26% of the total samples exhibit SAR values falling within the excellent range, while 40% samples fall in the good range of SAR values, thereby rendering the land highly suitable for agricultural practices.</w:t>
      </w:r>
    </w:p>
    <w:p w14:paraId="7F9A4C8F" w14:textId="279364DF" w:rsidR="00041ABB" w:rsidRPr="00041ABB" w:rsidRDefault="00041ABB" w:rsidP="00041ABB">
      <w:pPr>
        <w:pStyle w:val="Caption"/>
        <w:keepNext/>
        <w:rPr>
          <w:sz w:val="24"/>
          <w:szCs w:val="24"/>
        </w:rPr>
      </w:pPr>
      <w:r w:rsidRPr="00041ABB">
        <w:rPr>
          <w:sz w:val="24"/>
          <w:szCs w:val="24"/>
        </w:rPr>
        <w:t xml:space="preserve">Table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4</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Table \* ARABIC \s 1 </w:instrText>
      </w:r>
      <w:r w:rsidR="005425B2">
        <w:rPr>
          <w:sz w:val="24"/>
          <w:szCs w:val="24"/>
        </w:rPr>
        <w:fldChar w:fldCharType="separate"/>
      </w:r>
      <w:r w:rsidR="005425B2">
        <w:rPr>
          <w:noProof/>
          <w:sz w:val="24"/>
          <w:szCs w:val="24"/>
        </w:rPr>
        <w:t>4</w:t>
      </w:r>
      <w:r w:rsidR="005425B2">
        <w:rPr>
          <w:sz w:val="24"/>
          <w:szCs w:val="24"/>
        </w:rPr>
        <w:fldChar w:fldCharType="end"/>
      </w:r>
      <w:r w:rsidRPr="00041ABB">
        <w:rPr>
          <w:sz w:val="24"/>
          <w:szCs w:val="24"/>
        </w:rPr>
        <w:t>: Classification based on SAR values</w:t>
      </w:r>
    </w:p>
    <w:tbl>
      <w:tblPr>
        <w:tblStyle w:val="GridTable5Dark-Accent1"/>
        <w:tblW w:w="10440" w:type="dxa"/>
        <w:jc w:val="center"/>
        <w:tblLook w:val="04A0" w:firstRow="1" w:lastRow="0" w:firstColumn="1" w:lastColumn="0" w:noHBand="0" w:noVBand="1"/>
      </w:tblPr>
      <w:tblGrid>
        <w:gridCol w:w="1323"/>
        <w:gridCol w:w="923"/>
        <w:gridCol w:w="1563"/>
        <w:gridCol w:w="1070"/>
        <w:gridCol w:w="763"/>
        <w:gridCol w:w="1236"/>
        <w:gridCol w:w="1563"/>
        <w:gridCol w:w="1236"/>
        <w:gridCol w:w="763"/>
      </w:tblGrid>
      <w:tr w:rsidR="006F50D7" w:rsidRPr="005A15A2" w14:paraId="2542FC50" w14:textId="77777777" w:rsidTr="00041ABB">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52BBB" w14:textId="77777777" w:rsidR="006F50D7" w:rsidRPr="006F50D7" w:rsidRDefault="006F50D7" w:rsidP="00041ABB">
            <w:pPr>
              <w:spacing w:line="360" w:lineRule="auto"/>
              <w:jc w:val="center"/>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Class</w:t>
            </w:r>
          </w:p>
        </w:tc>
        <w:tc>
          <w:tcPr>
            <w:tcW w:w="0" w:type="auto"/>
            <w:vAlign w:val="center"/>
            <w:hideMark/>
          </w:tcPr>
          <w:p w14:paraId="474B8DD5" w14:textId="77777777" w:rsidR="006F50D7" w:rsidRPr="006F50D7" w:rsidRDefault="006F50D7"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Gujrat</w:t>
            </w:r>
          </w:p>
        </w:tc>
        <w:tc>
          <w:tcPr>
            <w:tcW w:w="0" w:type="auto"/>
            <w:vAlign w:val="center"/>
            <w:hideMark/>
          </w:tcPr>
          <w:p w14:paraId="388D099C" w14:textId="77777777" w:rsidR="006F50D7" w:rsidRPr="006F50D7" w:rsidRDefault="006F50D7"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Kharianwala</w:t>
            </w:r>
          </w:p>
        </w:tc>
        <w:tc>
          <w:tcPr>
            <w:tcW w:w="0" w:type="auto"/>
            <w:vAlign w:val="center"/>
            <w:hideMark/>
          </w:tcPr>
          <w:p w14:paraId="15B6685C" w14:textId="77777777" w:rsidR="006F50D7" w:rsidRPr="006F50D7" w:rsidRDefault="006F50D7"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Sara-e-Alamgir</w:t>
            </w:r>
          </w:p>
        </w:tc>
        <w:tc>
          <w:tcPr>
            <w:tcW w:w="0" w:type="auto"/>
            <w:vAlign w:val="center"/>
            <w:hideMark/>
          </w:tcPr>
          <w:p w14:paraId="11CE5E3A" w14:textId="77777777" w:rsidR="006F50D7" w:rsidRPr="006F50D7" w:rsidRDefault="006F50D7"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Total</w:t>
            </w:r>
          </w:p>
        </w:tc>
        <w:tc>
          <w:tcPr>
            <w:tcW w:w="0" w:type="auto"/>
            <w:vAlign w:val="center"/>
            <w:hideMark/>
          </w:tcPr>
          <w:p w14:paraId="35019184" w14:textId="77777777" w:rsidR="006F50D7" w:rsidRPr="006F50D7" w:rsidRDefault="006F50D7"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Gujrat (%)</w:t>
            </w:r>
          </w:p>
        </w:tc>
        <w:tc>
          <w:tcPr>
            <w:tcW w:w="0" w:type="auto"/>
            <w:vAlign w:val="center"/>
            <w:hideMark/>
          </w:tcPr>
          <w:p w14:paraId="18384282" w14:textId="77777777" w:rsidR="006F50D7" w:rsidRPr="006F50D7" w:rsidRDefault="006F50D7"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Kharianwala (%)</w:t>
            </w:r>
          </w:p>
        </w:tc>
        <w:tc>
          <w:tcPr>
            <w:tcW w:w="0" w:type="auto"/>
            <w:vAlign w:val="center"/>
            <w:hideMark/>
          </w:tcPr>
          <w:p w14:paraId="415C28A1" w14:textId="77777777" w:rsidR="006F50D7" w:rsidRPr="006F50D7" w:rsidRDefault="006F50D7"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Sara-e-Alamgir (%)</w:t>
            </w:r>
          </w:p>
        </w:tc>
        <w:tc>
          <w:tcPr>
            <w:tcW w:w="0" w:type="auto"/>
            <w:vAlign w:val="center"/>
            <w:hideMark/>
          </w:tcPr>
          <w:p w14:paraId="078F7332" w14:textId="77777777" w:rsidR="006F50D7" w:rsidRPr="006F50D7" w:rsidRDefault="006F50D7"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Total (%)</w:t>
            </w:r>
          </w:p>
        </w:tc>
      </w:tr>
      <w:tr w:rsidR="006F50D7" w:rsidRPr="005A15A2" w14:paraId="1552FB68" w14:textId="77777777" w:rsidTr="00041ABB">
        <w:trPr>
          <w:cnfStyle w:val="000000100000" w:firstRow="0" w:lastRow="0" w:firstColumn="0" w:lastColumn="0" w:oddVBand="0" w:evenVBand="0" w:oddHBand="1" w:evenHBand="0" w:firstRowFirstColumn="0" w:firstRowLastColumn="0" w:lastRowFirstColumn="0" w:lastRowLastColumn="0"/>
          <w:trHeight w:val="61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D656EA" w14:textId="77777777" w:rsidR="006F50D7" w:rsidRPr="006F50D7" w:rsidRDefault="006F50D7" w:rsidP="00041ABB">
            <w:pPr>
              <w:spacing w:line="360" w:lineRule="auto"/>
              <w:jc w:val="center"/>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Excellent</w:t>
            </w:r>
          </w:p>
        </w:tc>
        <w:tc>
          <w:tcPr>
            <w:tcW w:w="0" w:type="auto"/>
            <w:vAlign w:val="center"/>
            <w:hideMark/>
          </w:tcPr>
          <w:p w14:paraId="5AD11E48"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29</w:t>
            </w:r>
          </w:p>
        </w:tc>
        <w:tc>
          <w:tcPr>
            <w:tcW w:w="0" w:type="auto"/>
            <w:vAlign w:val="center"/>
            <w:hideMark/>
          </w:tcPr>
          <w:p w14:paraId="238390BE"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40</w:t>
            </w:r>
          </w:p>
        </w:tc>
        <w:tc>
          <w:tcPr>
            <w:tcW w:w="0" w:type="auto"/>
            <w:vAlign w:val="center"/>
            <w:hideMark/>
          </w:tcPr>
          <w:p w14:paraId="095481AC"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38</w:t>
            </w:r>
          </w:p>
        </w:tc>
        <w:tc>
          <w:tcPr>
            <w:tcW w:w="0" w:type="auto"/>
            <w:vAlign w:val="center"/>
            <w:hideMark/>
          </w:tcPr>
          <w:p w14:paraId="09FF6341"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107</w:t>
            </w:r>
          </w:p>
        </w:tc>
        <w:tc>
          <w:tcPr>
            <w:tcW w:w="0" w:type="auto"/>
            <w:vAlign w:val="center"/>
            <w:hideMark/>
          </w:tcPr>
          <w:p w14:paraId="258F57D5"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13.551402</w:t>
            </w:r>
          </w:p>
        </w:tc>
        <w:tc>
          <w:tcPr>
            <w:tcW w:w="0" w:type="auto"/>
            <w:vAlign w:val="center"/>
            <w:hideMark/>
          </w:tcPr>
          <w:p w14:paraId="07294818"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18.691589</w:t>
            </w:r>
          </w:p>
        </w:tc>
        <w:tc>
          <w:tcPr>
            <w:tcW w:w="0" w:type="auto"/>
            <w:vAlign w:val="center"/>
            <w:hideMark/>
          </w:tcPr>
          <w:p w14:paraId="55BF7FA8"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17.757009</w:t>
            </w:r>
          </w:p>
        </w:tc>
        <w:tc>
          <w:tcPr>
            <w:tcW w:w="0" w:type="auto"/>
            <w:vAlign w:val="center"/>
            <w:hideMark/>
          </w:tcPr>
          <w:p w14:paraId="2E91400D"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26%</w:t>
            </w:r>
          </w:p>
        </w:tc>
      </w:tr>
      <w:tr w:rsidR="006F50D7" w:rsidRPr="005A15A2" w14:paraId="439293ED" w14:textId="77777777" w:rsidTr="00041ABB">
        <w:trPr>
          <w:trHeight w:val="61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837F9A" w14:textId="77777777" w:rsidR="006F50D7" w:rsidRPr="006F50D7" w:rsidRDefault="006F50D7" w:rsidP="00041ABB">
            <w:pPr>
              <w:spacing w:line="360" w:lineRule="auto"/>
              <w:jc w:val="center"/>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Good</w:t>
            </w:r>
          </w:p>
        </w:tc>
        <w:tc>
          <w:tcPr>
            <w:tcW w:w="0" w:type="auto"/>
            <w:vAlign w:val="center"/>
            <w:hideMark/>
          </w:tcPr>
          <w:p w14:paraId="6EC300F9"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126</w:t>
            </w:r>
          </w:p>
        </w:tc>
        <w:tc>
          <w:tcPr>
            <w:tcW w:w="0" w:type="auto"/>
            <w:vAlign w:val="center"/>
            <w:hideMark/>
          </w:tcPr>
          <w:p w14:paraId="4A093BFB"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35</w:t>
            </w:r>
          </w:p>
        </w:tc>
        <w:tc>
          <w:tcPr>
            <w:tcW w:w="0" w:type="auto"/>
            <w:vAlign w:val="center"/>
            <w:hideMark/>
          </w:tcPr>
          <w:p w14:paraId="5F4ED8D5"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3</w:t>
            </w:r>
          </w:p>
        </w:tc>
        <w:tc>
          <w:tcPr>
            <w:tcW w:w="0" w:type="auto"/>
            <w:vAlign w:val="center"/>
            <w:hideMark/>
          </w:tcPr>
          <w:p w14:paraId="6EE15C9C"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164</w:t>
            </w:r>
          </w:p>
        </w:tc>
        <w:tc>
          <w:tcPr>
            <w:tcW w:w="0" w:type="auto"/>
            <w:vAlign w:val="center"/>
            <w:hideMark/>
          </w:tcPr>
          <w:p w14:paraId="56AAC8D4"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38.414634</w:t>
            </w:r>
          </w:p>
        </w:tc>
        <w:tc>
          <w:tcPr>
            <w:tcW w:w="0" w:type="auto"/>
            <w:vAlign w:val="center"/>
            <w:hideMark/>
          </w:tcPr>
          <w:p w14:paraId="70E7461A"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10.670732</w:t>
            </w:r>
          </w:p>
        </w:tc>
        <w:tc>
          <w:tcPr>
            <w:tcW w:w="0" w:type="auto"/>
            <w:vAlign w:val="center"/>
            <w:hideMark/>
          </w:tcPr>
          <w:p w14:paraId="73795285"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0.914634</w:t>
            </w:r>
          </w:p>
        </w:tc>
        <w:tc>
          <w:tcPr>
            <w:tcW w:w="0" w:type="auto"/>
            <w:vAlign w:val="center"/>
            <w:hideMark/>
          </w:tcPr>
          <w:p w14:paraId="105FBAEB"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40%</w:t>
            </w:r>
          </w:p>
        </w:tc>
      </w:tr>
      <w:tr w:rsidR="006F50D7" w:rsidRPr="005A15A2" w14:paraId="09D990BC" w14:textId="77777777" w:rsidTr="00041ABB">
        <w:trPr>
          <w:cnfStyle w:val="000000100000" w:firstRow="0" w:lastRow="0" w:firstColumn="0" w:lastColumn="0" w:oddVBand="0" w:evenVBand="0" w:oddHBand="1" w:evenHBand="0" w:firstRowFirstColumn="0" w:firstRowLastColumn="0" w:lastRowFirstColumn="0" w:lastRowLastColumn="0"/>
          <w:trHeight w:val="61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41BAAB" w14:textId="77777777" w:rsidR="006F50D7" w:rsidRPr="006F50D7" w:rsidRDefault="006F50D7" w:rsidP="00041ABB">
            <w:pPr>
              <w:spacing w:line="360" w:lineRule="auto"/>
              <w:jc w:val="center"/>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Doubtful</w:t>
            </w:r>
          </w:p>
        </w:tc>
        <w:tc>
          <w:tcPr>
            <w:tcW w:w="0" w:type="auto"/>
            <w:vAlign w:val="center"/>
            <w:hideMark/>
          </w:tcPr>
          <w:p w14:paraId="19A32E94"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39</w:t>
            </w:r>
          </w:p>
        </w:tc>
        <w:tc>
          <w:tcPr>
            <w:tcW w:w="0" w:type="auto"/>
            <w:vAlign w:val="center"/>
            <w:hideMark/>
          </w:tcPr>
          <w:p w14:paraId="243EB24B"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34</w:t>
            </w:r>
          </w:p>
        </w:tc>
        <w:tc>
          <w:tcPr>
            <w:tcW w:w="0" w:type="auto"/>
            <w:vAlign w:val="center"/>
            <w:hideMark/>
          </w:tcPr>
          <w:p w14:paraId="144AA883"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2</w:t>
            </w:r>
          </w:p>
        </w:tc>
        <w:tc>
          <w:tcPr>
            <w:tcW w:w="0" w:type="auto"/>
            <w:vAlign w:val="center"/>
            <w:hideMark/>
          </w:tcPr>
          <w:p w14:paraId="0F2F6516"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75</w:t>
            </w:r>
          </w:p>
        </w:tc>
        <w:tc>
          <w:tcPr>
            <w:tcW w:w="0" w:type="auto"/>
            <w:vAlign w:val="center"/>
            <w:hideMark/>
          </w:tcPr>
          <w:p w14:paraId="2845B903"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26</w:t>
            </w:r>
          </w:p>
        </w:tc>
        <w:tc>
          <w:tcPr>
            <w:tcW w:w="0" w:type="auto"/>
            <w:vAlign w:val="center"/>
            <w:hideMark/>
          </w:tcPr>
          <w:p w14:paraId="15D76E86"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22.666667</w:t>
            </w:r>
          </w:p>
        </w:tc>
        <w:tc>
          <w:tcPr>
            <w:tcW w:w="0" w:type="auto"/>
            <w:vAlign w:val="center"/>
            <w:hideMark/>
          </w:tcPr>
          <w:p w14:paraId="04B7DAA2"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1.333333</w:t>
            </w:r>
          </w:p>
        </w:tc>
        <w:tc>
          <w:tcPr>
            <w:tcW w:w="0" w:type="auto"/>
            <w:vAlign w:val="center"/>
            <w:hideMark/>
          </w:tcPr>
          <w:p w14:paraId="1C4B2510" w14:textId="77777777" w:rsidR="006F50D7" w:rsidRPr="006F50D7" w:rsidRDefault="006F50D7"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18%</w:t>
            </w:r>
          </w:p>
        </w:tc>
      </w:tr>
      <w:tr w:rsidR="006F50D7" w:rsidRPr="005A15A2" w14:paraId="5D60D4A3" w14:textId="77777777" w:rsidTr="00041ABB">
        <w:trPr>
          <w:trHeight w:val="61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923F6E" w14:textId="77777777" w:rsidR="006F50D7" w:rsidRPr="006F50D7" w:rsidRDefault="006F50D7" w:rsidP="00041ABB">
            <w:pPr>
              <w:spacing w:line="360" w:lineRule="auto"/>
              <w:jc w:val="center"/>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Unsuitable</w:t>
            </w:r>
          </w:p>
        </w:tc>
        <w:tc>
          <w:tcPr>
            <w:tcW w:w="0" w:type="auto"/>
            <w:vAlign w:val="center"/>
            <w:hideMark/>
          </w:tcPr>
          <w:p w14:paraId="57985592"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23</w:t>
            </w:r>
          </w:p>
        </w:tc>
        <w:tc>
          <w:tcPr>
            <w:tcW w:w="0" w:type="auto"/>
            <w:vAlign w:val="center"/>
            <w:hideMark/>
          </w:tcPr>
          <w:p w14:paraId="0A17B090"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38</w:t>
            </w:r>
          </w:p>
        </w:tc>
        <w:tc>
          <w:tcPr>
            <w:tcW w:w="0" w:type="auto"/>
            <w:vAlign w:val="center"/>
            <w:hideMark/>
          </w:tcPr>
          <w:p w14:paraId="49DD34B7"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0</w:t>
            </w:r>
          </w:p>
        </w:tc>
        <w:tc>
          <w:tcPr>
            <w:tcW w:w="0" w:type="auto"/>
            <w:vAlign w:val="center"/>
            <w:hideMark/>
          </w:tcPr>
          <w:p w14:paraId="463C375B"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61</w:t>
            </w:r>
          </w:p>
        </w:tc>
        <w:tc>
          <w:tcPr>
            <w:tcW w:w="0" w:type="auto"/>
            <w:vAlign w:val="center"/>
            <w:hideMark/>
          </w:tcPr>
          <w:p w14:paraId="0F2486F6"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18.852459</w:t>
            </w:r>
          </w:p>
        </w:tc>
        <w:tc>
          <w:tcPr>
            <w:tcW w:w="0" w:type="auto"/>
            <w:vAlign w:val="center"/>
            <w:hideMark/>
          </w:tcPr>
          <w:p w14:paraId="075A4A3C"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31.147541</w:t>
            </w:r>
          </w:p>
        </w:tc>
        <w:tc>
          <w:tcPr>
            <w:tcW w:w="0" w:type="auto"/>
            <w:vAlign w:val="center"/>
            <w:hideMark/>
          </w:tcPr>
          <w:p w14:paraId="2DDEA27C"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0</w:t>
            </w:r>
          </w:p>
        </w:tc>
        <w:tc>
          <w:tcPr>
            <w:tcW w:w="0" w:type="auto"/>
            <w:vAlign w:val="center"/>
            <w:hideMark/>
          </w:tcPr>
          <w:p w14:paraId="510C3BD9" w14:textId="77777777" w:rsidR="006F50D7" w:rsidRPr="006F50D7" w:rsidRDefault="006F50D7"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6F50D7">
              <w:rPr>
                <w:rFonts w:asciiTheme="majorBidi" w:eastAsia="Times New Roman" w:hAnsiTheme="majorBidi" w:cstheme="majorBidi"/>
                <w:kern w:val="0"/>
                <w:sz w:val="24"/>
                <w:szCs w:val="24"/>
                <w14:ligatures w14:val="none"/>
              </w:rPr>
              <w:t>15%</w:t>
            </w:r>
          </w:p>
        </w:tc>
      </w:tr>
    </w:tbl>
    <w:p w14:paraId="7D23443D" w14:textId="77777777" w:rsidR="00C44787" w:rsidRPr="005A15A2" w:rsidRDefault="00C44787" w:rsidP="005A15A2">
      <w:pPr>
        <w:tabs>
          <w:tab w:val="left" w:pos="5653"/>
        </w:tabs>
        <w:spacing w:line="360" w:lineRule="auto"/>
        <w:jc w:val="both"/>
        <w:rPr>
          <w:rFonts w:asciiTheme="majorBidi" w:hAnsiTheme="majorBidi" w:cstheme="majorBidi"/>
          <w:sz w:val="24"/>
          <w:szCs w:val="24"/>
        </w:rPr>
      </w:pPr>
    </w:p>
    <w:p w14:paraId="5A3CDB32" w14:textId="77777777" w:rsidR="00475702" w:rsidRPr="005A15A2" w:rsidRDefault="00475702"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The Wilcox diagram is a graphical tool utilized to assess the appropriateness of water for irrigation based on its sodium adsorption ratio (SAR) and electrical conductivity (EC) values. This diagram employs a triangular plot, where distinct zones delineate varying degrees of suitability for agricultural purposes. To corroborate the SAR findings, a graphical representation of the Wilcox diagram was employed in this study. The analysis reveals that approximately 85% to 90% of the total samples fall within the low to moderate SAR range. This outcome signifies that the land in these areas is highly conducive to agriculture, as the sodium content in the water remains within acceptable limits. Consequently, this discovery underscores the significant potential for successful agricultural practices in these regions, given the favorable quality of water available.</w:t>
      </w:r>
    </w:p>
    <w:p w14:paraId="15A82901" w14:textId="77777777" w:rsidR="00041ABB" w:rsidRPr="00041ABB" w:rsidRDefault="00F16472" w:rsidP="00041ABB">
      <w:pPr>
        <w:keepNext/>
        <w:tabs>
          <w:tab w:val="left" w:pos="5653"/>
        </w:tabs>
        <w:spacing w:line="360" w:lineRule="auto"/>
        <w:jc w:val="center"/>
        <w:rPr>
          <w:sz w:val="32"/>
          <w:szCs w:val="32"/>
        </w:rPr>
      </w:pPr>
      <w:r w:rsidRPr="00041ABB">
        <w:rPr>
          <w:rFonts w:asciiTheme="majorBidi" w:hAnsiTheme="majorBidi" w:cstheme="majorBidi"/>
          <w:noProof/>
          <w:sz w:val="36"/>
          <w:szCs w:val="36"/>
        </w:rPr>
        <w:drawing>
          <wp:inline distT="0" distB="0" distL="0" distR="0" wp14:anchorId="2C687E9B" wp14:editId="67778A21">
            <wp:extent cx="5943294" cy="3224079"/>
            <wp:effectExtent l="19050" t="19050" r="19685" b="14605"/>
            <wp:docPr id="1704343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43978"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7688" cy="3226463"/>
                    </a:xfrm>
                    <a:prstGeom prst="rect">
                      <a:avLst/>
                    </a:prstGeom>
                    <a:ln>
                      <a:solidFill>
                        <a:schemeClr val="tx1"/>
                      </a:solidFill>
                    </a:ln>
                  </pic:spPr>
                </pic:pic>
              </a:graphicData>
            </a:graphic>
          </wp:inline>
        </w:drawing>
      </w:r>
    </w:p>
    <w:p w14:paraId="561C6F97" w14:textId="271B1F15" w:rsidR="00F16472" w:rsidRPr="00041ABB" w:rsidRDefault="00041ABB" w:rsidP="00041ABB">
      <w:pPr>
        <w:pStyle w:val="Caption"/>
        <w:jc w:val="center"/>
        <w:rPr>
          <w:rFonts w:asciiTheme="majorBidi" w:hAnsiTheme="majorBidi" w:cstheme="majorBidi"/>
          <w:sz w:val="36"/>
          <w:szCs w:val="36"/>
        </w:rPr>
      </w:pPr>
      <w:r w:rsidRPr="00041ABB">
        <w:rPr>
          <w:sz w:val="24"/>
          <w:szCs w:val="24"/>
        </w:rPr>
        <w:t xml:space="preserve">Figure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4</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Figure \* ARABIC \s 1 </w:instrText>
      </w:r>
      <w:r w:rsidR="005425B2">
        <w:rPr>
          <w:sz w:val="24"/>
          <w:szCs w:val="24"/>
        </w:rPr>
        <w:fldChar w:fldCharType="separate"/>
      </w:r>
      <w:r w:rsidR="005425B2">
        <w:rPr>
          <w:noProof/>
          <w:sz w:val="24"/>
          <w:szCs w:val="24"/>
        </w:rPr>
        <w:t>4</w:t>
      </w:r>
      <w:r w:rsidR="005425B2">
        <w:rPr>
          <w:sz w:val="24"/>
          <w:szCs w:val="24"/>
        </w:rPr>
        <w:fldChar w:fldCharType="end"/>
      </w:r>
      <w:r w:rsidRPr="00041ABB">
        <w:rPr>
          <w:sz w:val="24"/>
          <w:szCs w:val="24"/>
        </w:rPr>
        <w:t>: USSL Diagram showing salinity hazard</w:t>
      </w:r>
    </w:p>
    <w:p w14:paraId="5E5F8BEE" w14:textId="77777777" w:rsidR="00475702" w:rsidRPr="005A15A2" w:rsidRDefault="00475702" w:rsidP="005A15A2">
      <w:pPr>
        <w:tabs>
          <w:tab w:val="left" w:pos="5653"/>
        </w:tabs>
        <w:spacing w:line="360" w:lineRule="auto"/>
        <w:jc w:val="both"/>
        <w:rPr>
          <w:rFonts w:asciiTheme="majorBidi" w:hAnsiTheme="majorBidi" w:cstheme="majorBidi"/>
          <w:b/>
          <w:bCs/>
          <w:sz w:val="24"/>
          <w:szCs w:val="24"/>
        </w:rPr>
      </w:pPr>
    </w:p>
    <w:p w14:paraId="1BF1D125" w14:textId="12880ACC" w:rsidR="00F16472" w:rsidRPr="005A15A2" w:rsidRDefault="00F16472" w:rsidP="00F42599">
      <w:pPr>
        <w:pStyle w:val="Heading3"/>
      </w:pPr>
      <w:bookmarkStart w:id="10" w:name="_Toc137645810"/>
      <w:r w:rsidRPr="005A15A2">
        <w:t>Sodium Percentage</w:t>
      </w:r>
      <w:bookmarkEnd w:id="10"/>
    </w:p>
    <w:p w14:paraId="5D2465DC" w14:textId="234B007B" w:rsidR="00475702" w:rsidRPr="005A15A2" w:rsidRDefault="00475702" w:rsidP="005A15A2">
      <w:pPr>
        <w:pStyle w:val="NormalWeb"/>
        <w:spacing w:line="360" w:lineRule="auto"/>
        <w:jc w:val="both"/>
        <w:rPr>
          <w:rFonts w:asciiTheme="majorBidi" w:hAnsiTheme="majorBidi" w:cstheme="majorBidi"/>
        </w:rPr>
      </w:pPr>
      <w:r w:rsidRPr="005A15A2">
        <w:rPr>
          <w:rFonts w:asciiTheme="majorBidi" w:hAnsiTheme="majorBidi" w:cstheme="majorBidi"/>
        </w:rPr>
        <w:t xml:space="preserve">By utilizing the ratio of sodium and potassium to calcium and magnesium concentrations, the sodium percentage (Na%) was employed to ascertain the degree of salinity. Water containing elevated levels of sodium and potassium experiences a loss of calcium and magnesium ions, thereby impeding its mobility. </w:t>
      </w:r>
    </w:p>
    <w:p w14:paraId="0E007E9B" w14:textId="4F3E85B0" w:rsidR="00F16472" w:rsidRPr="005A15A2" w:rsidRDefault="006F50D7" w:rsidP="005A15A2">
      <w:pPr>
        <w:tabs>
          <w:tab w:val="left" w:pos="5653"/>
        </w:tabs>
        <w:spacing w:line="360" w:lineRule="auto"/>
        <w:jc w:val="center"/>
        <w:rPr>
          <w:rFonts w:asciiTheme="majorBidi" w:eastAsiaTheme="minorEastAsia" w:hAnsiTheme="majorBidi" w:cstheme="majorBidi"/>
          <w:sz w:val="24"/>
          <w:szCs w:val="24"/>
        </w:rPr>
      </w:pPr>
      <m:oMathPara>
        <m:oMath>
          <m:r>
            <w:rPr>
              <w:rFonts w:ascii="Cambria Math" w:hAnsi="Cambria Math" w:cstheme="majorBidi"/>
              <w:sz w:val="24"/>
              <w:szCs w:val="24"/>
            </w:rPr>
            <m:t>Na%=</m:t>
          </m:r>
          <m:f>
            <m:fPr>
              <m:ctrlPr>
                <w:rPr>
                  <w:rFonts w:ascii="Cambria Math" w:hAnsi="Cambria Math" w:cstheme="majorBidi"/>
                  <w:i/>
                  <w:sz w:val="24"/>
                  <w:szCs w:val="24"/>
                </w:rPr>
              </m:ctrlPr>
            </m:fPr>
            <m:num>
              <m:r>
                <w:rPr>
                  <w:rFonts w:ascii="Cambria Math" w:hAnsi="Cambria Math" w:cstheme="majorBidi"/>
                  <w:sz w:val="24"/>
                  <w:szCs w:val="24"/>
                </w:rPr>
                <m:t>Na+K</m:t>
              </m:r>
            </m:num>
            <m:den>
              <m:r>
                <w:rPr>
                  <w:rFonts w:ascii="Cambria Math" w:hAnsi="Cambria Math" w:cstheme="majorBidi"/>
                  <w:sz w:val="24"/>
                  <w:szCs w:val="24"/>
                </w:rPr>
                <m:t xml:space="preserve">Na+K+Ca+Mg </m:t>
              </m:r>
            </m:den>
          </m:f>
          <m:r>
            <w:rPr>
              <w:rFonts w:ascii="Cambria Math" w:hAnsi="Cambria Math" w:cstheme="majorBidi"/>
              <w:sz w:val="24"/>
              <w:szCs w:val="24"/>
            </w:rPr>
            <m:t xml:space="preserve"> ×100</m:t>
          </m:r>
        </m:oMath>
      </m:oMathPara>
    </w:p>
    <w:tbl>
      <w:tblPr>
        <w:tblStyle w:val="TableGrid"/>
        <w:tblW w:w="0" w:type="auto"/>
        <w:jc w:val="center"/>
        <w:tblLook w:val="04A0" w:firstRow="1" w:lastRow="0" w:firstColumn="1" w:lastColumn="0" w:noHBand="0" w:noVBand="1"/>
      </w:tblPr>
      <w:tblGrid>
        <w:gridCol w:w="2916"/>
        <w:gridCol w:w="2916"/>
      </w:tblGrid>
      <w:tr w:rsidR="00F16472" w:rsidRPr="005A15A2" w14:paraId="52A2207D" w14:textId="77777777" w:rsidTr="00BF26F2">
        <w:trPr>
          <w:jc w:val="center"/>
        </w:trPr>
        <w:tc>
          <w:tcPr>
            <w:tcW w:w="2916" w:type="dxa"/>
          </w:tcPr>
          <w:p w14:paraId="4405B967" w14:textId="77777777" w:rsidR="00F16472" w:rsidRPr="005A15A2" w:rsidRDefault="00F16472" w:rsidP="005A15A2">
            <w:pPr>
              <w:tabs>
                <w:tab w:val="left" w:pos="5653"/>
              </w:tabs>
              <w:spacing w:line="360" w:lineRule="auto"/>
              <w:jc w:val="center"/>
              <w:rPr>
                <w:rFonts w:asciiTheme="majorBidi" w:eastAsiaTheme="minorEastAsia" w:hAnsiTheme="majorBidi" w:cstheme="majorBidi"/>
                <w:b/>
                <w:bCs/>
                <w:sz w:val="24"/>
                <w:szCs w:val="24"/>
              </w:rPr>
            </w:pPr>
            <w:r w:rsidRPr="005A15A2">
              <w:rPr>
                <w:rFonts w:asciiTheme="majorBidi" w:eastAsiaTheme="minorEastAsia" w:hAnsiTheme="majorBidi" w:cstheme="majorBidi"/>
                <w:b/>
                <w:bCs/>
                <w:sz w:val="24"/>
                <w:szCs w:val="24"/>
              </w:rPr>
              <w:t>Range of Na%</w:t>
            </w:r>
          </w:p>
        </w:tc>
        <w:tc>
          <w:tcPr>
            <w:tcW w:w="2916" w:type="dxa"/>
          </w:tcPr>
          <w:p w14:paraId="2AA68DFE" w14:textId="77777777" w:rsidR="00F16472" w:rsidRPr="005A15A2" w:rsidRDefault="00F16472" w:rsidP="005A15A2">
            <w:pPr>
              <w:tabs>
                <w:tab w:val="left" w:pos="5653"/>
              </w:tabs>
              <w:spacing w:line="360" w:lineRule="auto"/>
              <w:jc w:val="center"/>
              <w:rPr>
                <w:rFonts w:asciiTheme="majorBidi" w:eastAsiaTheme="minorEastAsia" w:hAnsiTheme="majorBidi" w:cstheme="majorBidi"/>
                <w:b/>
                <w:bCs/>
                <w:sz w:val="24"/>
                <w:szCs w:val="24"/>
              </w:rPr>
            </w:pPr>
            <w:r w:rsidRPr="005A15A2">
              <w:rPr>
                <w:rFonts w:asciiTheme="majorBidi" w:eastAsiaTheme="minorEastAsia" w:hAnsiTheme="majorBidi" w:cstheme="majorBidi"/>
                <w:b/>
                <w:bCs/>
                <w:sz w:val="24"/>
                <w:szCs w:val="24"/>
              </w:rPr>
              <w:t>Class</w:t>
            </w:r>
          </w:p>
        </w:tc>
      </w:tr>
      <w:tr w:rsidR="00F16472" w:rsidRPr="005A15A2" w14:paraId="783E9C11" w14:textId="77777777" w:rsidTr="00BF26F2">
        <w:trPr>
          <w:jc w:val="center"/>
        </w:trPr>
        <w:tc>
          <w:tcPr>
            <w:tcW w:w="2916" w:type="dxa"/>
          </w:tcPr>
          <w:p w14:paraId="30C545BC" w14:textId="0E7A45F1"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&lt;</w:t>
            </w:r>
            <w:r w:rsidR="00F00620" w:rsidRPr="005A15A2">
              <w:rPr>
                <w:rFonts w:asciiTheme="majorBidi" w:eastAsiaTheme="minorEastAsia" w:hAnsiTheme="majorBidi" w:cstheme="majorBidi"/>
                <w:sz w:val="24"/>
                <w:szCs w:val="24"/>
              </w:rPr>
              <w:t xml:space="preserve"> </w:t>
            </w:r>
            <w:r w:rsidRPr="005A15A2">
              <w:rPr>
                <w:rFonts w:asciiTheme="majorBidi" w:eastAsiaTheme="minorEastAsia" w:hAnsiTheme="majorBidi" w:cstheme="majorBidi"/>
                <w:sz w:val="24"/>
                <w:szCs w:val="24"/>
              </w:rPr>
              <w:t>20</w:t>
            </w:r>
          </w:p>
        </w:tc>
        <w:tc>
          <w:tcPr>
            <w:tcW w:w="2916" w:type="dxa"/>
          </w:tcPr>
          <w:p w14:paraId="1B110D79"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Excellent</w:t>
            </w:r>
          </w:p>
        </w:tc>
      </w:tr>
      <w:tr w:rsidR="00F16472" w:rsidRPr="005A15A2" w14:paraId="006AC0AD" w14:textId="77777777" w:rsidTr="00BF26F2">
        <w:trPr>
          <w:jc w:val="center"/>
        </w:trPr>
        <w:tc>
          <w:tcPr>
            <w:tcW w:w="2916" w:type="dxa"/>
          </w:tcPr>
          <w:p w14:paraId="14F63276" w14:textId="27798CBB"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 xml:space="preserve">20 </w:t>
            </w:r>
            <w:r w:rsidR="00F00620" w:rsidRPr="005A15A2">
              <w:rPr>
                <w:rFonts w:asciiTheme="majorBidi" w:eastAsiaTheme="minorEastAsia" w:hAnsiTheme="majorBidi" w:cstheme="majorBidi"/>
                <w:sz w:val="24"/>
                <w:szCs w:val="24"/>
              </w:rPr>
              <w:t xml:space="preserve">– </w:t>
            </w:r>
            <w:r w:rsidRPr="005A15A2">
              <w:rPr>
                <w:rFonts w:asciiTheme="majorBidi" w:eastAsiaTheme="minorEastAsia" w:hAnsiTheme="majorBidi" w:cstheme="majorBidi"/>
                <w:sz w:val="24"/>
                <w:szCs w:val="24"/>
              </w:rPr>
              <w:t>40</w:t>
            </w:r>
          </w:p>
        </w:tc>
        <w:tc>
          <w:tcPr>
            <w:tcW w:w="2916" w:type="dxa"/>
          </w:tcPr>
          <w:p w14:paraId="43FA9D20"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Good</w:t>
            </w:r>
          </w:p>
        </w:tc>
      </w:tr>
      <w:tr w:rsidR="00F16472" w:rsidRPr="005A15A2" w14:paraId="3214C8B3" w14:textId="77777777" w:rsidTr="00BF26F2">
        <w:trPr>
          <w:jc w:val="center"/>
        </w:trPr>
        <w:tc>
          <w:tcPr>
            <w:tcW w:w="2916" w:type="dxa"/>
          </w:tcPr>
          <w:p w14:paraId="1A6E5D7B"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40 – 60</w:t>
            </w:r>
          </w:p>
        </w:tc>
        <w:tc>
          <w:tcPr>
            <w:tcW w:w="2916" w:type="dxa"/>
          </w:tcPr>
          <w:p w14:paraId="1704E6BE"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 xml:space="preserve">Permissible </w:t>
            </w:r>
          </w:p>
        </w:tc>
      </w:tr>
      <w:tr w:rsidR="00F16472" w:rsidRPr="005A15A2" w14:paraId="6AC63E8F" w14:textId="77777777" w:rsidTr="00BF26F2">
        <w:trPr>
          <w:jc w:val="center"/>
        </w:trPr>
        <w:tc>
          <w:tcPr>
            <w:tcW w:w="2916" w:type="dxa"/>
          </w:tcPr>
          <w:p w14:paraId="626449AA"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60 – 80</w:t>
            </w:r>
          </w:p>
        </w:tc>
        <w:tc>
          <w:tcPr>
            <w:tcW w:w="2916" w:type="dxa"/>
          </w:tcPr>
          <w:p w14:paraId="3C6ADDA8"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Doubtful</w:t>
            </w:r>
          </w:p>
        </w:tc>
      </w:tr>
      <w:tr w:rsidR="00F16472" w:rsidRPr="005A15A2" w14:paraId="296683FD" w14:textId="77777777" w:rsidTr="00BF26F2">
        <w:trPr>
          <w:jc w:val="center"/>
        </w:trPr>
        <w:tc>
          <w:tcPr>
            <w:tcW w:w="2916" w:type="dxa"/>
          </w:tcPr>
          <w:p w14:paraId="525AED8F"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&gt; 80</w:t>
            </w:r>
          </w:p>
        </w:tc>
        <w:tc>
          <w:tcPr>
            <w:tcW w:w="2916" w:type="dxa"/>
          </w:tcPr>
          <w:p w14:paraId="0558594D"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Unsuitable</w:t>
            </w:r>
          </w:p>
        </w:tc>
      </w:tr>
    </w:tbl>
    <w:p w14:paraId="607F4185" w14:textId="77777777" w:rsidR="00F00620" w:rsidRPr="005A15A2" w:rsidRDefault="00F00620" w:rsidP="005A15A2">
      <w:pPr>
        <w:tabs>
          <w:tab w:val="left" w:pos="5653"/>
        </w:tabs>
        <w:spacing w:line="360" w:lineRule="auto"/>
        <w:rPr>
          <w:rFonts w:asciiTheme="majorBidi" w:eastAsiaTheme="minorEastAsia" w:hAnsiTheme="majorBidi" w:cstheme="majorBidi"/>
          <w:sz w:val="24"/>
          <w:szCs w:val="24"/>
        </w:rPr>
      </w:pPr>
    </w:p>
    <w:p w14:paraId="3811100C" w14:textId="4F071C46" w:rsidR="00366B22" w:rsidRPr="00366B22" w:rsidRDefault="00366B22" w:rsidP="00366B22">
      <w:pPr>
        <w:pStyle w:val="Caption"/>
        <w:keepNext/>
        <w:rPr>
          <w:sz w:val="24"/>
          <w:szCs w:val="24"/>
        </w:rPr>
      </w:pPr>
      <w:r w:rsidRPr="00366B22">
        <w:rPr>
          <w:sz w:val="24"/>
          <w:szCs w:val="24"/>
        </w:rPr>
        <w:t xml:space="preserve">Table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4</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Table \* ARABIC \s 1 </w:instrText>
      </w:r>
      <w:r w:rsidR="005425B2">
        <w:rPr>
          <w:sz w:val="24"/>
          <w:szCs w:val="24"/>
        </w:rPr>
        <w:fldChar w:fldCharType="separate"/>
      </w:r>
      <w:r w:rsidR="005425B2">
        <w:rPr>
          <w:noProof/>
          <w:sz w:val="24"/>
          <w:szCs w:val="24"/>
        </w:rPr>
        <w:t>5</w:t>
      </w:r>
      <w:r w:rsidR="005425B2">
        <w:rPr>
          <w:sz w:val="24"/>
          <w:szCs w:val="24"/>
        </w:rPr>
        <w:fldChar w:fldCharType="end"/>
      </w:r>
      <w:r w:rsidRPr="00366B22">
        <w:rPr>
          <w:sz w:val="24"/>
          <w:szCs w:val="24"/>
        </w:rPr>
        <w:t>: Classification based on Sodium Percentage</w:t>
      </w:r>
    </w:p>
    <w:tbl>
      <w:tblPr>
        <w:tblStyle w:val="GridTable5Dark-Accent1"/>
        <w:tblW w:w="5954" w:type="pct"/>
        <w:jc w:val="center"/>
        <w:tblLook w:val="04A0" w:firstRow="1" w:lastRow="0" w:firstColumn="1" w:lastColumn="0" w:noHBand="0" w:noVBand="1"/>
      </w:tblPr>
      <w:tblGrid>
        <w:gridCol w:w="1403"/>
        <w:gridCol w:w="923"/>
        <w:gridCol w:w="1563"/>
        <w:gridCol w:w="1070"/>
        <w:gridCol w:w="1070"/>
        <w:gridCol w:w="1236"/>
        <w:gridCol w:w="1563"/>
        <w:gridCol w:w="1236"/>
        <w:gridCol w:w="1070"/>
      </w:tblGrid>
      <w:tr w:rsidR="005A15A2" w:rsidRPr="005A15A2" w14:paraId="0D051A9D" w14:textId="77777777" w:rsidTr="00366B22">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630" w:type="pct"/>
            <w:vAlign w:val="center"/>
            <w:hideMark/>
          </w:tcPr>
          <w:p w14:paraId="0175AD46" w14:textId="77777777" w:rsidR="00F00620" w:rsidRPr="00F00620" w:rsidRDefault="00F00620" w:rsidP="00041ABB">
            <w:pPr>
              <w:spacing w:line="360" w:lineRule="auto"/>
              <w:jc w:val="center"/>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Class</w:t>
            </w:r>
          </w:p>
        </w:tc>
        <w:tc>
          <w:tcPr>
            <w:tcW w:w="414" w:type="pct"/>
            <w:vAlign w:val="center"/>
            <w:hideMark/>
          </w:tcPr>
          <w:p w14:paraId="1A850CD5" w14:textId="77777777" w:rsidR="00F00620" w:rsidRPr="00F00620" w:rsidRDefault="00F00620"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Gujrat</w:t>
            </w:r>
          </w:p>
        </w:tc>
        <w:tc>
          <w:tcPr>
            <w:tcW w:w="702" w:type="pct"/>
            <w:vAlign w:val="center"/>
            <w:hideMark/>
          </w:tcPr>
          <w:p w14:paraId="7D49F5E8" w14:textId="77777777" w:rsidR="00F00620" w:rsidRPr="00F00620" w:rsidRDefault="00F00620"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Kharianwala</w:t>
            </w:r>
          </w:p>
        </w:tc>
        <w:tc>
          <w:tcPr>
            <w:tcW w:w="481" w:type="pct"/>
            <w:vAlign w:val="center"/>
            <w:hideMark/>
          </w:tcPr>
          <w:p w14:paraId="196BC945" w14:textId="77777777" w:rsidR="00F00620" w:rsidRPr="00F00620" w:rsidRDefault="00F00620"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Sara-e-Alamgir</w:t>
            </w:r>
          </w:p>
        </w:tc>
        <w:tc>
          <w:tcPr>
            <w:tcW w:w="481" w:type="pct"/>
            <w:vAlign w:val="center"/>
            <w:hideMark/>
          </w:tcPr>
          <w:p w14:paraId="57152139" w14:textId="7D3C01FC" w:rsidR="00F00620" w:rsidRPr="00F00620" w:rsidRDefault="00F00620"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Total</w:t>
            </w:r>
            <w:r w:rsidRPr="005A15A2">
              <w:rPr>
                <w:rFonts w:asciiTheme="majorBidi" w:eastAsia="Times New Roman" w:hAnsiTheme="majorBidi" w:cstheme="majorBidi"/>
                <w:kern w:val="0"/>
                <w:sz w:val="24"/>
                <w:szCs w:val="24"/>
                <w14:ligatures w14:val="none"/>
              </w:rPr>
              <w:t xml:space="preserve"> Samples</w:t>
            </w:r>
          </w:p>
        </w:tc>
        <w:tc>
          <w:tcPr>
            <w:tcW w:w="555" w:type="pct"/>
            <w:vAlign w:val="center"/>
            <w:hideMark/>
          </w:tcPr>
          <w:p w14:paraId="60A87AA5" w14:textId="77777777" w:rsidR="00F00620" w:rsidRPr="00F00620" w:rsidRDefault="00F00620"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Gujrat (%)</w:t>
            </w:r>
          </w:p>
        </w:tc>
        <w:tc>
          <w:tcPr>
            <w:tcW w:w="702" w:type="pct"/>
            <w:vAlign w:val="center"/>
            <w:hideMark/>
          </w:tcPr>
          <w:p w14:paraId="3A75FE35" w14:textId="77777777" w:rsidR="00F00620" w:rsidRPr="00F00620" w:rsidRDefault="00F00620"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Kharianwala (%)</w:t>
            </w:r>
          </w:p>
        </w:tc>
        <w:tc>
          <w:tcPr>
            <w:tcW w:w="555" w:type="pct"/>
            <w:vAlign w:val="center"/>
            <w:hideMark/>
          </w:tcPr>
          <w:p w14:paraId="5BA6112B" w14:textId="77777777" w:rsidR="00F00620" w:rsidRPr="00F00620" w:rsidRDefault="00F00620"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Sara-e-Alamgir (%)</w:t>
            </w:r>
          </w:p>
        </w:tc>
        <w:tc>
          <w:tcPr>
            <w:tcW w:w="481" w:type="pct"/>
            <w:vAlign w:val="center"/>
            <w:hideMark/>
          </w:tcPr>
          <w:p w14:paraId="0CED7744" w14:textId="1A95F919" w:rsidR="00F00620" w:rsidRPr="00F00620" w:rsidRDefault="00F00620" w:rsidP="00041AB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Total</w:t>
            </w:r>
            <w:r w:rsidRPr="005A15A2">
              <w:rPr>
                <w:rFonts w:asciiTheme="majorBidi" w:eastAsia="Times New Roman" w:hAnsiTheme="majorBidi" w:cstheme="majorBidi"/>
                <w:kern w:val="0"/>
                <w:sz w:val="24"/>
                <w:szCs w:val="24"/>
                <w14:ligatures w14:val="none"/>
              </w:rPr>
              <w:t xml:space="preserve"> Samples</w:t>
            </w:r>
            <w:r w:rsidRPr="00F00620">
              <w:rPr>
                <w:rFonts w:asciiTheme="majorBidi" w:eastAsia="Times New Roman" w:hAnsiTheme="majorBidi" w:cstheme="majorBidi"/>
                <w:kern w:val="0"/>
                <w:sz w:val="24"/>
                <w:szCs w:val="24"/>
                <w14:ligatures w14:val="none"/>
              </w:rPr>
              <w:t xml:space="preserve"> (%)</w:t>
            </w:r>
          </w:p>
        </w:tc>
      </w:tr>
      <w:tr w:rsidR="005A15A2" w:rsidRPr="005A15A2" w14:paraId="1E698955" w14:textId="77777777" w:rsidTr="00366B2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630" w:type="pct"/>
            <w:vAlign w:val="center"/>
            <w:hideMark/>
          </w:tcPr>
          <w:p w14:paraId="17DAA146" w14:textId="77777777" w:rsidR="00F00620" w:rsidRPr="00F00620" w:rsidRDefault="00F00620" w:rsidP="00041ABB">
            <w:pPr>
              <w:spacing w:line="360" w:lineRule="auto"/>
              <w:jc w:val="center"/>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Excellent</w:t>
            </w:r>
          </w:p>
        </w:tc>
        <w:tc>
          <w:tcPr>
            <w:tcW w:w="414" w:type="pct"/>
            <w:vAlign w:val="center"/>
            <w:hideMark/>
          </w:tcPr>
          <w:p w14:paraId="3969C2A9"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2</w:t>
            </w:r>
          </w:p>
        </w:tc>
        <w:tc>
          <w:tcPr>
            <w:tcW w:w="702" w:type="pct"/>
            <w:vAlign w:val="center"/>
            <w:hideMark/>
          </w:tcPr>
          <w:p w14:paraId="295DAB22"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0</w:t>
            </w:r>
          </w:p>
        </w:tc>
        <w:tc>
          <w:tcPr>
            <w:tcW w:w="481" w:type="pct"/>
            <w:vAlign w:val="center"/>
            <w:hideMark/>
          </w:tcPr>
          <w:p w14:paraId="097AF3BF"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9</w:t>
            </w:r>
          </w:p>
        </w:tc>
        <w:tc>
          <w:tcPr>
            <w:tcW w:w="481" w:type="pct"/>
            <w:vAlign w:val="center"/>
            <w:hideMark/>
          </w:tcPr>
          <w:p w14:paraId="4CE5A94C"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11</w:t>
            </w:r>
          </w:p>
        </w:tc>
        <w:tc>
          <w:tcPr>
            <w:tcW w:w="555" w:type="pct"/>
            <w:vAlign w:val="center"/>
            <w:hideMark/>
          </w:tcPr>
          <w:p w14:paraId="219CAA51"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18.181818</w:t>
            </w:r>
          </w:p>
        </w:tc>
        <w:tc>
          <w:tcPr>
            <w:tcW w:w="702" w:type="pct"/>
            <w:vAlign w:val="center"/>
            <w:hideMark/>
          </w:tcPr>
          <w:p w14:paraId="123EB9E0"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0</w:t>
            </w:r>
          </w:p>
        </w:tc>
        <w:tc>
          <w:tcPr>
            <w:tcW w:w="555" w:type="pct"/>
            <w:vAlign w:val="center"/>
            <w:hideMark/>
          </w:tcPr>
          <w:p w14:paraId="0B6D6EB1"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81.818182</w:t>
            </w:r>
          </w:p>
        </w:tc>
        <w:tc>
          <w:tcPr>
            <w:tcW w:w="481" w:type="pct"/>
            <w:vAlign w:val="center"/>
            <w:hideMark/>
          </w:tcPr>
          <w:p w14:paraId="003C2524"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3%</w:t>
            </w:r>
          </w:p>
        </w:tc>
      </w:tr>
      <w:tr w:rsidR="005A15A2" w:rsidRPr="005A15A2" w14:paraId="01E0CE3F" w14:textId="77777777" w:rsidTr="00366B22">
        <w:trPr>
          <w:trHeight w:val="330"/>
          <w:jc w:val="center"/>
        </w:trPr>
        <w:tc>
          <w:tcPr>
            <w:cnfStyle w:val="001000000000" w:firstRow="0" w:lastRow="0" w:firstColumn="1" w:lastColumn="0" w:oddVBand="0" w:evenVBand="0" w:oddHBand="0" w:evenHBand="0" w:firstRowFirstColumn="0" w:firstRowLastColumn="0" w:lastRowFirstColumn="0" w:lastRowLastColumn="0"/>
            <w:tcW w:w="630" w:type="pct"/>
            <w:vAlign w:val="center"/>
            <w:hideMark/>
          </w:tcPr>
          <w:p w14:paraId="51C63EA5" w14:textId="77777777" w:rsidR="00F00620" w:rsidRPr="00F00620" w:rsidRDefault="00F00620" w:rsidP="00041ABB">
            <w:pPr>
              <w:spacing w:line="360" w:lineRule="auto"/>
              <w:jc w:val="center"/>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Good</w:t>
            </w:r>
          </w:p>
        </w:tc>
        <w:tc>
          <w:tcPr>
            <w:tcW w:w="414" w:type="pct"/>
            <w:vAlign w:val="center"/>
            <w:hideMark/>
          </w:tcPr>
          <w:p w14:paraId="3D5E3415"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15</w:t>
            </w:r>
          </w:p>
        </w:tc>
        <w:tc>
          <w:tcPr>
            <w:tcW w:w="702" w:type="pct"/>
            <w:vAlign w:val="center"/>
            <w:hideMark/>
          </w:tcPr>
          <w:p w14:paraId="6200D1EF"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34</w:t>
            </w:r>
          </w:p>
        </w:tc>
        <w:tc>
          <w:tcPr>
            <w:tcW w:w="481" w:type="pct"/>
            <w:vAlign w:val="center"/>
            <w:hideMark/>
          </w:tcPr>
          <w:p w14:paraId="5482A287"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27</w:t>
            </w:r>
          </w:p>
        </w:tc>
        <w:tc>
          <w:tcPr>
            <w:tcW w:w="481" w:type="pct"/>
            <w:vAlign w:val="center"/>
            <w:hideMark/>
          </w:tcPr>
          <w:p w14:paraId="32A1F3AE"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76</w:t>
            </w:r>
          </w:p>
        </w:tc>
        <w:tc>
          <w:tcPr>
            <w:tcW w:w="555" w:type="pct"/>
            <w:vAlign w:val="center"/>
            <w:hideMark/>
          </w:tcPr>
          <w:p w14:paraId="0A0E1D80"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19.736842</w:t>
            </w:r>
          </w:p>
        </w:tc>
        <w:tc>
          <w:tcPr>
            <w:tcW w:w="702" w:type="pct"/>
            <w:vAlign w:val="center"/>
            <w:hideMark/>
          </w:tcPr>
          <w:p w14:paraId="5A8E6F52"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44.736842</w:t>
            </w:r>
          </w:p>
        </w:tc>
        <w:tc>
          <w:tcPr>
            <w:tcW w:w="555" w:type="pct"/>
            <w:vAlign w:val="center"/>
            <w:hideMark/>
          </w:tcPr>
          <w:p w14:paraId="255182FE"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35.526316</w:t>
            </w:r>
          </w:p>
        </w:tc>
        <w:tc>
          <w:tcPr>
            <w:tcW w:w="481" w:type="pct"/>
            <w:vAlign w:val="center"/>
            <w:hideMark/>
          </w:tcPr>
          <w:p w14:paraId="431B1AD2"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19%</w:t>
            </w:r>
          </w:p>
        </w:tc>
      </w:tr>
      <w:tr w:rsidR="005A15A2" w:rsidRPr="005A15A2" w14:paraId="36775E98" w14:textId="77777777" w:rsidTr="00366B2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630" w:type="pct"/>
            <w:vAlign w:val="center"/>
            <w:hideMark/>
          </w:tcPr>
          <w:p w14:paraId="28550634" w14:textId="77777777" w:rsidR="00F00620" w:rsidRPr="00F00620" w:rsidRDefault="00F00620" w:rsidP="00041ABB">
            <w:pPr>
              <w:spacing w:line="360" w:lineRule="auto"/>
              <w:jc w:val="center"/>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Permissible</w:t>
            </w:r>
          </w:p>
        </w:tc>
        <w:tc>
          <w:tcPr>
            <w:tcW w:w="414" w:type="pct"/>
            <w:vAlign w:val="center"/>
            <w:hideMark/>
          </w:tcPr>
          <w:p w14:paraId="60DBBF06"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91</w:t>
            </w:r>
          </w:p>
        </w:tc>
        <w:tc>
          <w:tcPr>
            <w:tcW w:w="702" w:type="pct"/>
            <w:vAlign w:val="center"/>
            <w:hideMark/>
          </w:tcPr>
          <w:p w14:paraId="693C3A9E"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39</w:t>
            </w:r>
          </w:p>
        </w:tc>
        <w:tc>
          <w:tcPr>
            <w:tcW w:w="481" w:type="pct"/>
            <w:vAlign w:val="center"/>
            <w:hideMark/>
          </w:tcPr>
          <w:p w14:paraId="46A1BFC0"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6</w:t>
            </w:r>
          </w:p>
        </w:tc>
        <w:tc>
          <w:tcPr>
            <w:tcW w:w="481" w:type="pct"/>
            <w:vAlign w:val="center"/>
            <w:hideMark/>
          </w:tcPr>
          <w:p w14:paraId="4646085C"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136</w:t>
            </w:r>
          </w:p>
        </w:tc>
        <w:tc>
          <w:tcPr>
            <w:tcW w:w="555" w:type="pct"/>
            <w:vAlign w:val="center"/>
            <w:hideMark/>
          </w:tcPr>
          <w:p w14:paraId="07BB8293"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66.911765</w:t>
            </w:r>
          </w:p>
        </w:tc>
        <w:tc>
          <w:tcPr>
            <w:tcW w:w="702" w:type="pct"/>
            <w:vAlign w:val="center"/>
            <w:hideMark/>
          </w:tcPr>
          <w:p w14:paraId="3F8CEA04"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28.676471</w:t>
            </w:r>
          </w:p>
        </w:tc>
        <w:tc>
          <w:tcPr>
            <w:tcW w:w="555" w:type="pct"/>
            <w:vAlign w:val="center"/>
            <w:hideMark/>
          </w:tcPr>
          <w:p w14:paraId="1BFA602A"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4.411765</w:t>
            </w:r>
          </w:p>
        </w:tc>
        <w:tc>
          <w:tcPr>
            <w:tcW w:w="481" w:type="pct"/>
            <w:vAlign w:val="center"/>
            <w:hideMark/>
          </w:tcPr>
          <w:p w14:paraId="6F47F463"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33%</w:t>
            </w:r>
          </w:p>
        </w:tc>
      </w:tr>
      <w:tr w:rsidR="005A15A2" w:rsidRPr="005A15A2" w14:paraId="33C7B22C" w14:textId="77777777" w:rsidTr="00366B22">
        <w:trPr>
          <w:trHeight w:val="330"/>
          <w:jc w:val="center"/>
        </w:trPr>
        <w:tc>
          <w:tcPr>
            <w:cnfStyle w:val="001000000000" w:firstRow="0" w:lastRow="0" w:firstColumn="1" w:lastColumn="0" w:oddVBand="0" w:evenVBand="0" w:oddHBand="0" w:evenHBand="0" w:firstRowFirstColumn="0" w:firstRowLastColumn="0" w:lastRowFirstColumn="0" w:lastRowLastColumn="0"/>
            <w:tcW w:w="630" w:type="pct"/>
            <w:vAlign w:val="center"/>
            <w:hideMark/>
          </w:tcPr>
          <w:p w14:paraId="1C74C4F6" w14:textId="77777777" w:rsidR="00F00620" w:rsidRPr="00F00620" w:rsidRDefault="00F00620" w:rsidP="00041ABB">
            <w:pPr>
              <w:spacing w:line="360" w:lineRule="auto"/>
              <w:jc w:val="center"/>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Doubtful</w:t>
            </w:r>
          </w:p>
        </w:tc>
        <w:tc>
          <w:tcPr>
            <w:tcW w:w="414" w:type="pct"/>
            <w:vAlign w:val="center"/>
            <w:hideMark/>
          </w:tcPr>
          <w:p w14:paraId="46B4DFBE"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104</w:t>
            </w:r>
          </w:p>
        </w:tc>
        <w:tc>
          <w:tcPr>
            <w:tcW w:w="702" w:type="pct"/>
            <w:vAlign w:val="center"/>
            <w:hideMark/>
          </w:tcPr>
          <w:p w14:paraId="23F855B7"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62</w:t>
            </w:r>
          </w:p>
        </w:tc>
        <w:tc>
          <w:tcPr>
            <w:tcW w:w="481" w:type="pct"/>
            <w:vAlign w:val="center"/>
            <w:hideMark/>
          </w:tcPr>
          <w:p w14:paraId="08FD1138"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w:t>
            </w:r>
          </w:p>
        </w:tc>
        <w:tc>
          <w:tcPr>
            <w:tcW w:w="481" w:type="pct"/>
            <w:vAlign w:val="center"/>
            <w:hideMark/>
          </w:tcPr>
          <w:p w14:paraId="6F8A4C9C"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167</w:t>
            </w:r>
          </w:p>
        </w:tc>
        <w:tc>
          <w:tcPr>
            <w:tcW w:w="555" w:type="pct"/>
            <w:vAlign w:val="center"/>
            <w:hideMark/>
          </w:tcPr>
          <w:p w14:paraId="27A9F083"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62.275449</w:t>
            </w:r>
          </w:p>
        </w:tc>
        <w:tc>
          <w:tcPr>
            <w:tcW w:w="702" w:type="pct"/>
            <w:vAlign w:val="center"/>
            <w:hideMark/>
          </w:tcPr>
          <w:p w14:paraId="3D7CA489"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37.125749</w:t>
            </w:r>
          </w:p>
        </w:tc>
        <w:tc>
          <w:tcPr>
            <w:tcW w:w="555" w:type="pct"/>
            <w:vAlign w:val="center"/>
            <w:hideMark/>
          </w:tcPr>
          <w:p w14:paraId="71C0F887"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0.598802</w:t>
            </w:r>
          </w:p>
        </w:tc>
        <w:tc>
          <w:tcPr>
            <w:tcW w:w="481" w:type="pct"/>
            <w:vAlign w:val="center"/>
            <w:hideMark/>
          </w:tcPr>
          <w:p w14:paraId="130B4E4E" w14:textId="77777777" w:rsidR="00F00620" w:rsidRPr="00F00620" w:rsidRDefault="00F00620" w:rsidP="00041AB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41%</w:t>
            </w:r>
          </w:p>
        </w:tc>
      </w:tr>
      <w:tr w:rsidR="005A15A2" w:rsidRPr="005A15A2" w14:paraId="5C657D2B" w14:textId="77777777" w:rsidTr="00366B2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630" w:type="pct"/>
            <w:vAlign w:val="center"/>
            <w:hideMark/>
          </w:tcPr>
          <w:p w14:paraId="0F0AFF6E" w14:textId="77777777" w:rsidR="00F00620" w:rsidRPr="00F00620" w:rsidRDefault="00F00620" w:rsidP="00041ABB">
            <w:pPr>
              <w:spacing w:line="360" w:lineRule="auto"/>
              <w:jc w:val="center"/>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Unsuitable</w:t>
            </w:r>
          </w:p>
        </w:tc>
        <w:tc>
          <w:tcPr>
            <w:tcW w:w="414" w:type="pct"/>
            <w:vAlign w:val="center"/>
            <w:hideMark/>
          </w:tcPr>
          <w:p w14:paraId="33F5D057"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5</w:t>
            </w:r>
          </w:p>
        </w:tc>
        <w:tc>
          <w:tcPr>
            <w:tcW w:w="702" w:type="pct"/>
            <w:vAlign w:val="center"/>
            <w:hideMark/>
          </w:tcPr>
          <w:p w14:paraId="784667FA"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12</w:t>
            </w:r>
          </w:p>
        </w:tc>
        <w:tc>
          <w:tcPr>
            <w:tcW w:w="481" w:type="pct"/>
            <w:vAlign w:val="center"/>
            <w:hideMark/>
          </w:tcPr>
          <w:p w14:paraId="400FE1E0"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0</w:t>
            </w:r>
          </w:p>
        </w:tc>
        <w:tc>
          <w:tcPr>
            <w:tcW w:w="481" w:type="pct"/>
            <w:vAlign w:val="center"/>
            <w:hideMark/>
          </w:tcPr>
          <w:p w14:paraId="3C591230"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17</w:t>
            </w:r>
          </w:p>
        </w:tc>
        <w:tc>
          <w:tcPr>
            <w:tcW w:w="555" w:type="pct"/>
            <w:vAlign w:val="center"/>
            <w:hideMark/>
          </w:tcPr>
          <w:p w14:paraId="401B7DAD"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29.411765</w:t>
            </w:r>
          </w:p>
        </w:tc>
        <w:tc>
          <w:tcPr>
            <w:tcW w:w="702" w:type="pct"/>
            <w:vAlign w:val="center"/>
            <w:hideMark/>
          </w:tcPr>
          <w:p w14:paraId="79B11F33"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70.588235</w:t>
            </w:r>
          </w:p>
        </w:tc>
        <w:tc>
          <w:tcPr>
            <w:tcW w:w="555" w:type="pct"/>
            <w:vAlign w:val="center"/>
            <w:hideMark/>
          </w:tcPr>
          <w:p w14:paraId="1B06E110"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0</w:t>
            </w:r>
          </w:p>
        </w:tc>
        <w:tc>
          <w:tcPr>
            <w:tcW w:w="481" w:type="pct"/>
            <w:vAlign w:val="center"/>
            <w:hideMark/>
          </w:tcPr>
          <w:p w14:paraId="71F4EE43" w14:textId="77777777" w:rsidR="00F00620" w:rsidRPr="00F00620" w:rsidRDefault="00F00620" w:rsidP="00041AB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4%</w:t>
            </w:r>
          </w:p>
        </w:tc>
      </w:tr>
    </w:tbl>
    <w:p w14:paraId="4E263AA1" w14:textId="77777777" w:rsidR="00F00620" w:rsidRPr="005A15A2" w:rsidRDefault="00F00620" w:rsidP="005A15A2">
      <w:pPr>
        <w:tabs>
          <w:tab w:val="left" w:pos="5653"/>
        </w:tabs>
        <w:spacing w:line="360" w:lineRule="auto"/>
        <w:rPr>
          <w:rFonts w:asciiTheme="majorBidi" w:eastAsiaTheme="minorEastAsia" w:hAnsiTheme="majorBidi" w:cstheme="majorBidi"/>
          <w:sz w:val="24"/>
          <w:szCs w:val="24"/>
        </w:rPr>
      </w:pPr>
    </w:p>
    <w:p w14:paraId="03AAC16B" w14:textId="063BA2B1" w:rsidR="00F16472" w:rsidRPr="005A15A2" w:rsidRDefault="00F16472"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 xml:space="preserve">The </w:t>
      </w:r>
      <w:r w:rsidR="00475702" w:rsidRPr="005A15A2">
        <w:rPr>
          <w:rFonts w:asciiTheme="majorBidi" w:hAnsiTheme="majorBidi" w:cstheme="majorBidi"/>
          <w:sz w:val="24"/>
          <w:szCs w:val="24"/>
        </w:rPr>
        <w:t>table of Na%</w:t>
      </w:r>
      <w:r w:rsidRPr="005A15A2">
        <w:rPr>
          <w:rFonts w:asciiTheme="majorBidi" w:hAnsiTheme="majorBidi" w:cstheme="majorBidi"/>
          <w:sz w:val="24"/>
          <w:szCs w:val="24"/>
        </w:rPr>
        <w:t xml:space="preserve"> shows that it is evident that the samples from</w:t>
      </w:r>
      <w:r w:rsidR="009D5091" w:rsidRPr="005A15A2">
        <w:rPr>
          <w:rFonts w:asciiTheme="majorBidi" w:hAnsiTheme="majorBidi" w:cstheme="majorBidi"/>
          <w:sz w:val="24"/>
          <w:szCs w:val="24"/>
        </w:rPr>
        <w:t xml:space="preserve"> Gujrat and Kharianwala</w:t>
      </w:r>
      <w:r w:rsidRPr="005A15A2">
        <w:rPr>
          <w:rFonts w:asciiTheme="majorBidi" w:hAnsiTheme="majorBidi" w:cstheme="majorBidi"/>
          <w:sz w:val="24"/>
          <w:szCs w:val="24"/>
        </w:rPr>
        <w:t xml:space="preserve"> predominantly fall within the excellent range. This suggests that the sodium levels in these areas are within acceptable limits and pose no significant concerns. Moreover, a few samples from </w:t>
      </w:r>
      <w:r w:rsidR="009D5091" w:rsidRPr="005A15A2">
        <w:rPr>
          <w:rFonts w:asciiTheme="majorBidi" w:hAnsiTheme="majorBidi" w:cstheme="majorBidi"/>
          <w:sz w:val="24"/>
          <w:szCs w:val="24"/>
        </w:rPr>
        <w:t>Sara-e-Alamgir</w:t>
      </w:r>
      <w:r w:rsidRPr="005A15A2">
        <w:rPr>
          <w:rFonts w:asciiTheme="majorBidi" w:hAnsiTheme="majorBidi" w:cstheme="majorBidi"/>
          <w:sz w:val="24"/>
          <w:szCs w:val="24"/>
        </w:rPr>
        <w:t xml:space="preserve"> </w:t>
      </w:r>
      <w:r w:rsidR="009D5091" w:rsidRPr="005A15A2">
        <w:rPr>
          <w:rFonts w:asciiTheme="majorBidi" w:hAnsiTheme="majorBidi" w:cstheme="majorBidi"/>
          <w:sz w:val="24"/>
          <w:szCs w:val="24"/>
        </w:rPr>
        <w:t xml:space="preserve">also </w:t>
      </w:r>
      <w:r w:rsidRPr="005A15A2">
        <w:rPr>
          <w:rFonts w:asciiTheme="majorBidi" w:hAnsiTheme="majorBidi" w:cstheme="majorBidi"/>
          <w:sz w:val="24"/>
          <w:szCs w:val="24"/>
        </w:rPr>
        <w:t xml:space="preserve">fall within the good and permissible range, indicating a relatively lower sodium content compared to other areas. However, </w:t>
      </w:r>
      <w:r w:rsidR="009D5091" w:rsidRPr="005A15A2">
        <w:rPr>
          <w:rFonts w:asciiTheme="majorBidi" w:hAnsiTheme="majorBidi" w:cstheme="majorBidi"/>
          <w:sz w:val="24"/>
          <w:szCs w:val="24"/>
        </w:rPr>
        <w:t>104</w:t>
      </w:r>
      <w:r w:rsidRPr="005A15A2">
        <w:rPr>
          <w:rFonts w:asciiTheme="majorBidi" w:hAnsiTheme="majorBidi" w:cstheme="majorBidi"/>
          <w:sz w:val="24"/>
          <w:szCs w:val="24"/>
        </w:rPr>
        <w:t xml:space="preserve"> samples from </w:t>
      </w:r>
      <w:r w:rsidR="009D5091" w:rsidRPr="005A15A2">
        <w:rPr>
          <w:rFonts w:asciiTheme="majorBidi" w:hAnsiTheme="majorBidi" w:cstheme="majorBidi"/>
          <w:sz w:val="24"/>
          <w:szCs w:val="24"/>
        </w:rPr>
        <w:t>Gujrat and 62 samples from Sara-e-Alamgir</w:t>
      </w:r>
      <w:r w:rsidRPr="005A15A2">
        <w:rPr>
          <w:rFonts w:asciiTheme="majorBidi" w:hAnsiTheme="majorBidi" w:cstheme="majorBidi"/>
          <w:sz w:val="24"/>
          <w:szCs w:val="24"/>
        </w:rPr>
        <w:t xml:space="preserve"> fall within the doubtful or unsuitable range, implying a higher sodium content that might be of concern. These findings emphasize the importance of careful evaluation and potential remediation measures in areas where sodium levels exceed recommended thresholds.</w:t>
      </w:r>
    </w:p>
    <w:p w14:paraId="272024D0" w14:textId="77777777" w:rsidR="00366B22" w:rsidRPr="00366B22" w:rsidRDefault="00F16472" w:rsidP="00366B22">
      <w:pPr>
        <w:keepNext/>
        <w:tabs>
          <w:tab w:val="left" w:pos="5653"/>
        </w:tabs>
        <w:spacing w:line="360" w:lineRule="auto"/>
        <w:jc w:val="center"/>
        <w:rPr>
          <w:sz w:val="32"/>
          <w:szCs w:val="32"/>
        </w:rPr>
      </w:pPr>
      <w:r w:rsidRPr="00366B22">
        <w:rPr>
          <w:rFonts w:asciiTheme="majorBidi" w:hAnsiTheme="majorBidi" w:cstheme="majorBidi"/>
          <w:noProof/>
          <w:sz w:val="36"/>
          <w:szCs w:val="36"/>
        </w:rPr>
        <w:drawing>
          <wp:inline distT="0" distB="0" distL="0" distR="0" wp14:anchorId="561D0226" wp14:editId="11622945">
            <wp:extent cx="5893938" cy="4182110"/>
            <wp:effectExtent l="19050" t="19050" r="12065" b="27940"/>
            <wp:docPr id="1256484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4980"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3938" cy="4182110"/>
                    </a:xfrm>
                    <a:prstGeom prst="rect">
                      <a:avLst/>
                    </a:prstGeom>
                    <a:ln>
                      <a:solidFill>
                        <a:schemeClr val="tx1"/>
                      </a:solidFill>
                    </a:ln>
                  </pic:spPr>
                </pic:pic>
              </a:graphicData>
            </a:graphic>
          </wp:inline>
        </w:drawing>
      </w:r>
    </w:p>
    <w:p w14:paraId="48CAD680" w14:textId="41EC90F1" w:rsidR="00F16472" w:rsidRPr="00366B22" w:rsidRDefault="00366B22" w:rsidP="00366B22">
      <w:pPr>
        <w:pStyle w:val="Caption"/>
        <w:jc w:val="center"/>
        <w:rPr>
          <w:rFonts w:asciiTheme="majorBidi" w:hAnsiTheme="majorBidi" w:cstheme="majorBidi"/>
          <w:sz w:val="36"/>
          <w:szCs w:val="36"/>
        </w:rPr>
      </w:pPr>
      <w:r w:rsidRPr="00366B22">
        <w:rPr>
          <w:sz w:val="24"/>
          <w:szCs w:val="24"/>
        </w:rPr>
        <w:t xml:space="preserve">Figure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4</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Figure \* ARABIC \s 1 </w:instrText>
      </w:r>
      <w:r w:rsidR="005425B2">
        <w:rPr>
          <w:sz w:val="24"/>
          <w:szCs w:val="24"/>
        </w:rPr>
        <w:fldChar w:fldCharType="separate"/>
      </w:r>
      <w:r w:rsidR="005425B2">
        <w:rPr>
          <w:noProof/>
          <w:sz w:val="24"/>
          <w:szCs w:val="24"/>
        </w:rPr>
        <w:t>5</w:t>
      </w:r>
      <w:r w:rsidR="005425B2">
        <w:rPr>
          <w:sz w:val="24"/>
          <w:szCs w:val="24"/>
        </w:rPr>
        <w:fldChar w:fldCharType="end"/>
      </w:r>
      <w:r w:rsidRPr="00366B22">
        <w:rPr>
          <w:sz w:val="24"/>
          <w:szCs w:val="24"/>
        </w:rPr>
        <w:t>: Wilcox Diagram</w:t>
      </w:r>
    </w:p>
    <w:p w14:paraId="2893C1EC" w14:textId="77777777" w:rsidR="00F16472" w:rsidRPr="005A15A2" w:rsidRDefault="00F16472" w:rsidP="00F42599">
      <w:pPr>
        <w:pStyle w:val="Heading3"/>
      </w:pPr>
      <w:bookmarkStart w:id="11" w:name="_Toc137645811"/>
      <w:r w:rsidRPr="005A15A2">
        <w:t>Kelley’s Ratio</w:t>
      </w:r>
      <w:bookmarkEnd w:id="11"/>
    </w:p>
    <w:p w14:paraId="585C1FA6" w14:textId="77777777" w:rsidR="00475702" w:rsidRPr="005A15A2" w:rsidRDefault="00475702"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Utilizing the correlation between the concentration of sodium and calcium/magnesium in the borehole water, the Kelly's ratio (KR) was utilized to quantify the level of salinity. Excessive sodium combining with calcium and magnesium in irrigation water results in detrimental byproducts and inferior water quality, thereby adversely affecting the pace of plant growth and yield.</w:t>
      </w:r>
    </w:p>
    <w:p w14:paraId="5F229756" w14:textId="5D31BE3D" w:rsidR="00F16472" w:rsidRPr="005A15A2" w:rsidRDefault="00F00620" w:rsidP="005A15A2">
      <w:pPr>
        <w:tabs>
          <w:tab w:val="left" w:pos="5653"/>
        </w:tabs>
        <w:spacing w:line="360" w:lineRule="auto"/>
        <w:jc w:val="center"/>
        <w:rPr>
          <w:rFonts w:asciiTheme="majorBidi" w:eastAsiaTheme="minorEastAsia" w:hAnsiTheme="majorBidi" w:cstheme="majorBidi"/>
          <w:sz w:val="24"/>
          <w:szCs w:val="24"/>
        </w:rPr>
      </w:pPr>
      <m:oMathPara>
        <m:oMath>
          <m:r>
            <w:rPr>
              <w:rFonts w:ascii="Cambria Math" w:hAnsi="Cambria Math" w:cstheme="majorBidi"/>
              <w:sz w:val="24"/>
              <w:szCs w:val="24"/>
            </w:rPr>
            <m:t xml:space="preserve">KR= </m:t>
          </m:r>
          <m:f>
            <m:fPr>
              <m:ctrlPr>
                <w:rPr>
                  <w:rFonts w:ascii="Cambria Math" w:hAnsi="Cambria Math" w:cstheme="majorBidi"/>
                  <w:i/>
                  <w:sz w:val="24"/>
                  <w:szCs w:val="24"/>
                </w:rPr>
              </m:ctrlPr>
            </m:fPr>
            <m:num>
              <m:r>
                <w:rPr>
                  <w:rFonts w:ascii="Cambria Math" w:hAnsi="Cambria Math" w:cstheme="majorBidi"/>
                  <w:sz w:val="24"/>
                  <w:szCs w:val="24"/>
                </w:rPr>
                <m:t>Na</m:t>
              </m:r>
            </m:num>
            <m:den>
              <m:r>
                <w:rPr>
                  <w:rFonts w:ascii="Cambria Math" w:hAnsi="Cambria Math" w:cstheme="majorBidi"/>
                  <w:sz w:val="24"/>
                  <w:szCs w:val="24"/>
                </w:rPr>
                <m:t>Ca+Mg</m:t>
              </m:r>
            </m:den>
          </m:f>
        </m:oMath>
      </m:oMathPara>
    </w:p>
    <w:tbl>
      <w:tblPr>
        <w:tblStyle w:val="TableGrid"/>
        <w:tblW w:w="0" w:type="auto"/>
        <w:jc w:val="center"/>
        <w:tblLook w:val="04A0" w:firstRow="1" w:lastRow="0" w:firstColumn="1" w:lastColumn="0" w:noHBand="0" w:noVBand="1"/>
      </w:tblPr>
      <w:tblGrid>
        <w:gridCol w:w="2916"/>
        <w:gridCol w:w="2916"/>
      </w:tblGrid>
      <w:tr w:rsidR="00F16472" w:rsidRPr="005A15A2" w14:paraId="34D2CDA1" w14:textId="77777777" w:rsidTr="00BF26F2">
        <w:trPr>
          <w:jc w:val="center"/>
        </w:trPr>
        <w:tc>
          <w:tcPr>
            <w:tcW w:w="2916" w:type="dxa"/>
          </w:tcPr>
          <w:p w14:paraId="4D1499F4" w14:textId="77777777" w:rsidR="00F16472" w:rsidRPr="005A15A2" w:rsidRDefault="00F16472" w:rsidP="005A15A2">
            <w:pPr>
              <w:tabs>
                <w:tab w:val="left" w:pos="5653"/>
              </w:tabs>
              <w:spacing w:line="360" w:lineRule="auto"/>
              <w:jc w:val="center"/>
              <w:rPr>
                <w:rFonts w:asciiTheme="majorBidi" w:eastAsiaTheme="minorEastAsia" w:hAnsiTheme="majorBidi" w:cstheme="majorBidi"/>
                <w:b/>
                <w:bCs/>
                <w:sz w:val="24"/>
                <w:szCs w:val="24"/>
              </w:rPr>
            </w:pPr>
            <w:r w:rsidRPr="005A15A2">
              <w:rPr>
                <w:rFonts w:asciiTheme="majorBidi" w:eastAsiaTheme="minorEastAsia" w:hAnsiTheme="majorBidi" w:cstheme="majorBidi"/>
                <w:b/>
                <w:bCs/>
                <w:sz w:val="24"/>
                <w:szCs w:val="24"/>
              </w:rPr>
              <w:t>Range of KR</w:t>
            </w:r>
          </w:p>
        </w:tc>
        <w:tc>
          <w:tcPr>
            <w:tcW w:w="2916" w:type="dxa"/>
          </w:tcPr>
          <w:p w14:paraId="2A630C12" w14:textId="77777777" w:rsidR="00F16472" w:rsidRPr="005A15A2" w:rsidRDefault="00F16472" w:rsidP="005A15A2">
            <w:pPr>
              <w:tabs>
                <w:tab w:val="left" w:pos="5653"/>
              </w:tabs>
              <w:spacing w:line="360" w:lineRule="auto"/>
              <w:jc w:val="center"/>
              <w:rPr>
                <w:rFonts w:asciiTheme="majorBidi" w:eastAsiaTheme="minorEastAsia" w:hAnsiTheme="majorBidi" w:cstheme="majorBidi"/>
                <w:b/>
                <w:bCs/>
                <w:sz w:val="24"/>
                <w:szCs w:val="24"/>
              </w:rPr>
            </w:pPr>
            <w:r w:rsidRPr="005A15A2">
              <w:rPr>
                <w:rFonts w:asciiTheme="majorBidi" w:eastAsiaTheme="minorEastAsia" w:hAnsiTheme="majorBidi" w:cstheme="majorBidi"/>
                <w:b/>
                <w:bCs/>
                <w:sz w:val="24"/>
                <w:szCs w:val="24"/>
              </w:rPr>
              <w:t>Class</w:t>
            </w:r>
          </w:p>
        </w:tc>
      </w:tr>
      <w:tr w:rsidR="00F16472" w:rsidRPr="005A15A2" w14:paraId="1E5EB51C" w14:textId="77777777" w:rsidTr="00BF26F2">
        <w:trPr>
          <w:jc w:val="center"/>
        </w:trPr>
        <w:tc>
          <w:tcPr>
            <w:tcW w:w="2916" w:type="dxa"/>
          </w:tcPr>
          <w:p w14:paraId="16277115"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&lt; 1</w:t>
            </w:r>
          </w:p>
        </w:tc>
        <w:tc>
          <w:tcPr>
            <w:tcW w:w="2916" w:type="dxa"/>
          </w:tcPr>
          <w:p w14:paraId="0229F312"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Safe</w:t>
            </w:r>
          </w:p>
        </w:tc>
      </w:tr>
      <w:tr w:rsidR="00F16472" w:rsidRPr="005A15A2" w14:paraId="17220AE0" w14:textId="77777777" w:rsidTr="00BF26F2">
        <w:trPr>
          <w:jc w:val="center"/>
        </w:trPr>
        <w:tc>
          <w:tcPr>
            <w:tcW w:w="2916" w:type="dxa"/>
          </w:tcPr>
          <w:p w14:paraId="3256B629"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&gt; 1</w:t>
            </w:r>
          </w:p>
        </w:tc>
        <w:tc>
          <w:tcPr>
            <w:tcW w:w="2916" w:type="dxa"/>
          </w:tcPr>
          <w:p w14:paraId="43971C36"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Unsafe</w:t>
            </w:r>
          </w:p>
        </w:tc>
      </w:tr>
    </w:tbl>
    <w:p w14:paraId="10080340" w14:textId="77777777" w:rsidR="00F16472" w:rsidRPr="005A15A2" w:rsidRDefault="00F16472" w:rsidP="005A15A2">
      <w:pPr>
        <w:tabs>
          <w:tab w:val="left" w:pos="5653"/>
        </w:tabs>
        <w:spacing w:line="360" w:lineRule="auto"/>
        <w:rPr>
          <w:rFonts w:asciiTheme="majorBidi" w:eastAsiaTheme="minorEastAsia" w:hAnsiTheme="majorBidi" w:cstheme="majorBidi"/>
          <w:sz w:val="24"/>
          <w:szCs w:val="24"/>
        </w:rPr>
      </w:pPr>
    </w:p>
    <w:p w14:paraId="77D014D0" w14:textId="5840EB6E" w:rsidR="00366B22" w:rsidRPr="00366B22" w:rsidRDefault="00366B22" w:rsidP="00366B22">
      <w:pPr>
        <w:pStyle w:val="Caption"/>
        <w:keepNext/>
        <w:rPr>
          <w:sz w:val="24"/>
          <w:szCs w:val="24"/>
        </w:rPr>
      </w:pPr>
      <w:r w:rsidRPr="00366B22">
        <w:rPr>
          <w:sz w:val="24"/>
          <w:szCs w:val="24"/>
        </w:rPr>
        <w:t xml:space="preserve">Table </w:t>
      </w:r>
      <w:r w:rsidR="005425B2">
        <w:rPr>
          <w:sz w:val="24"/>
          <w:szCs w:val="24"/>
        </w:rPr>
        <w:fldChar w:fldCharType="begin"/>
      </w:r>
      <w:r w:rsidR="005425B2">
        <w:rPr>
          <w:sz w:val="24"/>
          <w:szCs w:val="24"/>
        </w:rPr>
        <w:instrText xml:space="preserve"> STYLEREF 1 \s </w:instrText>
      </w:r>
      <w:r w:rsidR="005425B2">
        <w:rPr>
          <w:sz w:val="24"/>
          <w:szCs w:val="24"/>
        </w:rPr>
        <w:fldChar w:fldCharType="separate"/>
      </w:r>
      <w:r w:rsidR="005425B2">
        <w:rPr>
          <w:noProof/>
          <w:sz w:val="24"/>
          <w:szCs w:val="24"/>
          <w:cs/>
        </w:rPr>
        <w:t>‎</w:t>
      </w:r>
      <w:r w:rsidR="005425B2">
        <w:rPr>
          <w:noProof/>
          <w:sz w:val="24"/>
          <w:szCs w:val="24"/>
        </w:rPr>
        <w:t>4</w:t>
      </w:r>
      <w:r w:rsidR="005425B2">
        <w:rPr>
          <w:sz w:val="24"/>
          <w:szCs w:val="24"/>
        </w:rPr>
        <w:fldChar w:fldCharType="end"/>
      </w:r>
      <w:r w:rsidR="005425B2">
        <w:rPr>
          <w:sz w:val="24"/>
          <w:szCs w:val="24"/>
        </w:rPr>
        <w:t>.</w:t>
      </w:r>
      <w:r w:rsidR="005425B2">
        <w:rPr>
          <w:sz w:val="24"/>
          <w:szCs w:val="24"/>
        </w:rPr>
        <w:fldChar w:fldCharType="begin"/>
      </w:r>
      <w:r w:rsidR="005425B2">
        <w:rPr>
          <w:sz w:val="24"/>
          <w:szCs w:val="24"/>
        </w:rPr>
        <w:instrText xml:space="preserve"> SEQ Table \* ARABIC \s 1 </w:instrText>
      </w:r>
      <w:r w:rsidR="005425B2">
        <w:rPr>
          <w:sz w:val="24"/>
          <w:szCs w:val="24"/>
        </w:rPr>
        <w:fldChar w:fldCharType="separate"/>
      </w:r>
      <w:r w:rsidR="005425B2">
        <w:rPr>
          <w:noProof/>
          <w:sz w:val="24"/>
          <w:szCs w:val="24"/>
        </w:rPr>
        <w:t>6</w:t>
      </w:r>
      <w:r w:rsidR="005425B2">
        <w:rPr>
          <w:sz w:val="24"/>
          <w:szCs w:val="24"/>
        </w:rPr>
        <w:fldChar w:fldCharType="end"/>
      </w:r>
      <w:r w:rsidRPr="00366B22">
        <w:rPr>
          <w:sz w:val="24"/>
          <w:szCs w:val="24"/>
        </w:rPr>
        <w:t>: Classification based on Kelly's Ratio</w:t>
      </w:r>
    </w:p>
    <w:tbl>
      <w:tblPr>
        <w:tblStyle w:val="GridTable5Dark-Accent1"/>
        <w:tblW w:w="5369" w:type="pct"/>
        <w:tblLook w:val="04A0" w:firstRow="1" w:lastRow="0" w:firstColumn="1" w:lastColumn="0" w:noHBand="0" w:noVBand="1"/>
      </w:tblPr>
      <w:tblGrid>
        <w:gridCol w:w="923"/>
        <w:gridCol w:w="923"/>
        <w:gridCol w:w="1563"/>
        <w:gridCol w:w="1070"/>
        <w:gridCol w:w="763"/>
        <w:gridCol w:w="1236"/>
        <w:gridCol w:w="1563"/>
        <w:gridCol w:w="1236"/>
        <w:gridCol w:w="763"/>
      </w:tblGrid>
      <w:tr w:rsidR="00F00620" w:rsidRPr="005A15A2" w14:paraId="7E933290" w14:textId="77777777" w:rsidTr="00366B22">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460" w:type="pct"/>
            <w:hideMark/>
          </w:tcPr>
          <w:p w14:paraId="12CF8C0D" w14:textId="77777777" w:rsidR="00F00620" w:rsidRPr="00F00620" w:rsidRDefault="00F00620" w:rsidP="005A15A2">
            <w:pPr>
              <w:spacing w:line="360" w:lineRule="auto"/>
              <w:jc w:val="center"/>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Class</w:t>
            </w:r>
          </w:p>
        </w:tc>
        <w:tc>
          <w:tcPr>
            <w:tcW w:w="460" w:type="pct"/>
            <w:hideMark/>
          </w:tcPr>
          <w:p w14:paraId="3F3C84BF" w14:textId="77777777" w:rsidR="00F00620" w:rsidRPr="00F00620" w:rsidRDefault="00F0062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Gujrat</w:t>
            </w:r>
          </w:p>
        </w:tc>
        <w:tc>
          <w:tcPr>
            <w:tcW w:w="778" w:type="pct"/>
            <w:hideMark/>
          </w:tcPr>
          <w:p w14:paraId="0FBD6BCE" w14:textId="77777777" w:rsidR="00F00620" w:rsidRPr="00F00620" w:rsidRDefault="00F0062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Kharianwala</w:t>
            </w:r>
          </w:p>
        </w:tc>
        <w:tc>
          <w:tcPr>
            <w:tcW w:w="533" w:type="pct"/>
            <w:hideMark/>
          </w:tcPr>
          <w:p w14:paraId="70DD7E32" w14:textId="77777777" w:rsidR="00F00620" w:rsidRPr="00F00620" w:rsidRDefault="00F0062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Sara-e-Alamgir</w:t>
            </w:r>
          </w:p>
        </w:tc>
        <w:tc>
          <w:tcPr>
            <w:tcW w:w="380" w:type="pct"/>
            <w:hideMark/>
          </w:tcPr>
          <w:p w14:paraId="7C3F457D" w14:textId="77777777" w:rsidR="00F00620" w:rsidRPr="00F00620" w:rsidRDefault="00F0062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Total</w:t>
            </w:r>
          </w:p>
        </w:tc>
        <w:tc>
          <w:tcPr>
            <w:tcW w:w="616" w:type="pct"/>
            <w:hideMark/>
          </w:tcPr>
          <w:p w14:paraId="2259BA08" w14:textId="77777777" w:rsidR="00F00620" w:rsidRPr="00F00620" w:rsidRDefault="00F0062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Gujrat (%)</w:t>
            </w:r>
          </w:p>
        </w:tc>
        <w:tc>
          <w:tcPr>
            <w:tcW w:w="778" w:type="pct"/>
            <w:hideMark/>
          </w:tcPr>
          <w:p w14:paraId="674294DA" w14:textId="77777777" w:rsidR="00F00620" w:rsidRPr="00F00620" w:rsidRDefault="00F0062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Kharianwala (%)</w:t>
            </w:r>
          </w:p>
        </w:tc>
        <w:tc>
          <w:tcPr>
            <w:tcW w:w="616" w:type="pct"/>
            <w:hideMark/>
          </w:tcPr>
          <w:p w14:paraId="00556822" w14:textId="77777777" w:rsidR="00F00620" w:rsidRPr="00F00620" w:rsidRDefault="00F0062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Sara-e-Alamgir (%)</w:t>
            </w:r>
          </w:p>
        </w:tc>
        <w:tc>
          <w:tcPr>
            <w:tcW w:w="380" w:type="pct"/>
            <w:hideMark/>
          </w:tcPr>
          <w:p w14:paraId="67889A45" w14:textId="77777777" w:rsidR="00F00620" w:rsidRPr="00F00620" w:rsidRDefault="00F00620"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Total (%)</w:t>
            </w:r>
          </w:p>
        </w:tc>
      </w:tr>
      <w:tr w:rsidR="00F00620" w:rsidRPr="005A15A2" w14:paraId="47252C6E" w14:textId="77777777" w:rsidTr="00366B22">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60" w:type="pct"/>
            <w:hideMark/>
          </w:tcPr>
          <w:p w14:paraId="7007C34F" w14:textId="77777777" w:rsidR="00F00620" w:rsidRPr="00F00620" w:rsidRDefault="00F00620" w:rsidP="005A15A2">
            <w:pPr>
              <w:spacing w:line="360" w:lineRule="auto"/>
              <w:jc w:val="center"/>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Safe</w:t>
            </w:r>
          </w:p>
        </w:tc>
        <w:tc>
          <w:tcPr>
            <w:tcW w:w="460" w:type="pct"/>
            <w:hideMark/>
          </w:tcPr>
          <w:p w14:paraId="74DC976C" w14:textId="77777777" w:rsidR="00F00620" w:rsidRPr="00F00620" w:rsidRDefault="00F0062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53</w:t>
            </w:r>
          </w:p>
        </w:tc>
        <w:tc>
          <w:tcPr>
            <w:tcW w:w="778" w:type="pct"/>
            <w:hideMark/>
          </w:tcPr>
          <w:p w14:paraId="4DA9EF76" w14:textId="77777777" w:rsidR="00F00620" w:rsidRPr="00F00620" w:rsidRDefault="00F0062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60</w:t>
            </w:r>
          </w:p>
        </w:tc>
        <w:tc>
          <w:tcPr>
            <w:tcW w:w="533" w:type="pct"/>
            <w:hideMark/>
          </w:tcPr>
          <w:p w14:paraId="0B546AFF" w14:textId="77777777" w:rsidR="00F00620" w:rsidRPr="00F00620" w:rsidRDefault="00F0062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40</w:t>
            </w:r>
          </w:p>
        </w:tc>
        <w:tc>
          <w:tcPr>
            <w:tcW w:w="380" w:type="pct"/>
            <w:hideMark/>
          </w:tcPr>
          <w:p w14:paraId="4099660B" w14:textId="77777777" w:rsidR="00F00620" w:rsidRPr="00F00620" w:rsidRDefault="00F0062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153</w:t>
            </w:r>
          </w:p>
        </w:tc>
        <w:tc>
          <w:tcPr>
            <w:tcW w:w="616" w:type="pct"/>
            <w:hideMark/>
          </w:tcPr>
          <w:p w14:paraId="57EC90AE" w14:textId="77777777" w:rsidR="00F00620" w:rsidRPr="00F00620" w:rsidRDefault="00F0062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34.640523</w:t>
            </w:r>
          </w:p>
        </w:tc>
        <w:tc>
          <w:tcPr>
            <w:tcW w:w="778" w:type="pct"/>
            <w:hideMark/>
          </w:tcPr>
          <w:p w14:paraId="29775780" w14:textId="77777777" w:rsidR="00F00620" w:rsidRPr="00F00620" w:rsidRDefault="00F0062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39.215686</w:t>
            </w:r>
          </w:p>
        </w:tc>
        <w:tc>
          <w:tcPr>
            <w:tcW w:w="616" w:type="pct"/>
            <w:hideMark/>
          </w:tcPr>
          <w:p w14:paraId="62649FBE" w14:textId="77777777" w:rsidR="00F00620" w:rsidRPr="00F00620" w:rsidRDefault="00F0062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26.143791</w:t>
            </w:r>
          </w:p>
        </w:tc>
        <w:tc>
          <w:tcPr>
            <w:tcW w:w="380" w:type="pct"/>
            <w:hideMark/>
          </w:tcPr>
          <w:p w14:paraId="4951187C" w14:textId="77777777" w:rsidR="00F00620" w:rsidRPr="00F00620" w:rsidRDefault="00F00620"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38%</w:t>
            </w:r>
          </w:p>
        </w:tc>
      </w:tr>
      <w:tr w:rsidR="00F00620" w:rsidRPr="005A15A2" w14:paraId="37209891" w14:textId="77777777" w:rsidTr="00366B22">
        <w:trPr>
          <w:trHeight w:val="324"/>
        </w:trPr>
        <w:tc>
          <w:tcPr>
            <w:cnfStyle w:val="001000000000" w:firstRow="0" w:lastRow="0" w:firstColumn="1" w:lastColumn="0" w:oddVBand="0" w:evenVBand="0" w:oddHBand="0" w:evenHBand="0" w:firstRowFirstColumn="0" w:firstRowLastColumn="0" w:lastRowFirstColumn="0" w:lastRowLastColumn="0"/>
            <w:tcW w:w="460" w:type="pct"/>
            <w:hideMark/>
          </w:tcPr>
          <w:p w14:paraId="78265A90" w14:textId="77777777" w:rsidR="00F00620" w:rsidRPr="00F00620" w:rsidRDefault="00F00620" w:rsidP="005A15A2">
            <w:pPr>
              <w:spacing w:line="360" w:lineRule="auto"/>
              <w:jc w:val="center"/>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Unsafe</w:t>
            </w:r>
          </w:p>
        </w:tc>
        <w:tc>
          <w:tcPr>
            <w:tcW w:w="460" w:type="pct"/>
            <w:hideMark/>
          </w:tcPr>
          <w:p w14:paraId="726D4803" w14:textId="77777777" w:rsidR="00F00620" w:rsidRPr="00F00620" w:rsidRDefault="00F0062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164</w:t>
            </w:r>
          </w:p>
        </w:tc>
        <w:tc>
          <w:tcPr>
            <w:tcW w:w="778" w:type="pct"/>
            <w:hideMark/>
          </w:tcPr>
          <w:p w14:paraId="6570851D" w14:textId="77777777" w:rsidR="00F00620" w:rsidRPr="00F00620" w:rsidRDefault="00F0062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87</w:t>
            </w:r>
          </w:p>
        </w:tc>
        <w:tc>
          <w:tcPr>
            <w:tcW w:w="533" w:type="pct"/>
            <w:hideMark/>
          </w:tcPr>
          <w:p w14:paraId="28AF8446" w14:textId="77777777" w:rsidR="00F00620" w:rsidRPr="00F00620" w:rsidRDefault="00F0062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3</w:t>
            </w:r>
          </w:p>
        </w:tc>
        <w:tc>
          <w:tcPr>
            <w:tcW w:w="380" w:type="pct"/>
            <w:hideMark/>
          </w:tcPr>
          <w:p w14:paraId="707249FE" w14:textId="77777777" w:rsidR="00F00620" w:rsidRPr="00F00620" w:rsidRDefault="00F0062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254</w:t>
            </w:r>
          </w:p>
        </w:tc>
        <w:tc>
          <w:tcPr>
            <w:tcW w:w="616" w:type="pct"/>
            <w:hideMark/>
          </w:tcPr>
          <w:p w14:paraId="6B8D89EF" w14:textId="77777777" w:rsidR="00F00620" w:rsidRPr="00F00620" w:rsidRDefault="00F0062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64.566929</w:t>
            </w:r>
          </w:p>
        </w:tc>
        <w:tc>
          <w:tcPr>
            <w:tcW w:w="778" w:type="pct"/>
            <w:hideMark/>
          </w:tcPr>
          <w:p w14:paraId="2FF18EFC" w14:textId="77777777" w:rsidR="00F00620" w:rsidRPr="00F00620" w:rsidRDefault="00F0062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34.251969</w:t>
            </w:r>
          </w:p>
        </w:tc>
        <w:tc>
          <w:tcPr>
            <w:tcW w:w="616" w:type="pct"/>
            <w:hideMark/>
          </w:tcPr>
          <w:p w14:paraId="61072872" w14:textId="77777777" w:rsidR="00F00620" w:rsidRPr="00F00620" w:rsidRDefault="00F0062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1.181102</w:t>
            </w:r>
          </w:p>
        </w:tc>
        <w:tc>
          <w:tcPr>
            <w:tcW w:w="380" w:type="pct"/>
            <w:hideMark/>
          </w:tcPr>
          <w:p w14:paraId="6AA78184" w14:textId="77777777" w:rsidR="00F00620" w:rsidRPr="00F00620" w:rsidRDefault="00F00620"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F00620">
              <w:rPr>
                <w:rFonts w:asciiTheme="majorBidi" w:eastAsia="Times New Roman" w:hAnsiTheme="majorBidi" w:cstheme="majorBidi"/>
                <w:kern w:val="0"/>
                <w:sz w:val="24"/>
                <w:szCs w:val="24"/>
                <w14:ligatures w14:val="none"/>
              </w:rPr>
              <w:t>62%</w:t>
            </w:r>
          </w:p>
        </w:tc>
      </w:tr>
    </w:tbl>
    <w:p w14:paraId="1FA8FD14" w14:textId="77777777" w:rsidR="00F00620" w:rsidRPr="005A15A2" w:rsidRDefault="00F00620" w:rsidP="005A15A2">
      <w:pPr>
        <w:tabs>
          <w:tab w:val="left" w:pos="5653"/>
        </w:tabs>
        <w:spacing w:line="360" w:lineRule="auto"/>
        <w:jc w:val="both"/>
        <w:rPr>
          <w:rFonts w:asciiTheme="majorBidi" w:hAnsiTheme="majorBidi" w:cstheme="majorBidi"/>
          <w:b/>
          <w:bCs/>
          <w:sz w:val="24"/>
          <w:szCs w:val="24"/>
        </w:rPr>
      </w:pPr>
    </w:p>
    <w:p w14:paraId="6EA9CBE1" w14:textId="56EA1F80" w:rsidR="00F16472" w:rsidRPr="005A15A2" w:rsidRDefault="00F16472" w:rsidP="00F42599">
      <w:pPr>
        <w:pStyle w:val="Heading3"/>
      </w:pPr>
      <w:bookmarkStart w:id="12" w:name="_Toc137645812"/>
      <w:r w:rsidRPr="005A15A2">
        <w:t xml:space="preserve">Magnesium </w:t>
      </w:r>
      <w:r w:rsidR="00366B22">
        <w:t>A</w:t>
      </w:r>
      <w:r w:rsidRPr="005A15A2">
        <w:t xml:space="preserve">dsorption </w:t>
      </w:r>
      <w:r w:rsidR="00366B22">
        <w:t>R</w:t>
      </w:r>
      <w:r w:rsidRPr="005A15A2">
        <w:t>atio (MAR)</w:t>
      </w:r>
      <w:bookmarkEnd w:id="12"/>
    </w:p>
    <w:p w14:paraId="02FF5E5E" w14:textId="77777777" w:rsidR="00F16472" w:rsidRPr="005A15A2" w:rsidRDefault="00F16472" w:rsidP="005A15A2">
      <w:pPr>
        <w:tabs>
          <w:tab w:val="left" w:pos="5653"/>
        </w:tabs>
        <w:spacing w:line="360" w:lineRule="auto"/>
        <w:jc w:val="both"/>
        <w:rPr>
          <w:rFonts w:asciiTheme="majorBidi" w:hAnsiTheme="majorBidi" w:cstheme="majorBidi"/>
          <w:sz w:val="24"/>
          <w:szCs w:val="24"/>
        </w:rPr>
      </w:pPr>
      <w:r w:rsidRPr="005A15A2">
        <w:rPr>
          <w:rFonts w:asciiTheme="majorBidi" w:hAnsiTheme="majorBidi" w:cstheme="majorBidi"/>
          <w:sz w:val="24"/>
          <w:szCs w:val="24"/>
        </w:rPr>
        <w:t>Based on the concentration of magnesium versus calcium the salinity level was calculated using the magnesium adsorption ratio (MAR). When irrigation water has a high ratio of magnesium to calcium, the water's pH rises.</w:t>
      </w:r>
    </w:p>
    <w:p w14:paraId="19D3F7B8" w14:textId="30406CB6" w:rsidR="00F16472" w:rsidRPr="005A15A2" w:rsidRDefault="00F00620" w:rsidP="005A15A2">
      <w:pPr>
        <w:tabs>
          <w:tab w:val="left" w:pos="5653"/>
        </w:tabs>
        <w:spacing w:line="360" w:lineRule="auto"/>
        <w:jc w:val="center"/>
        <w:rPr>
          <w:rFonts w:asciiTheme="majorBidi" w:eastAsiaTheme="minorEastAsia" w:hAnsiTheme="majorBidi" w:cstheme="majorBidi"/>
          <w:sz w:val="24"/>
          <w:szCs w:val="24"/>
        </w:rPr>
      </w:pPr>
      <m:oMathPara>
        <m:oMathParaPr>
          <m:jc m:val="center"/>
        </m:oMathParaPr>
        <m:oMath>
          <m:r>
            <w:rPr>
              <w:rFonts w:ascii="Cambria Math" w:hAnsi="Cambria Math" w:cstheme="majorBidi"/>
              <w:sz w:val="24"/>
              <w:szCs w:val="24"/>
            </w:rPr>
            <m:t xml:space="preserve">MAR= </m:t>
          </m:r>
          <m:f>
            <m:fPr>
              <m:ctrlPr>
                <w:rPr>
                  <w:rFonts w:ascii="Cambria Math" w:hAnsi="Cambria Math" w:cstheme="majorBidi"/>
                  <w:i/>
                  <w:sz w:val="24"/>
                  <w:szCs w:val="24"/>
                </w:rPr>
              </m:ctrlPr>
            </m:fPr>
            <m:num>
              <m:r>
                <w:rPr>
                  <w:rFonts w:ascii="Cambria Math" w:hAnsi="Cambria Math" w:cstheme="majorBidi"/>
                  <w:sz w:val="24"/>
                  <w:szCs w:val="24"/>
                </w:rPr>
                <m:t>Mg</m:t>
              </m:r>
            </m:num>
            <m:den>
              <m:r>
                <w:rPr>
                  <w:rFonts w:ascii="Cambria Math" w:hAnsi="Cambria Math" w:cstheme="majorBidi"/>
                  <w:sz w:val="24"/>
                  <w:szCs w:val="24"/>
                </w:rPr>
                <m:t>Ca+Mg</m:t>
              </m:r>
            </m:den>
          </m:f>
          <m:r>
            <w:rPr>
              <w:rFonts w:ascii="Cambria Math" w:hAnsi="Cambria Math" w:cstheme="majorBidi"/>
              <w:sz w:val="24"/>
              <w:szCs w:val="24"/>
            </w:rPr>
            <m:t xml:space="preserve"> ×100</m:t>
          </m:r>
        </m:oMath>
      </m:oMathPara>
    </w:p>
    <w:p w14:paraId="1B662B27" w14:textId="77777777" w:rsidR="00F00620" w:rsidRPr="005A15A2" w:rsidRDefault="00F00620" w:rsidP="005A15A2">
      <w:pPr>
        <w:tabs>
          <w:tab w:val="left" w:pos="5653"/>
        </w:tabs>
        <w:spacing w:line="360" w:lineRule="auto"/>
        <w:jc w:val="center"/>
        <w:rPr>
          <w:rFonts w:asciiTheme="majorBidi" w:eastAsiaTheme="minorEastAsia" w:hAnsiTheme="majorBidi" w:cstheme="majorBidi"/>
          <w:sz w:val="24"/>
          <w:szCs w:val="24"/>
        </w:rPr>
      </w:pPr>
    </w:p>
    <w:tbl>
      <w:tblPr>
        <w:tblStyle w:val="TableGrid"/>
        <w:tblW w:w="0" w:type="auto"/>
        <w:jc w:val="center"/>
        <w:tblLook w:val="04A0" w:firstRow="1" w:lastRow="0" w:firstColumn="1" w:lastColumn="0" w:noHBand="0" w:noVBand="1"/>
      </w:tblPr>
      <w:tblGrid>
        <w:gridCol w:w="2916"/>
        <w:gridCol w:w="2916"/>
      </w:tblGrid>
      <w:tr w:rsidR="00F16472" w:rsidRPr="005A15A2" w14:paraId="530A37EC" w14:textId="77777777" w:rsidTr="00BF26F2">
        <w:trPr>
          <w:jc w:val="center"/>
        </w:trPr>
        <w:tc>
          <w:tcPr>
            <w:tcW w:w="2916" w:type="dxa"/>
          </w:tcPr>
          <w:p w14:paraId="73D310D4" w14:textId="640E6A12" w:rsidR="00F16472" w:rsidRPr="005A15A2" w:rsidRDefault="00F16472" w:rsidP="005A15A2">
            <w:pPr>
              <w:tabs>
                <w:tab w:val="left" w:pos="5653"/>
              </w:tabs>
              <w:spacing w:line="360" w:lineRule="auto"/>
              <w:jc w:val="center"/>
              <w:rPr>
                <w:rFonts w:asciiTheme="majorBidi" w:eastAsiaTheme="minorEastAsia" w:hAnsiTheme="majorBidi" w:cstheme="majorBidi"/>
                <w:b/>
                <w:bCs/>
                <w:sz w:val="24"/>
                <w:szCs w:val="24"/>
              </w:rPr>
            </w:pPr>
            <w:r w:rsidRPr="005A15A2">
              <w:rPr>
                <w:rFonts w:asciiTheme="majorBidi" w:eastAsiaTheme="minorEastAsia" w:hAnsiTheme="majorBidi" w:cstheme="majorBidi"/>
                <w:b/>
                <w:bCs/>
                <w:sz w:val="24"/>
                <w:szCs w:val="24"/>
              </w:rPr>
              <w:t xml:space="preserve">Range of </w:t>
            </w:r>
            <w:r w:rsidR="00F00620" w:rsidRPr="005A15A2">
              <w:rPr>
                <w:rFonts w:asciiTheme="majorBidi" w:eastAsiaTheme="minorEastAsia" w:hAnsiTheme="majorBidi" w:cstheme="majorBidi"/>
                <w:b/>
                <w:bCs/>
                <w:sz w:val="24"/>
                <w:szCs w:val="24"/>
              </w:rPr>
              <w:t>MA</w:t>
            </w:r>
            <w:r w:rsidRPr="005A15A2">
              <w:rPr>
                <w:rFonts w:asciiTheme="majorBidi" w:eastAsiaTheme="minorEastAsia" w:hAnsiTheme="majorBidi" w:cstheme="majorBidi"/>
                <w:b/>
                <w:bCs/>
                <w:sz w:val="24"/>
                <w:szCs w:val="24"/>
              </w:rPr>
              <w:t>R</w:t>
            </w:r>
          </w:p>
        </w:tc>
        <w:tc>
          <w:tcPr>
            <w:tcW w:w="2916" w:type="dxa"/>
          </w:tcPr>
          <w:p w14:paraId="033994B3" w14:textId="77777777" w:rsidR="00F16472" w:rsidRPr="005A15A2" w:rsidRDefault="00F16472" w:rsidP="005A15A2">
            <w:pPr>
              <w:tabs>
                <w:tab w:val="left" w:pos="5653"/>
              </w:tabs>
              <w:spacing w:line="360" w:lineRule="auto"/>
              <w:jc w:val="center"/>
              <w:rPr>
                <w:rFonts w:asciiTheme="majorBidi" w:eastAsiaTheme="minorEastAsia" w:hAnsiTheme="majorBidi" w:cstheme="majorBidi"/>
                <w:b/>
                <w:bCs/>
                <w:sz w:val="24"/>
                <w:szCs w:val="24"/>
              </w:rPr>
            </w:pPr>
            <w:r w:rsidRPr="005A15A2">
              <w:rPr>
                <w:rFonts w:asciiTheme="majorBidi" w:eastAsiaTheme="minorEastAsia" w:hAnsiTheme="majorBidi" w:cstheme="majorBidi"/>
                <w:b/>
                <w:bCs/>
                <w:sz w:val="24"/>
                <w:szCs w:val="24"/>
              </w:rPr>
              <w:t>Class</w:t>
            </w:r>
          </w:p>
        </w:tc>
      </w:tr>
      <w:tr w:rsidR="00F16472" w:rsidRPr="005A15A2" w14:paraId="456D3E21" w14:textId="77777777" w:rsidTr="00BF26F2">
        <w:trPr>
          <w:jc w:val="center"/>
        </w:trPr>
        <w:tc>
          <w:tcPr>
            <w:tcW w:w="2916" w:type="dxa"/>
          </w:tcPr>
          <w:p w14:paraId="4A10289C"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&lt; 50</w:t>
            </w:r>
          </w:p>
        </w:tc>
        <w:tc>
          <w:tcPr>
            <w:tcW w:w="2916" w:type="dxa"/>
          </w:tcPr>
          <w:p w14:paraId="68F2CB46"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Recommended</w:t>
            </w:r>
          </w:p>
        </w:tc>
      </w:tr>
      <w:tr w:rsidR="00F16472" w:rsidRPr="005A15A2" w14:paraId="5C2A3ED1" w14:textId="77777777" w:rsidTr="00BF26F2">
        <w:trPr>
          <w:jc w:val="center"/>
        </w:trPr>
        <w:tc>
          <w:tcPr>
            <w:tcW w:w="2916" w:type="dxa"/>
          </w:tcPr>
          <w:p w14:paraId="0AF561F1"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&gt; 50</w:t>
            </w:r>
          </w:p>
        </w:tc>
        <w:tc>
          <w:tcPr>
            <w:tcW w:w="2916" w:type="dxa"/>
          </w:tcPr>
          <w:p w14:paraId="02BB07E3"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Not Recommended</w:t>
            </w:r>
          </w:p>
        </w:tc>
      </w:tr>
    </w:tbl>
    <w:p w14:paraId="5BB8D056"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p>
    <w:p w14:paraId="777FA59E" w14:textId="5801AFF1" w:rsidR="00366B22" w:rsidRDefault="00366B22" w:rsidP="00366B22">
      <w:pPr>
        <w:pStyle w:val="Caption"/>
        <w:keepNext/>
      </w:pPr>
      <w:r>
        <w:t xml:space="preserve">Table </w:t>
      </w:r>
      <w:fldSimple w:instr=" STYLEREF 1 \s ">
        <w:r w:rsidR="005425B2">
          <w:rPr>
            <w:noProof/>
            <w:cs/>
          </w:rPr>
          <w:t>‎</w:t>
        </w:r>
        <w:r w:rsidR="005425B2">
          <w:rPr>
            <w:noProof/>
          </w:rPr>
          <w:t>4</w:t>
        </w:r>
      </w:fldSimple>
      <w:r w:rsidR="005425B2">
        <w:t>.</w:t>
      </w:r>
      <w:fldSimple w:instr=" SEQ Table \* ARABIC \s 1 ">
        <w:r w:rsidR="005425B2">
          <w:rPr>
            <w:noProof/>
          </w:rPr>
          <w:t>7</w:t>
        </w:r>
      </w:fldSimple>
      <w:r>
        <w:t>: Classification based on MAR values</w:t>
      </w:r>
    </w:p>
    <w:tbl>
      <w:tblPr>
        <w:tblStyle w:val="GridTable5Dark-Accent1"/>
        <w:tblW w:w="5804" w:type="pct"/>
        <w:jc w:val="center"/>
        <w:tblLook w:val="04A0" w:firstRow="1" w:lastRow="0" w:firstColumn="1" w:lastColumn="0" w:noHBand="0" w:noVBand="1"/>
      </w:tblPr>
      <w:tblGrid>
        <w:gridCol w:w="1736"/>
        <w:gridCol w:w="923"/>
        <w:gridCol w:w="1563"/>
        <w:gridCol w:w="1070"/>
        <w:gridCol w:w="763"/>
        <w:gridCol w:w="1236"/>
        <w:gridCol w:w="1563"/>
        <w:gridCol w:w="1236"/>
        <w:gridCol w:w="763"/>
      </w:tblGrid>
      <w:tr w:rsidR="00366B22" w:rsidRPr="005A15A2" w14:paraId="5AFBE085" w14:textId="77777777" w:rsidTr="00366B22">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800" w:type="pct"/>
            <w:vAlign w:val="center"/>
            <w:hideMark/>
          </w:tcPr>
          <w:p w14:paraId="35C50D80" w14:textId="77777777" w:rsidR="005201EB" w:rsidRPr="005201EB" w:rsidRDefault="005201EB" w:rsidP="005A15A2">
            <w:pPr>
              <w:spacing w:line="360" w:lineRule="auto"/>
              <w:jc w:val="center"/>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Class</w:t>
            </w:r>
          </w:p>
        </w:tc>
        <w:tc>
          <w:tcPr>
            <w:tcW w:w="425" w:type="pct"/>
            <w:vAlign w:val="center"/>
            <w:hideMark/>
          </w:tcPr>
          <w:p w14:paraId="63A3AEC1"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Gujrat</w:t>
            </w:r>
          </w:p>
        </w:tc>
        <w:tc>
          <w:tcPr>
            <w:tcW w:w="720" w:type="pct"/>
            <w:vAlign w:val="center"/>
            <w:hideMark/>
          </w:tcPr>
          <w:p w14:paraId="1974185A"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Kharianwala</w:t>
            </w:r>
          </w:p>
        </w:tc>
        <w:tc>
          <w:tcPr>
            <w:tcW w:w="493" w:type="pct"/>
            <w:vAlign w:val="center"/>
            <w:hideMark/>
          </w:tcPr>
          <w:p w14:paraId="15D7004D"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Sara-e-Alamgir</w:t>
            </w:r>
          </w:p>
        </w:tc>
        <w:tc>
          <w:tcPr>
            <w:tcW w:w="352" w:type="pct"/>
            <w:vAlign w:val="center"/>
            <w:hideMark/>
          </w:tcPr>
          <w:p w14:paraId="74334803"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Total</w:t>
            </w:r>
          </w:p>
        </w:tc>
        <w:tc>
          <w:tcPr>
            <w:tcW w:w="569" w:type="pct"/>
            <w:vAlign w:val="center"/>
            <w:hideMark/>
          </w:tcPr>
          <w:p w14:paraId="6E5E8436"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Gujrat (%)</w:t>
            </w:r>
          </w:p>
        </w:tc>
        <w:tc>
          <w:tcPr>
            <w:tcW w:w="720" w:type="pct"/>
            <w:vAlign w:val="center"/>
            <w:hideMark/>
          </w:tcPr>
          <w:p w14:paraId="3B0305D3"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Kharianwala (%)</w:t>
            </w:r>
          </w:p>
        </w:tc>
        <w:tc>
          <w:tcPr>
            <w:tcW w:w="569" w:type="pct"/>
            <w:vAlign w:val="center"/>
            <w:hideMark/>
          </w:tcPr>
          <w:p w14:paraId="7E035361"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Sara-e-Alamgir (%)</w:t>
            </w:r>
          </w:p>
        </w:tc>
        <w:tc>
          <w:tcPr>
            <w:tcW w:w="352" w:type="pct"/>
            <w:vAlign w:val="center"/>
            <w:hideMark/>
          </w:tcPr>
          <w:p w14:paraId="60A2A75F"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Total (%)</w:t>
            </w:r>
          </w:p>
        </w:tc>
      </w:tr>
      <w:tr w:rsidR="00366B22" w:rsidRPr="005A15A2" w14:paraId="7D4EA94D" w14:textId="77777777" w:rsidTr="00366B22">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00" w:type="pct"/>
            <w:vAlign w:val="center"/>
            <w:hideMark/>
          </w:tcPr>
          <w:p w14:paraId="0BE13592" w14:textId="77777777" w:rsidR="005201EB" w:rsidRPr="005201EB" w:rsidRDefault="005201EB" w:rsidP="005A15A2">
            <w:pPr>
              <w:spacing w:line="360" w:lineRule="auto"/>
              <w:jc w:val="center"/>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Not Recommended</w:t>
            </w:r>
          </w:p>
        </w:tc>
        <w:tc>
          <w:tcPr>
            <w:tcW w:w="425" w:type="pct"/>
            <w:vAlign w:val="center"/>
            <w:hideMark/>
          </w:tcPr>
          <w:p w14:paraId="59D0E10D"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3</w:t>
            </w:r>
          </w:p>
        </w:tc>
        <w:tc>
          <w:tcPr>
            <w:tcW w:w="720" w:type="pct"/>
            <w:vAlign w:val="center"/>
            <w:hideMark/>
          </w:tcPr>
          <w:p w14:paraId="3D56A6B6"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7</w:t>
            </w:r>
          </w:p>
        </w:tc>
        <w:tc>
          <w:tcPr>
            <w:tcW w:w="493" w:type="pct"/>
            <w:vAlign w:val="center"/>
            <w:hideMark/>
          </w:tcPr>
          <w:p w14:paraId="404658AD"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0</w:t>
            </w:r>
          </w:p>
        </w:tc>
        <w:tc>
          <w:tcPr>
            <w:tcW w:w="352" w:type="pct"/>
            <w:vAlign w:val="center"/>
            <w:hideMark/>
          </w:tcPr>
          <w:p w14:paraId="65C4C667"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10</w:t>
            </w:r>
          </w:p>
        </w:tc>
        <w:tc>
          <w:tcPr>
            <w:tcW w:w="569" w:type="pct"/>
            <w:vAlign w:val="center"/>
            <w:hideMark/>
          </w:tcPr>
          <w:p w14:paraId="48FC4A4A"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30</w:t>
            </w:r>
          </w:p>
        </w:tc>
        <w:tc>
          <w:tcPr>
            <w:tcW w:w="720" w:type="pct"/>
            <w:vAlign w:val="center"/>
            <w:hideMark/>
          </w:tcPr>
          <w:p w14:paraId="11BACFCE"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70</w:t>
            </w:r>
          </w:p>
        </w:tc>
        <w:tc>
          <w:tcPr>
            <w:tcW w:w="569" w:type="pct"/>
            <w:vAlign w:val="center"/>
            <w:hideMark/>
          </w:tcPr>
          <w:p w14:paraId="46C2B9EC"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0</w:t>
            </w:r>
          </w:p>
        </w:tc>
        <w:tc>
          <w:tcPr>
            <w:tcW w:w="352" w:type="pct"/>
            <w:vAlign w:val="center"/>
            <w:hideMark/>
          </w:tcPr>
          <w:p w14:paraId="37637365"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2%</w:t>
            </w:r>
          </w:p>
        </w:tc>
      </w:tr>
      <w:tr w:rsidR="00A63FF0" w:rsidRPr="005A15A2" w14:paraId="3E17E578" w14:textId="77777777" w:rsidTr="00366B22">
        <w:trPr>
          <w:trHeight w:val="537"/>
          <w:jc w:val="center"/>
        </w:trPr>
        <w:tc>
          <w:tcPr>
            <w:cnfStyle w:val="001000000000" w:firstRow="0" w:lastRow="0" w:firstColumn="1" w:lastColumn="0" w:oddVBand="0" w:evenVBand="0" w:oddHBand="0" w:evenHBand="0" w:firstRowFirstColumn="0" w:firstRowLastColumn="0" w:lastRowFirstColumn="0" w:lastRowLastColumn="0"/>
            <w:tcW w:w="800" w:type="pct"/>
            <w:vAlign w:val="center"/>
            <w:hideMark/>
          </w:tcPr>
          <w:p w14:paraId="4DC1F757" w14:textId="77777777" w:rsidR="005201EB" w:rsidRPr="005201EB" w:rsidRDefault="005201EB" w:rsidP="005A15A2">
            <w:pPr>
              <w:spacing w:line="360" w:lineRule="auto"/>
              <w:jc w:val="center"/>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Recommended</w:t>
            </w:r>
          </w:p>
        </w:tc>
        <w:tc>
          <w:tcPr>
            <w:tcW w:w="425" w:type="pct"/>
            <w:vAlign w:val="center"/>
            <w:hideMark/>
          </w:tcPr>
          <w:p w14:paraId="253AB4ED"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214</w:t>
            </w:r>
          </w:p>
        </w:tc>
        <w:tc>
          <w:tcPr>
            <w:tcW w:w="720" w:type="pct"/>
            <w:vAlign w:val="center"/>
            <w:hideMark/>
          </w:tcPr>
          <w:p w14:paraId="583BA649"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140</w:t>
            </w:r>
          </w:p>
        </w:tc>
        <w:tc>
          <w:tcPr>
            <w:tcW w:w="493" w:type="pct"/>
            <w:vAlign w:val="center"/>
            <w:hideMark/>
          </w:tcPr>
          <w:p w14:paraId="03673596"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43</w:t>
            </w:r>
          </w:p>
        </w:tc>
        <w:tc>
          <w:tcPr>
            <w:tcW w:w="352" w:type="pct"/>
            <w:vAlign w:val="center"/>
            <w:hideMark/>
          </w:tcPr>
          <w:p w14:paraId="297F60A9"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397</w:t>
            </w:r>
          </w:p>
        </w:tc>
        <w:tc>
          <w:tcPr>
            <w:tcW w:w="569" w:type="pct"/>
            <w:vAlign w:val="center"/>
            <w:hideMark/>
          </w:tcPr>
          <w:p w14:paraId="16ABEA78"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53.904282</w:t>
            </w:r>
          </w:p>
        </w:tc>
        <w:tc>
          <w:tcPr>
            <w:tcW w:w="720" w:type="pct"/>
            <w:vAlign w:val="center"/>
            <w:hideMark/>
          </w:tcPr>
          <w:p w14:paraId="5C4EC479"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35.264484</w:t>
            </w:r>
          </w:p>
        </w:tc>
        <w:tc>
          <w:tcPr>
            <w:tcW w:w="569" w:type="pct"/>
            <w:vAlign w:val="center"/>
            <w:hideMark/>
          </w:tcPr>
          <w:p w14:paraId="54D44FB7"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10.831234</w:t>
            </w:r>
          </w:p>
        </w:tc>
        <w:tc>
          <w:tcPr>
            <w:tcW w:w="352" w:type="pct"/>
            <w:vAlign w:val="center"/>
            <w:hideMark/>
          </w:tcPr>
          <w:p w14:paraId="7002FFB0"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98%</w:t>
            </w:r>
          </w:p>
        </w:tc>
      </w:tr>
    </w:tbl>
    <w:p w14:paraId="4B20DD6F" w14:textId="77777777" w:rsidR="005201EB" w:rsidRPr="005A15A2" w:rsidRDefault="005201EB" w:rsidP="005A15A2">
      <w:pPr>
        <w:tabs>
          <w:tab w:val="left" w:pos="5653"/>
        </w:tabs>
        <w:spacing w:line="360" w:lineRule="auto"/>
        <w:jc w:val="both"/>
        <w:rPr>
          <w:rFonts w:asciiTheme="majorBidi" w:eastAsiaTheme="minorEastAsia" w:hAnsiTheme="majorBidi" w:cstheme="majorBidi"/>
          <w:b/>
          <w:bCs/>
          <w:sz w:val="24"/>
          <w:szCs w:val="24"/>
        </w:rPr>
      </w:pPr>
    </w:p>
    <w:p w14:paraId="3687B3F3" w14:textId="315CAB35" w:rsidR="00F16472" w:rsidRPr="005A15A2" w:rsidRDefault="00F16472" w:rsidP="00F42599">
      <w:pPr>
        <w:pStyle w:val="Heading3"/>
        <w:rPr>
          <w:rFonts w:eastAsiaTheme="minorEastAsia"/>
        </w:rPr>
      </w:pPr>
      <w:bookmarkStart w:id="13" w:name="_Toc137645813"/>
      <w:r w:rsidRPr="005A15A2">
        <w:rPr>
          <w:rFonts w:eastAsiaTheme="minorEastAsia"/>
        </w:rPr>
        <w:t>Total Hardness (TH)</w:t>
      </w:r>
      <w:bookmarkEnd w:id="13"/>
    </w:p>
    <w:p w14:paraId="0F0F328B" w14:textId="14865288" w:rsidR="00F16472" w:rsidRPr="005A15A2" w:rsidRDefault="00F16472" w:rsidP="005A15A2">
      <w:pPr>
        <w:tabs>
          <w:tab w:val="left" w:pos="5653"/>
        </w:tabs>
        <w:spacing w:line="360" w:lineRule="auto"/>
        <w:jc w:val="both"/>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 xml:space="preserve">Based on the ratio of calcium to magnesium in the water, total hardness (TH) was utilized to calculate the salty substances level. </w:t>
      </w:r>
      <w:r w:rsidR="00475702" w:rsidRPr="005A15A2">
        <w:rPr>
          <w:rFonts w:asciiTheme="majorBidi" w:eastAsiaTheme="minorEastAsia" w:hAnsiTheme="majorBidi" w:cstheme="majorBidi"/>
          <w:sz w:val="24"/>
          <w:szCs w:val="24"/>
        </w:rPr>
        <w:t>Water</w:t>
      </w:r>
      <w:r w:rsidRPr="005A15A2">
        <w:rPr>
          <w:rFonts w:asciiTheme="majorBidi" w:eastAsiaTheme="minorEastAsia" w:hAnsiTheme="majorBidi" w:cstheme="majorBidi"/>
          <w:sz w:val="24"/>
          <w:szCs w:val="24"/>
        </w:rPr>
        <w:t xml:space="preserve"> quality is impacted by a high calcium vs magnesium concentration. It results in water hardness, which has an impact on how water is distributed from water delivery systems to crops.</w:t>
      </w:r>
    </w:p>
    <w:p w14:paraId="13049567" w14:textId="364847F3" w:rsidR="005201EB" w:rsidRPr="005A15A2" w:rsidRDefault="005201EB" w:rsidP="005A15A2">
      <w:pPr>
        <w:tabs>
          <w:tab w:val="left" w:pos="5653"/>
        </w:tabs>
        <w:spacing w:line="360" w:lineRule="auto"/>
        <w:jc w:val="cente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TH=2.497×Ca+4.005×Mg</m:t>
          </m:r>
        </m:oMath>
      </m:oMathPara>
    </w:p>
    <w:tbl>
      <w:tblPr>
        <w:tblStyle w:val="TableGrid"/>
        <w:tblW w:w="0" w:type="auto"/>
        <w:jc w:val="center"/>
        <w:tblLook w:val="04A0" w:firstRow="1" w:lastRow="0" w:firstColumn="1" w:lastColumn="0" w:noHBand="0" w:noVBand="1"/>
      </w:tblPr>
      <w:tblGrid>
        <w:gridCol w:w="2916"/>
        <w:gridCol w:w="2916"/>
      </w:tblGrid>
      <w:tr w:rsidR="00F16472" w:rsidRPr="005A15A2" w14:paraId="57B5C329" w14:textId="77777777" w:rsidTr="00BF26F2">
        <w:trPr>
          <w:jc w:val="center"/>
        </w:trPr>
        <w:tc>
          <w:tcPr>
            <w:tcW w:w="2916" w:type="dxa"/>
          </w:tcPr>
          <w:p w14:paraId="4A76014A" w14:textId="2F71E67F" w:rsidR="00F16472" w:rsidRPr="005A15A2" w:rsidRDefault="00F16472" w:rsidP="005A15A2">
            <w:pPr>
              <w:tabs>
                <w:tab w:val="left" w:pos="5653"/>
              </w:tabs>
              <w:spacing w:line="360" w:lineRule="auto"/>
              <w:jc w:val="center"/>
              <w:rPr>
                <w:rFonts w:asciiTheme="majorBidi" w:eastAsiaTheme="minorEastAsia" w:hAnsiTheme="majorBidi" w:cstheme="majorBidi"/>
                <w:b/>
                <w:bCs/>
                <w:sz w:val="24"/>
                <w:szCs w:val="24"/>
              </w:rPr>
            </w:pPr>
            <w:r w:rsidRPr="005A15A2">
              <w:rPr>
                <w:rFonts w:asciiTheme="majorBidi" w:eastAsiaTheme="minorEastAsia" w:hAnsiTheme="majorBidi" w:cstheme="majorBidi"/>
                <w:b/>
                <w:bCs/>
                <w:sz w:val="24"/>
                <w:szCs w:val="24"/>
              </w:rPr>
              <w:t xml:space="preserve">Range of </w:t>
            </w:r>
            <w:r w:rsidR="005201EB" w:rsidRPr="005A15A2">
              <w:rPr>
                <w:rFonts w:asciiTheme="majorBidi" w:eastAsiaTheme="minorEastAsia" w:hAnsiTheme="majorBidi" w:cstheme="majorBidi"/>
                <w:b/>
                <w:bCs/>
                <w:sz w:val="24"/>
                <w:szCs w:val="24"/>
              </w:rPr>
              <w:t>TH</w:t>
            </w:r>
          </w:p>
        </w:tc>
        <w:tc>
          <w:tcPr>
            <w:tcW w:w="2916" w:type="dxa"/>
          </w:tcPr>
          <w:p w14:paraId="2C1C60AE" w14:textId="77777777" w:rsidR="00F16472" w:rsidRPr="005A15A2" w:rsidRDefault="00F16472" w:rsidP="005A15A2">
            <w:pPr>
              <w:tabs>
                <w:tab w:val="left" w:pos="5653"/>
              </w:tabs>
              <w:spacing w:line="360" w:lineRule="auto"/>
              <w:jc w:val="center"/>
              <w:rPr>
                <w:rFonts w:asciiTheme="majorBidi" w:eastAsiaTheme="minorEastAsia" w:hAnsiTheme="majorBidi" w:cstheme="majorBidi"/>
                <w:b/>
                <w:bCs/>
                <w:sz w:val="24"/>
                <w:szCs w:val="24"/>
              </w:rPr>
            </w:pPr>
            <w:r w:rsidRPr="005A15A2">
              <w:rPr>
                <w:rFonts w:asciiTheme="majorBidi" w:eastAsiaTheme="minorEastAsia" w:hAnsiTheme="majorBidi" w:cstheme="majorBidi"/>
                <w:b/>
                <w:bCs/>
                <w:sz w:val="24"/>
                <w:szCs w:val="24"/>
              </w:rPr>
              <w:t>Class</w:t>
            </w:r>
          </w:p>
        </w:tc>
      </w:tr>
      <w:tr w:rsidR="00F16472" w:rsidRPr="005A15A2" w14:paraId="7F4A0A29" w14:textId="77777777" w:rsidTr="00BF26F2">
        <w:trPr>
          <w:jc w:val="center"/>
        </w:trPr>
        <w:tc>
          <w:tcPr>
            <w:tcW w:w="2916" w:type="dxa"/>
          </w:tcPr>
          <w:p w14:paraId="730CCE76"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0 – 75</w:t>
            </w:r>
          </w:p>
        </w:tc>
        <w:tc>
          <w:tcPr>
            <w:tcW w:w="2916" w:type="dxa"/>
          </w:tcPr>
          <w:p w14:paraId="4D598B83"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Soft</w:t>
            </w:r>
          </w:p>
        </w:tc>
      </w:tr>
      <w:tr w:rsidR="00F16472" w:rsidRPr="005A15A2" w14:paraId="6388DA54" w14:textId="77777777" w:rsidTr="00BF26F2">
        <w:trPr>
          <w:jc w:val="center"/>
        </w:trPr>
        <w:tc>
          <w:tcPr>
            <w:tcW w:w="2916" w:type="dxa"/>
          </w:tcPr>
          <w:p w14:paraId="5674C479"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75 – 150</w:t>
            </w:r>
          </w:p>
        </w:tc>
        <w:tc>
          <w:tcPr>
            <w:tcW w:w="2916" w:type="dxa"/>
          </w:tcPr>
          <w:p w14:paraId="58A24047"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Moderate</w:t>
            </w:r>
          </w:p>
        </w:tc>
      </w:tr>
      <w:tr w:rsidR="00F16472" w:rsidRPr="005A15A2" w14:paraId="6FB17D6C" w14:textId="77777777" w:rsidTr="00BF26F2">
        <w:trPr>
          <w:jc w:val="center"/>
        </w:trPr>
        <w:tc>
          <w:tcPr>
            <w:tcW w:w="2916" w:type="dxa"/>
          </w:tcPr>
          <w:p w14:paraId="142CAFFF"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150 – 300</w:t>
            </w:r>
          </w:p>
        </w:tc>
        <w:tc>
          <w:tcPr>
            <w:tcW w:w="2916" w:type="dxa"/>
          </w:tcPr>
          <w:p w14:paraId="11687732"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Hard</w:t>
            </w:r>
          </w:p>
        </w:tc>
      </w:tr>
      <w:tr w:rsidR="00F16472" w:rsidRPr="005A15A2" w14:paraId="3F7C67F7" w14:textId="77777777" w:rsidTr="00BF26F2">
        <w:trPr>
          <w:jc w:val="center"/>
        </w:trPr>
        <w:tc>
          <w:tcPr>
            <w:tcW w:w="2916" w:type="dxa"/>
          </w:tcPr>
          <w:p w14:paraId="07258449"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&gt; 300</w:t>
            </w:r>
          </w:p>
        </w:tc>
        <w:tc>
          <w:tcPr>
            <w:tcW w:w="2916" w:type="dxa"/>
          </w:tcPr>
          <w:p w14:paraId="4550954C" w14:textId="77777777" w:rsidR="00F16472" w:rsidRPr="005A15A2" w:rsidRDefault="00F16472" w:rsidP="005A15A2">
            <w:pPr>
              <w:tabs>
                <w:tab w:val="left" w:pos="5653"/>
              </w:tabs>
              <w:spacing w:line="360" w:lineRule="auto"/>
              <w:jc w:val="center"/>
              <w:rPr>
                <w:rFonts w:asciiTheme="majorBidi" w:eastAsiaTheme="minorEastAsia" w:hAnsiTheme="majorBidi" w:cstheme="majorBidi"/>
                <w:sz w:val="24"/>
                <w:szCs w:val="24"/>
              </w:rPr>
            </w:pPr>
            <w:r w:rsidRPr="005A15A2">
              <w:rPr>
                <w:rFonts w:asciiTheme="majorBidi" w:eastAsiaTheme="minorEastAsia" w:hAnsiTheme="majorBidi" w:cstheme="majorBidi"/>
                <w:sz w:val="24"/>
                <w:szCs w:val="24"/>
              </w:rPr>
              <w:t>Very Hard</w:t>
            </w:r>
          </w:p>
        </w:tc>
      </w:tr>
    </w:tbl>
    <w:p w14:paraId="0B3FCBED" w14:textId="77777777" w:rsidR="00475702" w:rsidRPr="005A15A2" w:rsidRDefault="00475702" w:rsidP="001D3B56">
      <w:pPr>
        <w:tabs>
          <w:tab w:val="left" w:pos="5653"/>
        </w:tabs>
        <w:spacing w:line="360" w:lineRule="auto"/>
        <w:rPr>
          <w:rFonts w:asciiTheme="majorBidi" w:eastAsiaTheme="minorEastAsia" w:hAnsiTheme="majorBidi" w:cstheme="majorBidi"/>
          <w:sz w:val="24"/>
          <w:szCs w:val="24"/>
        </w:rPr>
      </w:pPr>
    </w:p>
    <w:p w14:paraId="028CAD68" w14:textId="3C829E29" w:rsidR="005425B2" w:rsidRPr="005425B2" w:rsidRDefault="005425B2" w:rsidP="005425B2">
      <w:pPr>
        <w:pStyle w:val="Caption"/>
        <w:keepNext/>
        <w:rPr>
          <w:sz w:val="24"/>
          <w:szCs w:val="24"/>
        </w:rPr>
      </w:pPr>
      <w:r w:rsidRPr="005425B2">
        <w:rPr>
          <w:sz w:val="24"/>
          <w:szCs w:val="24"/>
        </w:rPr>
        <w:t xml:space="preserve">Table </w:t>
      </w:r>
      <w:r w:rsidRPr="005425B2">
        <w:rPr>
          <w:sz w:val="24"/>
          <w:szCs w:val="24"/>
        </w:rPr>
        <w:fldChar w:fldCharType="begin"/>
      </w:r>
      <w:r w:rsidRPr="005425B2">
        <w:rPr>
          <w:sz w:val="24"/>
          <w:szCs w:val="24"/>
        </w:rPr>
        <w:instrText xml:space="preserve"> STYLEREF 1 \s </w:instrText>
      </w:r>
      <w:r w:rsidRPr="005425B2">
        <w:rPr>
          <w:sz w:val="24"/>
          <w:szCs w:val="24"/>
        </w:rPr>
        <w:fldChar w:fldCharType="separate"/>
      </w:r>
      <w:r w:rsidRPr="005425B2">
        <w:rPr>
          <w:noProof/>
          <w:sz w:val="24"/>
          <w:szCs w:val="24"/>
          <w:cs/>
        </w:rPr>
        <w:t>‎</w:t>
      </w:r>
      <w:r w:rsidRPr="005425B2">
        <w:rPr>
          <w:noProof/>
          <w:sz w:val="24"/>
          <w:szCs w:val="24"/>
        </w:rPr>
        <w:t>4</w:t>
      </w:r>
      <w:r w:rsidRPr="005425B2">
        <w:rPr>
          <w:sz w:val="24"/>
          <w:szCs w:val="24"/>
        </w:rPr>
        <w:fldChar w:fldCharType="end"/>
      </w:r>
      <w:r w:rsidRPr="005425B2">
        <w:rPr>
          <w:sz w:val="24"/>
          <w:szCs w:val="24"/>
        </w:rPr>
        <w:t>.</w:t>
      </w:r>
      <w:r w:rsidRPr="005425B2">
        <w:rPr>
          <w:sz w:val="24"/>
          <w:szCs w:val="24"/>
        </w:rPr>
        <w:fldChar w:fldCharType="begin"/>
      </w:r>
      <w:r w:rsidRPr="005425B2">
        <w:rPr>
          <w:sz w:val="24"/>
          <w:szCs w:val="24"/>
        </w:rPr>
        <w:instrText xml:space="preserve"> SEQ Table \* ARABIC \s 1 </w:instrText>
      </w:r>
      <w:r w:rsidRPr="005425B2">
        <w:rPr>
          <w:sz w:val="24"/>
          <w:szCs w:val="24"/>
        </w:rPr>
        <w:fldChar w:fldCharType="separate"/>
      </w:r>
      <w:r w:rsidRPr="005425B2">
        <w:rPr>
          <w:noProof/>
          <w:sz w:val="24"/>
          <w:szCs w:val="24"/>
        </w:rPr>
        <w:t>8</w:t>
      </w:r>
      <w:r w:rsidRPr="005425B2">
        <w:rPr>
          <w:sz w:val="24"/>
          <w:szCs w:val="24"/>
        </w:rPr>
        <w:fldChar w:fldCharType="end"/>
      </w:r>
      <w:r w:rsidRPr="005425B2">
        <w:rPr>
          <w:sz w:val="24"/>
          <w:szCs w:val="24"/>
        </w:rPr>
        <w:t>: Classification based on Total Hardness</w:t>
      </w:r>
    </w:p>
    <w:tbl>
      <w:tblPr>
        <w:tblStyle w:val="GridTable5Dark-Accent1"/>
        <w:tblW w:w="5526" w:type="pct"/>
        <w:tblLook w:val="04A0" w:firstRow="1" w:lastRow="0" w:firstColumn="1" w:lastColumn="0" w:noHBand="0" w:noVBand="1"/>
      </w:tblPr>
      <w:tblGrid>
        <w:gridCol w:w="1216"/>
        <w:gridCol w:w="923"/>
        <w:gridCol w:w="1563"/>
        <w:gridCol w:w="1071"/>
        <w:gridCol w:w="763"/>
        <w:gridCol w:w="1236"/>
        <w:gridCol w:w="1563"/>
        <w:gridCol w:w="1236"/>
        <w:gridCol w:w="763"/>
      </w:tblGrid>
      <w:tr w:rsidR="005201EB" w:rsidRPr="005A15A2" w14:paraId="39A16222" w14:textId="77777777" w:rsidTr="005425B2">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588" w:type="pct"/>
            <w:hideMark/>
          </w:tcPr>
          <w:p w14:paraId="1A4B9262" w14:textId="77777777" w:rsidR="005201EB" w:rsidRPr="005201EB" w:rsidRDefault="005201EB" w:rsidP="005A15A2">
            <w:pPr>
              <w:spacing w:line="360" w:lineRule="auto"/>
              <w:jc w:val="center"/>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Class</w:t>
            </w:r>
          </w:p>
        </w:tc>
        <w:tc>
          <w:tcPr>
            <w:tcW w:w="447" w:type="pct"/>
            <w:hideMark/>
          </w:tcPr>
          <w:p w14:paraId="603B6894"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Gujrat</w:t>
            </w:r>
          </w:p>
        </w:tc>
        <w:tc>
          <w:tcPr>
            <w:tcW w:w="756" w:type="pct"/>
            <w:hideMark/>
          </w:tcPr>
          <w:p w14:paraId="6227F1B2"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Kharianwala</w:t>
            </w:r>
          </w:p>
        </w:tc>
        <w:tc>
          <w:tcPr>
            <w:tcW w:w="518" w:type="pct"/>
            <w:hideMark/>
          </w:tcPr>
          <w:p w14:paraId="31702423"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Sara-e-Alamgir</w:t>
            </w:r>
          </w:p>
        </w:tc>
        <w:tc>
          <w:tcPr>
            <w:tcW w:w="369" w:type="pct"/>
            <w:hideMark/>
          </w:tcPr>
          <w:p w14:paraId="362730D3"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Total</w:t>
            </w:r>
          </w:p>
        </w:tc>
        <w:tc>
          <w:tcPr>
            <w:tcW w:w="598" w:type="pct"/>
            <w:hideMark/>
          </w:tcPr>
          <w:p w14:paraId="1888EDE4"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Gujrat (%)</w:t>
            </w:r>
          </w:p>
        </w:tc>
        <w:tc>
          <w:tcPr>
            <w:tcW w:w="756" w:type="pct"/>
            <w:hideMark/>
          </w:tcPr>
          <w:p w14:paraId="581AF222"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Kharianwala (%)</w:t>
            </w:r>
          </w:p>
        </w:tc>
        <w:tc>
          <w:tcPr>
            <w:tcW w:w="598" w:type="pct"/>
            <w:hideMark/>
          </w:tcPr>
          <w:p w14:paraId="1CC7E5EF"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Sara-e-Alamgir (%)</w:t>
            </w:r>
          </w:p>
        </w:tc>
        <w:tc>
          <w:tcPr>
            <w:tcW w:w="369" w:type="pct"/>
            <w:hideMark/>
          </w:tcPr>
          <w:p w14:paraId="3BCCC4A9" w14:textId="77777777" w:rsidR="005201EB" w:rsidRPr="005201EB" w:rsidRDefault="005201EB" w:rsidP="005A15A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Total (%)</w:t>
            </w:r>
          </w:p>
        </w:tc>
      </w:tr>
      <w:tr w:rsidR="005201EB" w:rsidRPr="005A15A2" w14:paraId="7037F971" w14:textId="77777777" w:rsidTr="005425B2">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588" w:type="pct"/>
            <w:hideMark/>
          </w:tcPr>
          <w:p w14:paraId="7F3E8AEA" w14:textId="77777777" w:rsidR="005201EB" w:rsidRPr="005201EB" w:rsidRDefault="005201EB" w:rsidP="005A15A2">
            <w:pPr>
              <w:spacing w:line="360" w:lineRule="auto"/>
              <w:jc w:val="center"/>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Soft</w:t>
            </w:r>
          </w:p>
        </w:tc>
        <w:tc>
          <w:tcPr>
            <w:tcW w:w="447" w:type="pct"/>
            <w:hideMark/>
          </w:tcPr>
          <w:p w14:paraId="1D6427AC"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0</w:t>
            </w:r>
          </w:p>
        </w:tc>
        <w:tc>
          <w:tcPr>
            <w:tcW w:w="756" w:type="pct"/>
            <w:hideMark/>
          </w:tcPr>
          <w:p w14:paraId="2652C448"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1</w:t>
            </w:r>
          </w:p>
        </w:tc>
        <w:tc>
          <w:tcPr>
            <w:tcW w:w="518" w:type="pct"/>
            <w:hideMark/>
          </w:tcPr>
          <w:p w14:paraId="5040CCFB"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1</w:t>
            </w:r>
          </w:p>
        </w:tc>
        <w:tc>
          <w:tcPr>
            <w:tcW w:w="369" w:type="pct"/>
            <w:hideMark/>
          </w:tcPr>
          <w:p w14:paraId="61049651"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2</w:t>
            </w:r>
          </w:p>
        </w:tc>
        <w:tc>
          <w:tcPr>
            <w:tcW w:w="598" w:type="pct"/>
            <w:hideMark/>
          </w:tcPr>
          <w:p w14:paraId="0807992A"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0</w:t>
            </w:r>
          </w:p>
        </w:tc>
        <w:tc>
          <w:tcPr>
            <w:tcW w:w="756" w:type="pct"/>
            <w:hideMark/>
          </w:tcPr>
          <w:p w14:paraId="268B9DC7"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50</w:t>
            </w:r>
          </w:p>
        </w:tc>
        <w:tc>
          <w:tcPr>
            <w:tcW w:w="598" w:type="pct"/>
            <w:hideMark/>
          </w:tcPr>
          <w:p w14:paraId="553093A3"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50</w:t>
            </w:r>
          </w:p>
        </w:tc>
        <w:tc>
          <w:tcPr>
            <w:tcW w:w="369" w:type="pct"/>
            <w:hideMark/>
          </w:tcPr>
          <w:p w14:paraId="439CC4D5"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0%</w:t>
            </w:r>
          </w:p>
        </w:tc>
      </w:tr>
      <w:tr w:rsidR="005201EB" w:rsidRPr="005A15A2" w14:paraId="145F9BC6" w14:textId="77777777" w:rsidTr="005425B2">
        <w:trPr>
          <w:trHeight w:val="324"/>
        </w:trPr>
        <w:tc>
          <w:tcPr>
            <w:cnfStyle w:val="001000000000" w:firstRow="0" w:lastRow="0" w:firstColumn="1" w:lastColumn="0" w:oddVBand="0" w:evenVBand="0" w:oddHBand="0" w:evenHBand="0" w:firstRowFirstColumn="0" w:firstRowLastColumn="0" w:lastRowFirstColumn="0" w:lastRowLastColumn="0"/>
            <w:tcW w:w="588" w:type="pct"/>
            <w:hideMark/>
          </w:tcPr>
          <w:p w14:paraId="2E694AA1" w14:textId="77777777" w:rsidR="005201EB" w:rsidRPr="005201EB" w:rsidRDefault="005201EB" w:rsidP="005A15A2">
            <w:pPr>
              <w:spacing w:line="360" w:lineRule="auto"/>
              <w:jc w:val="center"/>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Moderate</w:t>
            </w:r>
          </w:p>
        </w:tc>
        <w:tc>
          <w:tcPr>
            <w:tcW w:w="447" w:type="pct"/>
            <w:hideMark/>
          </w:tcPr>
          <w:p w14:paraId="1860CF98"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87</w:t>
            </w:r>
          </w:p>
        </w:tc>
        <w:tc>
          <w:tcPr>
            <w:tcW w:w="756" w:type="pct"/>
            <w:hideMark/>
          </w:tcPr>
          <w:p w14:paraId="5508AA2C"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42</w:t>
            </w:r>
          </w:p>
        </w:tc>
        <w:tc>
          <w:tcPr>
            <w:tcW w:w="518" w:type="pct"/>
            <w:hideMark/>
          </w:tcPr>
          <w:p w14:paraId="48753D6A"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2</w:t>
            </w:r>
          </w:p>
        </w:tc>
        <w:tc>
          <w:tcPr>
            <w:tcW w:w="369" w:type="pct"/>
            <w:hideMark/>
          </w:tcPr>
          <w:p w14:paraId="54C1E6C5"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131</w:t>
            </w:r>
          </w:p>
        </w:tc>
        <w:tc>
          <w:tcPr>
            <w:tcW w:w="598" w:type="pct"/>
            <w:hideMark/>
          </w:tcPr>
          <w:p w14:paraId="2DBEF68C"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66.412214</w:t>
            </w:r>
          </w:p>
        </w:tc>
        <w:tc>
          <w:tcPr>
            <w:tcW w:w="756" w:type="pct"/>
            <w:hideMark/>
          </w:tcPr>
          <w:p w14:paraId="120530AE"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32.061069</w:t>
            </w:r>
          </w:p>
        </w:tc>
        <w:tc>
          <w:tcPr>
            <w:tcW w:w="598" w:type="pct"/>
            <w:hideMark/>
          </w:tcPr>
          <w:p w14:paraId="6C293230"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1.526718</w:t>
            </w:r>
          </w:p>
        </w:tc>
        <w:tc>
          <w:tcPr>
            <w:tcW w:w="369" w:type="pct"/>
            <w:hideMark/>
          </w:tcPr>
          <w:p w14:paraId="0377575F"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32%</w:t>
            </w:r>
          </w:p>
        </w:tc>
      </w:tr>
      <w:tr w:rsidR="005201EB" w:rsidRPr="005A15A2" w14:paraId="1A33A530" w14:textId="77777777" w:rsidTr="005425B2">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588" w:type="pct"/>
            <w:hideMark/>
          </w:tcPr>
          <w:p w14:paraId="32E7C09D" w14:textId="77777777" w:rsidR="005201EB" w:rsidRPr="005201EB" w:rsidRDefault="005201EB" w:rsidP="005A15A2">
            <w:pPr>
              <w:spacing w:line="360" w:lineRule="auto"/>
              <w:jc w:val="center"/>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Hard</w:t>
            </w:r>
          </w:p>
        </w:tc>
        <w:tc>
          <w:tcPr>
            <w:tcW w:w="447" w:type="pct"/>
            <w:hideMark/>
          </w:tcPr>
          <w:p w14:paraId="7FD51E06"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109</w:t>
            </w:r>
          </w:p>
        </w:tc>
        <w:tc>
          <w:tcPr>
            <w:tcW w:w="756" w:type="pct"/>
            <w:hideMark/>
          </w:tcPr>
          <w:p w14:paraId="2DEDC7F6"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67</w:t>
            </w:r>
          </w:p>
        </w:tc>
        <w:tc>
          <w:tcPr>
            <w:tcW w:w="518" w:type="pct"/>
            <w:hideMark/>
          </w:tcPr>
          <w:p w14:paraId="161D04E8"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32</w:t>
            </w:r>
          </w:p>
        </w:tc>
        <w:tc>
          <w:tcPr>
            <w:tcW w:w="369" w:type="pct"/>
            <w:hideMark/>
          </w:tcPr>
          <w:p w14:paraId="7251F844"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208</w:t>
            </w:r>
          </w:p>
        </w:tc>
        <w:tc>
          <w:tcPr>
            <w:tcW w:w="598" w:type="pct"/>
            <w:hideMark/>
          </w:tcPr>
          <w:p w14:paraId="4DAE4D8D"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52.403846</w:t>
            </w:r>
          </w:p>
        </w:tc>
        <w:tc>
          <w:tcPr>
            <w:tcW w:w="756" w:type="pct"/>
            <w:hideMark/>
          </w:tcPr>
          <w:p w14:paraId="32E1F603"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32.211538</w:t>
            </w:r>
          </w:p>
        </w:tc>
        <w:tc>
          <w:tcPr>
            <w:tcW w:w="598" w:type="pct"/>
            <w:hideMark/>
          </w:tcPr>
          <w:p w14:paraId="21A79820"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15.384615</w:t>
            </w:r>
          </w:p>
        </w:tc>
        <w:tc>
          <w:tcPr>
            <w:tcW w:w="369" w:type="pct"/>
            <w:hideMark/>
          </w:tcPr>
          <w:p w14:paraId="3583BE98" w14:textId="77777777" w:rsidR="005201EB" w:rsidRPr="005201EB" w:rsidRDefault="005201EB" w:rsidP="005A15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51%</w:t>
            </w:r>
          </w:p>
        </w:tc>
      </w:tr>
      <w:tr w:rsidR="005201EB" w:rsidRPr="005A15A2" w14:paraId="3FEB335B" w14:textId="77777777" w:rsidTr="005425B2">
        <w:trPr>
          <w:trHeight w:val="324"/>
        </w:trPr>
        <w:tc>
          <w:tcPr>
            <w:cnfStyle w:val="001000000000" w:firstRow="0" w:lastRow="0" w:firstColumn="1" w:lastColumn="0" w:oddVBand="0" w:evenVBand="0" w:oddHBand="0" w:evenHBand="0" w:firstRowFirstColumn="0" w:firstRowLastColumn="0" w:lastRowFirstColumn="0" w:lastRowLastColumn="0"/>
            <w:tcW w:w="588" w:type="pct"/>
            <w:hideMark/>
          </w:tcPr>
          <w:p w14:paraId="4A54DF5B" w14:textId="77777777" w:rsidR="005201EB" w:rsidRPr="005201EB" w:rsidRDefault="005201EB" w:rsidP="005A15A2">
            <w:pPr>
              <w:spacing w:line="360" w:lineRule="auto"/>
              <w:jc w:val="center"/>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Very Hard</w:t>
            </w:r>
          </w:p>
        </w:tc>
        <w:tc>
          <w:tcPr>
            <w:tcW w:w="447" w:type="pct"/>
            <w:hideMark/>
          </w:tcPr>
          <w:p w14:paraId="35097363"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21</w:t>
            </w:r>
          </w:p>
        </w:tc>
        <w:tc>
          <w:tcPr>
            <w:tcW w:w="756" w:type="pct"/>
            <w:hideMark/>
          </w:tcPr>
          <w:p w14:paraId="469C61D3"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37</w:t>
            </w:r>
          </w:p>
        </w:tc>
        <w:tc>
          <w:tcPr>
            <w:tcW w:w="518" w:type="pct"/>
            <w:hideMark/>
          </w:tcPr>
          <w:p w14:paraId="7861B2B7"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8</w:t>
            </w:r>
          </w:p>
        </w:tc>
        <w:tc>
          <w:tcPr>
            <w:tcW w:w="369" w:type="pct"/>
            <w:hideMark/>
          </w:tcPr>
          <w:p w14:paraId="5712193B"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66</w:t>
            </w:r>
          </w:p>
        </w:tc>
        <w:tc>
          <w:tcPr>
            <w:tcW w:w="598" w:type="pct"/>
            <w:hideMark/>
          </w:tcPr>
          <w:p w14:paraId="6C5EC4EC"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31.818182</w:t>
            </w:r>
          </w:p>
        </w:tc>
        <w:tc>
          <w:tcPr>
            <w:tcW w:w="756" w:type="pct"/>
            <w:hideMark/>
          </w:tcPr>
          <w:p w14:paraId="0AB57F6F"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56.060606</w:t>
            </w:r>
          </w:p>
        </w:tc>
        <w:tc>
          <w:tcPr>
            <w:tcW w:w="598" w:type="pct"/>
            <w:hideMark/>
          </w:tcPr>
          <w:p w14:paraId="6FE675CD"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12.121212</w:t>
            </w:r>
          </w:p>
        </w:tc>
        <w:tc>
          <w:tcPr>
            <w:tcW w:w="369" w:type="pct"/>
            <w:hideMark/>
          </w:tcPr>
          <w:p w14:paraId="77422751" w14:textId="77777777" w:rsidR="005201EB" w:rsidRPr="005201EB" w:rsidRDefault="005201EB" w:rsidP="005A15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 w:val="24"/>
                <w:szCs w:val="24"/>
                <w14:ligatures w14:val="none"/>
              </w:rPr>
            </w:pPr>
            <w:r w:rsidRPr="005201EB">
              <w:rPr>
                <w:rFonts w:asciiTheme="majorBidi" w:eastAsia="Times New Roman" w:hAnsiTheme="majorBidi" w:cstheme="majorBidi"/>
                <w:kern w:val="0"/>
                <w:sz w:val="24"/>
                <w:szCs w:val="24"/>
                <w14:ligatures w14:val="none"/>
              </w:rPr>
              <w:t>16%</w:t>
            </w:r>
          </w:p>
        </w:tc>
      </w:tr>
    </w:tbl>
    <w:p w14:paraId="54074DD6" w14:textId="77777777" w:rsidR="00F16472" w:rsidRPr="005A15A2" w:rsidRDefault="00F16472" w:rsidP="005A15A2">
      <w:pPr>
        <w:tabs>
          <w:tab w:val="left" w:pos="5653"/>
        </w:tabs>
        <w:spacing w:line="360" w:lineRule="auto"/>
        <w:jc w:val="both"/>
        <w:rPr>
          <w:rFonts w:asciiTheme="majorBidi" w:eastAsiaTheme="minorEastAsia" w:hAnsiTheme="majorBidi" w:cstheme="majorBidi"/>
          <w:sz w:val="24"/>
          <w:szCs w:val="24"/>
        </w:rPr>
      </w:pPr>
    </w:p>
    <w:p w14:paraId="3741FA63" w14:textId="77777777" w:rsidR="00F16472" w:rsidRPr="005A15A2" w:rsidRDefault="00F16472" w:rsidP="00F42599">
      <w:pPr>
        <w:pStyle w:val="Heading2"/>
      </w:pPr>
      <w:bookmarkStart w:id="14" w:name="_Toc137645814"/>
      <w:r w:rsidRPr="005A15A2">
        <w:t>Health risk analysis</w:t>
      </w:r>
      <w:bookmarkEnd w:id="14"/>
    </w:p>
    <w:p w14:paraId="792F742A" w14:textId="6B98699E" w:rsidR="00F16472" w:rsidRPr="005A15A2" w:rsidRDefault="00962E4B" w:rsidP="00F42599">
      <w:pPr>
        <w:pStyle w:val="Heading3"/>
      </w:pPr>
      <w:bookmarkStart w:id="15" w:name="_Toc137645815"/>
      <w:r w:rsidRPr="005A15A2">
        <w:t>Fluoride</w:t>
      </w:r>
      <w:r w:rsidR="00F16472" w:rsidRPr="005A15A2">
        <w:t xml:space="preserve"> Concentration</w:t>
      </w:r>
      <w:bookmarkEnd w:id="15"/>
    </w:p>
    <w:p w14:paraId="6327136E" w14:textId="77777777" w:rsidR="00475702" w:rsidRPr="005A15A2" w:rsidRDefault="00475702" w:rsidP="005A15A2">
      <w:pPr>
        <w:pStyle w:val="NormalWeb"/>
        <w:spacing w:line="360" w:lineRule="auto"/>
        <w:jc w:val="both"/>
        <w:rPr>
          <w:rFonts w:asciiTheme="majorBidi" w:hAnsiTheme="majorBidi" w:cstheme="majorBidi"/>
        </w:rPr>
      </w:pPr>
      <w:r w:rsidRPr="005A15A2">
        <w:rPr>
          <w:rFonts w:asciiTheme="majorBidi" w:hAnsiTheme="majorBidi" w:cstheme="majorBidi"/>
        </w:rPr>
        <w:t>Fluoride concentration in water is a topic of concern due to potential health risks. While fluoride is beneficial in preventing tooth decay when present at optimal levels, excessive fluoride can lead to health issues. High levels of fluoride in drinking water have been associated with dental fluorosis, a condition that causes discoloration and enamel damage to teeth. Prolonged exposure to elevated fluoride concentrations may also contribute to skeletal fluorosis, which affects the bones and joints, causing stiffness and pain. It is important to monitor and maintain fluoride concentrations within recommended limits to ensure public health and minimize the risks associated with excessive fluoride intake.</w:t>
      </w:r>
    </w:p>
    <w:p w14:paraId="199FC1E3" w14:textId="77777777" w:rsidR="005425B2" w:rsidRPr="005425B2" w:rsidRDefault="00F16472" w:rsidP="005425B2">
      <w:pPr>
        <w:keepNext/>
        <w:tabs>
          <w:tab w:val="left" w:pos="5653"/>
        </w:tabs>
        <w:spacing w:line="360" w:lineRule="auto"/>
        <w:jc w:val="center"/>
        <w:rPr>
          <w:sz w:val="32"/>
          <w:szCs w:val="32"/>
        </w:rPr>
      </w:pPr>
      <w:r w:rsidRPr="005425B2">
        <w:rPr>
          <w:rFonts w:asciiTheme="majorBidi" w:hAnsiTheme="majorBidi" w:cstheme="majorBidi"/>
          <w:noProof/>
          <w:sz w:val="36"/>
          <w:szCs w:val="36"/>
        </w:rPr>
        <w:drawing>
          <wp:inline distT="0" distB="0" distL="0" distR="0" wp14:anchorId="39BB7A79" wp14:editId="6EE2430D">
            <wp:extent cx="5943600" cy="4187666"/>
            <wp:effectExtent l="19050" t="19050" r="19050" b="22860"/>
            <wp:docPr id="16521483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48374"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87666"/>
                    </a:xfrm>
                    <a:prstGeom prst="rect">
                      <a:avLst/>
                    </a:prstGeom>
                    <a:ln>
                      <a:solidFill>
                        <a:schemeClr val="tx1"/>
                      </a:solidFill>
                    </a:ln>
                  </pic:spPr>
                </pic:pic>
              </a:graphicData>
            </a:graphic>
          </wp:inline>
        </w:drawing>
      </w:r>
    </w:p>
    <w:p w14:paraId="07994585" w14:textId="13197B9B" w:rsidR="00F16472" w:rsidRPr="005425B2" w:rsidRDefault="005425B2" w:rsidP="005425B2">
      <w:pPr>
        <w:pStyle w:val="Caption"/>
        <w:jc w:val="center"/>
        <w:rPr>
          <w:rFonts w:asciiTheme="majorBidi" w:hAnsiTheme="majorBidi" w:cstheme="majorBidi"/>
          <w:sz w:val="36"/>
          <w:szCs w:val="36"/>
        </w:rPr>
      </w:pPr>
      <w:r w:rsidRPr="005425B2">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Pr>
          <w:noProof/>
          <w:sz w:val="24"/>
          <w:szCs w:val="24"/>
          <w:cs/>
        </w:rPr>
        <w:t>‎</w:t>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Pr>
          <w:noProof/>
          <w:sz w:val="24"/>
          <w:szCs w:val="24"/>
        </w:rPr>
        <w:t>6</w:t>
      </w:r>
      <w:r>
        <w:rPr>
          <w:sz w:val="24"/>
          <w:szCs w:val="24"/>
        </w:rPr>
        <w:fldChar w:fldCharType="end"/>
      </w:r>
      <w:r w:rsidRPr="005425B2">
        <w:rPr>
          <w:sz w:val="24"/>
          <w:szCs w:val="24"/>
        </w:rPr>
        <w:t>: Map of Concentration of Fluoride in the study area</w:t>
      </w:r>
    </w:p>
    <w:p w14:paraId="1E0CAFB9" w14:textId="77777777" w:rsidR="00F16472" w:rsidRPr="005A15A2" w:rsidRDefault="00F16472" w:rsidP="00F42599">
      <w:pPr>
        <w:pStyle w:val="Heading3"/>
      </w:pPr>
      <w:bookmarkStart w:id="16" w:name="_Toc137645816"/>
      <w:r w:rsidRPr="005A15A2">
        <w:t>Health Risk Assessment</w:t>
      </w:r>
      <w:bookmarkEnd w:id="16"/>
    </w:p>
    <w:p w14:paraId="010D77E0" w14:textId="77777777" w:rsidR="009312A5" w:rsidRPr="005A15A2" w:rsidRDefault="009312A5" w:rsidP="005A15A2">
      <w:pPr>
        <w:pStyle w:val="NormalWeb"/>
        <w:spacing w:line="360" w:lineRule="auto"/>
        <w:jc w:val="both"/>
        <w:rPr>
          <w:rFonts w:asciiTheme="majorBidi" w:hAnsiTheme="majorBidi" w:cstheme="majorBidi"/>
        </w:rPr>
      </w:pPr>
      <w:r w:rsidRPr="005A15A2">
        <w:rPr>
          <w:rFonts w:asciiTheme="majorBidi" w:hAnsiTheme="majorBidi" w:cstheme="majorBidi"/>
        </w:rPr>
        <w:t>The assessment of health risks plays a crucial role in evaluating the potential health implications associated with the presence of chemical constituents in water. These contaminants include heavy metals, organic compounds, disinfection byproducts, microbial pathogens, and emerging contaminants. Health risk evaluation often involves the use of a calculation called the Hazard Quotient (HQ) to quantify the risks.</w:t>
      </w:r>
    </w:p>
    <w:p w14:paraId="7CBC8312" w14:textId="0FABF72C" w:rsidR="009312A5" w:rsidRPr="005A15A2" w:rsidRDefault="009312A5" w:rsidP="005A15A2">
      <w:pPr>
        <w:pStyle w:val="NormalWeb"/>
        <w:spacing w:line="360" w:lineRule="auto"/>
        <w:jc w:val="both"/>
        <w:rPr>
          <w:rFonts w:asciiTheme="majorBidi" w:hAnsiTheme="majorBidi" w:cstheme="majorBidi"/>
        </w:rPr>
      </w:pPr>
      <w:r w:rsidRPr="005A15A2">
        <w:rPr>
          <w:rFonts w:asciiTheme="majorBidi" w:hAnsiTheme="majorBidi" w:cstheme="majorBidi"/>
        </w:rPr>
        <w:t xml:space="preserve">The HQ is derived by first calculating the Average Daily Dose (ADD) of a specific contaminant using the formula: </w:t>
      </w:r>
    </w:p>
    <w:p w14:paraId="3EBF0565" w14:textId="0C37DF0F" w:rsidR="005201EB" w:rsidRPr="005A15A2" w:rsidRDefault="005201EB" w:rsidP="005A15A2">
      <w:pPr>
        <w:tabs>
          <w:tab w:val="left" w:pos="5653"/>
        </w:tabs>
        <w:spacing w:line="360" w:lineRule="auto"/>
        <w:jc w:val="both"/>
        <w:rPr>
          <w:rFonts w:asciiTheme="majorBidi" w:hAnsiTheme="majorBidi" w:cstheme="majorBidi"/>
          <w:sz w:val="24"/>
          <w:szCs w:val="24"/>
        </w:rPr>
      </w:pPr>
      <m:oMathPara>
        <m:oMath>
          <m:r>
            <w:rPr>
              <w:rFonts w:ascii="Cambria Math" w:hAnsi="Cambria Math" w:cstheme="majorBidi"/>
              <w:sz w:val="24"/>
              <w:szCs w:val="24"/>
            </w:rPr>
            <m:t xml:space="preserve">ADD= </m:t>
          </m:r>
          <m:f>
            <m:fPr>
              <m:ctrlPr>
                <w:rPr>
                  <w:rFonts w:ascii="Cambria Math" w:hAnsi="Cambria Math" w:cstheme="majorBidi"/>
                  <w:i/>
                  <w:sz w:val="24"/>
                  <w:szCs w:val="24"/>
                </w:rPr>
              </m:ctrlPr>
            </m:fPr>
            <m:num>
              <m:r>
                <w:rPr>
                  <w:rFonts w:ascii="Cambria Math" w:hAnsi="Cambria Math" w:cstheme="majorBidi"/>
                  <w:sz w:val="24"/>
                  <w:szCs w:val="24"/>
                </w:rPr>
                <m:t>(C×IR×ED×EF)</m:t>
              </m:r>
            </m:num>
            <m:den>
              <m:r>
                <w:rPr>
                  <w:rFonts w:ascii="Cambria Math" w:hAnsi="Cambria Math" w:cstheme="majorBidi"/>
                  <w:sz w:val="24"/>
                  <w:szCs w:val="24"/>
                </w:rPr>
                <m:t>BW×AT</m:t>
              </m:r>
            </m:den>
          </m:f>
        </m:oMath>
      </m:oMathPara>
    </w:p>
    <w:p w14:paraId="6E433432" w14:textId="77777777" w:rsidR="005201EB" w:rsidRPr="005A15A2" w:rsidRDefault="005201EB" w:rsidP="005A15A2">
      <w:pPr>
        <w:tabs>
          <w:tab w:val="left" w:pos="5653"/>
        </w:tabs>
        <w:spacing w:line="360" w:lineRule="auto"/>
        <w:jc w:val="both"/>
        <w:rPr>
          <w:rFonts w:asciiTheme="majorBidi" w:hAnsiTheme="majorBidi" w:cstheme="majorBidi"/>
          <w:sz w:val="24"/>
          <w:szCs w:val="24"/>
        </w:rPr>
      </w:pPr>
    </w:p>
    <w:p w14:paraId="08671684" w14:textId="7CF2B031" w:rsidR="005201EB" w:rsidRPr="005A15A2" w:rsidRDefault="005201EB" w:rsidP="005A15A2">
      <w:pPr>
        <w:tabs>
          <w:tab w:val="left" w:pos="5653"/>
        </w:tabs>
        <w:spacing w:line="360" w:lineRule="auto"/>
        <w:jc w:val="both"/>
        <w:rPr>
          <w:rFonts w:asciiTheme="majorBidi" w:hAnsiTheme="majorBidi" w:cstheme="majorBidi"/>
          <w:sz w:val="24"/>
          <w:szCs w:val="24"/>
        </w:rPr>
      </w:pPr>
    </w:p>
    <w:p w14:paraId="0251B2EC" w14:textId="77777777" w:rsidR="009312A5" w:rsidRPr="005A15A2" w:rsidRDefault="009312A5" w:rsidP="005A15A2">
      <w:pPr>
        <w:pStyle w:val="NormalWeb"/>
        <w:spacing w:line="360" w:lineRule="auto"/>
        <w:jc w:val="both"/>
        <w:rPr>
          <w:rFonts w:asciiTheme="majorBidi" w:hAnsiTheme="majorBidi" w:cstheme="majorBidi"/>
        </w:rPr>
      </w:pPr>
      <w:r w:rsidRPr="005A15A2">
        <w:rPr>
          <w:rFonts w:asciiTheme="majorBidi" w:hAnsiTheme="majorBidi" w:cstheme="majorBidi"/>
        </w:rPr>
        <w:t>In this context, C represents the concentration of fluoride in the water, IR represents the ingestion rate of water, ED denotes exposure duration, EF signifies the exposure frequency, BW represents body weight, and AT indicates the averaging time.</w:t>
      </w:r>
    </w:p>
    <w:tbl>
      <w:tblPr>
        <w:tblStyle w:val="TableGrid"/>
        <w:tblW w:w="0" w:type="auto"/>
        <w:jc w:val="center"/>
        <w:tblLook w:val="04A0" w:firstRow="1" w:lastRow="0" w:firstColumn="1" w:lastColumn="0" w:noHBand="0" w:noVBand="1"/>
      </w:tblPr>
      <w:tblGrid>
        <w:gridCol w:w="1870"/>
        <w:gridCol w:w="1870"/>
        <w:gridCol w:w="1870"/>
        <w:gridCol w:w="1870"/>
      </w:tblGrid>
      <w:tr w:rsidR="009312A5" w:rsidRPr="005A15A2" w14:paraId="01589E74" w14:textId="77777777" w:rsidTr="00BF26F2">
        <w:trPr>
          <w:jc w:val="center"/>
        </w:trPr>
        <w:tc>
          <w:tcPr>
            <w:tcW w:w="1870" w:type="dxa"/>
          </w:tcPr>
          <w:p w14:paraId="5E5C527E" w14:textId="77777777" w:rsidR="009312A5" w:rsidRPr="005A15A2" w:rsidRDefault="009312A5" w:rsidP="005A15A2">
            <w:pPr>
              <w:spacing w:line="360" w:lineRule="auto"/>
              <w:jc w:val="center"/>
              <w:rPr>
                <w:rFonts w:asciiTheme="majorBidi" w:hAnsiTheme="majorBidi" w:cstheme="majorBidi"/>
                <w:b/>
                <w:bCs/>
                <w:sz w:val="24"/>
                <w:szCs w:val="24"/>
              </w:rPr>
            </w:pPr>
            <w:r w:rsidRPr="005A15A2">
              <w:rPr>
                <w:rFonts w:asciiTheme="majorBidi" w:hAnsiTheme="majorBidi" w:cstheme="majorBidi"/>
                <w:b/>
                <w:bCs/>
                <w:sz w:val="24"/>
                <w:szCs w:val="24"/>
              </w:rPr>
              <w:t>Age Group</w:t>
            </w:r>
          </w:p>
        </w:tc>
        <w:tc>
          <w:tcPr>
            <w:tcW w:w="1870" w:type="dxa"/>
          </w:tcPr>
          <w:p w14:paraId="16D5852A" w14:textId="77777777" w:rsidR="009312A5" w:rsidRPr="005A15A2" w:rsidRDefault="009312A5" w:rsidP="005A15A2">
            <w:pPr>
              <w:spacing w:line="360" w:lineRule="auto"/>
              <w:jc w:val="center"/>
              <w:rPr>
                <w:rFonts w:asciiTheme="majorBidi" w:hAnsiTheme="majorBidi" w:cstheme="majorBidi"/>
                <w:b/>
                <w:bCs/>
                <w:sz w:val="24"/>
                <w:szCs w:val="24"/>
              </w:rPr>
            </w:pPr>
            <w:r w:rsidRPr="005A15A2">
              <w:rPr>
                <w:rFonts w:asciiTheme="majorBidi" w:hAnsiTheme="majorBidi" w:cstheme="majorBidi"/>
                <w:b/>
                <w:bCs/>
                <w:sz w:val="24"/>
                <w:szCs w:val="24"/>
              </w:rPr>
              <w:t>IR (L/day)</w:t>
            </w:r>
          </w:p>
        </w:tc>
        <w:tc>
          <w:tcPr>
            <w:tcW w:w="1870" w:type="dxa"/>
          </w:tcPr>
          <w:p w14:paraId="18626A7C" w14:textId="77777777" w:rsidR="009312A5" w:rsidRPr="005A15A2" w:rsidRDefault="009312A5" w:rsidP="005A15A2">
            <w:pPr>
              <w:spacing w:line="360" w:lineRule="auto"/>
              <w:jc w:val="center"/>
              <w:rPr>
                <w:rFonts w:asciiTheme="majorBidi" w:hAnsiTheme="majorBidi" w:cstheme="majorBidi"/>
                <w:b/>
                <w:bCs/>
                <w:sz w:val="24"/>
                <w:szCs w:val="24"/>
              </w:rPr>
            </w:pPr>
            <w:r w:rsidRPr="005A15A2">
              <w:rPr>
                <w:rFonts w:asciiTheme="majorBidi" w:hAnsiTheme="majorBidi" w:cstheme="majorBidi"/>
                <w:b/>
                <w:bCs/>
                <w:sz w:val="24"/>
                <w:szCs w:val="24"/>
              </w:rPr>
              <w:t>BW (kg)</w:t>
            </w:r>
          </w:p>
        </w:tc>
        <w:tc>
          <w:tcPr>
            <w:tcW w:w="1870" w:type="dxa"/>
          </w:tcPr>
          <w:p w14:paraId="129BE2CD" w14:textId="77777777" w:rsidR="009312A5" w:rsidRPr="005A15A2" w:rsidRDefault="009312A5" w:rsidP="005A15A2">
            <w:pPr>
              <w:spacing w:line="360" w:lineRule="auto"/>
              <w:jc w:val="center"/>
              <w:rPr>
                <w:rFonts w:asciiTheme="majorBidi" w:hAnsiTheme="majorBidi" w:cstheme="majorBidi"/>
                <w:b/>
                <w:bCs/>
                <w:sz w:val="24"/>
                <w:szCs w:val="24"/>
              </w:rPr>
            </w:pPr>
            <w:r w:rsidRPr="005A15A2">
              <w:rPr>
                <w:rFonts w:asciiTheme="majorBidi" w:hAnsiTheme="majorBidi" w:cstheme="majorBidi"/>
                <w:b/>
                <w:bCs/>
                <w:sz w:val="24"/>
                <w:szCs w:val="24"/>
              </w:rPr>
              <w:t>AT</w:t>
            </w:r>
          </w:p>
        </w:tc>
      </w:tr>
      <w:tr w:rsidR="009312A5" w:rsidRPr="005A15A2" w14:paraId="3F8D2AA6" w14:textId="77777777" w:rsidTr="00BF26F2">
        <w:trPr>
          <w:jc w:val="center"/>
        </w:trPr>
        <w:tc>
          <w:tcPr>
            <w:tcW w:w="1870" w:type="dxa"/>
          </w:tcPr>
          <w:p w14:paraId="3FC382A9" w14:textId="77777777" w:rsidR="009312A5" w:rsidRPr="005A15A2" w:rsidRDefault="009312A5" w:rsidP="005A15A2">
            <w:pPr>
              <w:spacing w:line="360" w:lineRule="auto"/>
              <w:jc w:val="center"/>
              <w:rPr>
                <w:rFonts w:asciiTheme="majorBidi" w:hAnsiTheme="majorBidi" w:cstheme="majorBidi"/>
                <w:sz w:val="24"/>
                <w:szCs w:val="24"/>
              </w:rPr>
            </w:pPr>
            <w:r w:rsidRPr="005A15A2">
              <w:rPr>
                <w:rFonts w:asciiTheme="majorBidi" w:hAnsiTheme="majorBidi" w:cstheme="majorBidi"/>
                <w:sz w:val="24"/>
                <w:szCs w:val="24"/>
              </w:rPr>
              <w:t>&gt;20 years</w:t>
            </w:r>
          </w:p>
        </w:tc>
        <w:tc>
          <w:tcPr>
            <w:tcW w:w="1870" w:type="dxa"/>
          </w:tcPr>
          <w:p w14:paraId="4A7861EA" w14:textId="77777777" w:rsidR="009312A5" w:rsidRPr="005A15A2" w:rsidRDefault="009312A5" w:rsidP="005A15A2">
            <w:pPr>
              <w:spacing w:line="360" w:lineRule="auto"/>
              <w:jc w:val="center"/>
              <w:rPr>
                <w:rFonts w:asciiTheme="majorBidi" w:hAnsiTheme="majorBidi" w:cstheme="majorBidi"/>
                <w:sz w:val="24"/>
                <w:szCs w:val="24"/>
              </w:rPr>
            </w:pPr>
            <w:r w:rsidRPr="005A15A2">
              <w:rPr>
                <w:rFonts w:asciiTheme="majorBidi" w:hAnsiTheme="majorBidi" w:cstheme="majorBidi"/>
                <w:sz w:val="24"/>
                <w:szCs w:val="24"/>
              </w:rPr>
              <w:t>2</w:t>
            </w:r>
          </w:p>
        </w:tc>
        <w:tc>
          <w:tcPr>
            <w:tcW w:w="1870" w:type="dxa"/>
          </w:tcPr>
          <w:p w14:paraId="07512F1E" w14:textId="77777777" w:rsidR="009312A5" w:rsidRPr="005A15A2" w:rsidRDefault="009312A5" w:rsidP="005A15A2">
            <w:pPr>
              <w:spacing w:line="360" w:lineRule="auto"/>
              <w:jc w:val="center"/>
              <w:rPr>
                <w:rFonts w:asciiTheme="majorBidi" w:hAnsiTheme="majorBidi" w:cstheme="majorBidi"/>
                <w:sz w:val="24"/>
                <w:szCs w:val="24"/>
              </w:rPr>
            </w:pPr>
            <w:r w:rsidRPr="005A15A2">
              <w:rPr>
                <w:rFonts w:asciiTheme="majorBidi" w:hAnsiTheme="majorBidi" w:cstheme="majorBidi"/>
                <w:sz w:val="24"/>
                <w:szCs w:val="24"/>
              </w:rPr>
              <w:t>70</w:t>
            </w:r>
          </w:p>
        </w:tc>
        <w:tc>
          <w:tcPr>
            <w:tcW w:w="1870" w:type="dxa"/>
          </w:tcPr>
          <w:p w14:paraId="508954F5" w14:textId="77777777" w:rsidR="009312A5" w:rsidRPr="005A15A2" w:rsidRDefault="009312A5" w:rsidP="005A15A2">
            <w:pPr>
              <w:spacing w:line="360" w:lineRule="auto"/>
              <w:jc w:val="center"/>
              <w:rPr>
                <w:rFonts w:asciiTheme="majorBidi" w:hAnsiTheme="majorBidi" w:cstheme="majorBidi"/>
                <w:sz w:val="24"/>
                <w:szCs w:val="24"/>
              </w:rPr>
            </w:pPr>
            <w:r w:rsidRPr="005A15A2">
              <w:rPr>
                <w:rFonts w:asciiTheme="majorBidi" w:hAnsiTheme="majorBidi" w:cstheme="majorBidi"/>
                <w:sz w:val="24"/>
                <w:szCs w:val="24"/>
              </w:rPr>
              <w:t>365</w:t>
            </w:r>
          </w:p>
        </w:tc>
      </w:tr>
    </w:tbl>
    <w:p w14:paraId="1349B67E" w14:textId="2B9121AA" w:rsidR="009312A5" w:rsidRDefault="009312A5" w:rsidP="005A15A2">
      <w:pPr>
        <w:pStyle w:val="NormalWeb"/>
        <w:spacing w:line="360" w:lineRule="auto"/>
        <w:jc w:val="both"/>
        <w:rPr>
          <w:rFonts w:asciiTheme="majorBidi" w:hAnsiTheme="majorBidi" w:cstheme="majorBidi"/>
        </w:rPr>
      </w:pPr>
      <w:r w:rsidRPr="005A15A2">
        <w:rPr>
          <w:rFonts w:asciiTheme="majorBidi" w:hAnsiTheme="majorBidi" w:cstheme="majorBidi"/>
        </w:rPr>
        <w:t>Following the determination of the ADD, the HQ is calculated by dividing the ADD by the Reference Dose (RFD) specific to fluoride. The RFD represents the acceptable daily intake level of fluoride below which adverse health effects are unlikely. For fluoride, the recommended RFD is typically set at 0.0</w:t>
      </w:r>
      <w:r w:rsidR="001D3B56">
        <w:rPr>
          <w:rFonts w:asciiTheme="majorBidi" w:hAnsiTheme="majorBidi" w:cstheme="majorBidi"/>
        </w:rPr>
        <w:t>6</w:t>
      </w:r>
      <w:r w:rsidRPr="005A15A2">
        <w:rPr>
          <w:rFonts w:asciiTheme="majorBidi" w:hAnsiTheme="majorBidi" w:cstheme="majorBidi"/>
        </w:rPr>
        <w:t xml:space="preserve"> mg/kg body weight per day.</w:t>
      </w:r>
    </w:p>
    <w:p w14:paraId="09CFA4A3" w14:textId="7DEBC399" w:rsidR="001D3B56" w:rsidRPr="00F926AF" w:rsidRDefault="001D3B56" w:rsidP="005A15A2">
      <w:pPr>
        <w:pStyle w:val="NormalWeb"/>
        <w:spacing w:line="360" w:lineRule="auto"/>
        <w:jc w:val="both"/>
        <w:rPr>
          <w:rFonts w:asciiTheme="majorBidi" w:hAnsiTheme="majorBidi" w:cstheme="majorBidi"/>
        </w:rPr>
      </w:pPr>
      <m:oMathPara>
        <m:oMathParaPr>
          <m:jc m:val="center"/>
        </m:oMathParaPr>
        <m:oMath>
          <m:r>
            <w:rPr>
              <w:rFonts w:ascii="Cambria Math" w:hAnsi="Cambria Math" w:cstheme="majorBidi"/>
            </w:rPr>
            <m:t xml:space="preserve">HQ= </m:t>
          </m:r>
          <m:f>
            <m:fPr>
              <m:ctrlPr>
                <w:rPr>
                  <w:rFonts w:ascii="Cambria Math" w:eastAsiaTheme="minorHAnsi" w:hAnsi="Cambria Math" w:cstheme="majorBidi"/>
                  <w:i/>
                  <w:kern w:val="2"/>
                  <w14:ligatures w14:val="standardContextual"/>
                </w:rPr>
              </m:ctrlPr>
            </m:fPr>
            <m:num>
              <m:r>
                <w:rPr>
                  <w:rFonts w:ascii="Cambria Math" w:hAnsi="Cambria Math" w:cstheme="majorBidi"/>
                </w:rPr>
                <m:t>ADD</m:t>
              </m:r>
            </m:num>
            <m:den>
              <m:r>
                <w:rPr>
                  <w:rFonts w:ascii="Cambria Math" w:hAnsi="Cambria Math" w:cstheme="majorBidi"/>
                </w:rPr>
                <m:t>RFD</m:t>
              </m:r>
            </m:den>
          </m:f>
        </m:oMath>
      </m:oMathPara>
    </w:p>
    <w:p w14:paraId="0DEAC071" w14:textId="77777777" w:rsidR="009312A5" w:rsidRPr="005A15A2" w:rsidRDefault="009312A5" w:rsidP="005A15A2">
      <w:pPr>
        <w:pStyle w:val="NormalWeb"/>
        <w:spacing w:line="360" w:lineRule="auto"/>
        <w:jc w:val="both"/>
        <w:rPr>
          <w:rFonts w:asciiTheme="majorBidi" w:hAnsiTheme="majorBidi" w:cstheme="majorBidi"/>
        </w:rPr>
      </w:pPr>
      <w:r w:rsidRPr="005A15A2">
        <w:rPr>
          <w:rFonts w:asciiTheme="majorBidi" w:hAnsiTheme="majorBidi" w:cstheme="majorBidi"/>
        </w:rPr>
        <w:t>Quantitative assessment of potential health risks associated with fluoride exposure in water is vital for making informed decisions regarding water management, treatment, and mitigation strategies to protect public health and ensure the safety of drinking water sources.</w:t>
      </w:r>
    </w:p>
    <w:p w14:paraId="01E5702B" w14:textId="77777777" w:rsidR="009312A5" w:rsidRPr="005A15A2" w:rsidRDefault="009312A5" w:rsidP="005A15A2">
      <w:pPr>
        <w:pStyle w:val="NormalWeb"/>
        <w:spacing w:line="360" w:lineRule="auto"/>
        <w:jc w:val="both"/>
        <w:rPr>
          <w:rFonts w:asciiTheme="majorBidi" w:hAnsiTheme="majorBidi" w:cstheme="majorBidi"/>
        </w:rPr>
      </w:pPr>
      <w:r w:rsidRPr="005A15A2">
        <w:rPr>
          <w:rFonts w:asciiTheme="majorBidi" w:hAnsiTheme="majorBidi" w:cstheme="majorBidi"/>
        </w:rPr>
        <w:t>It is important to note that the HQ calculation considers various factors, including fluoride concentration in water, uptake rate, exposure duration, frequency, body weight, and averaging time. While higher fluoride concentrations generally result in higher ADD, the resulting HQ is influenced by other factors and the fluoride-specific RFD value. A high fluoride concentration may not necessarily yield a high HQ if other factors are relatively low. Conversely, even at moderate or low fluoride concentrations, a high HQ can be obtained if other factors are relatively high or if RFD values are low. Thus, the overall HQ depends on the interaction between fluoride concentration and other variables in the calculation, such as RFD, exposure limits, and body weight.</w:t>
      </w:r>
    </w:p>
    <w:p w14:paraId="61EAD97C" w14:textId="77777777" w:rsidR="00475702" w:rsidRPr="005A15A2" w:rsidRDefault="00475702" w:rsidP="005A15A2">
      <w:pPr>
        <w:tabs>
          <w:tab w:val="left" w:pos="5653"/>
        </w:tabs>
        <w:spacing w:line="360" w:lineRule="auto"/>
        <w:jc w:val="both"/>
        <w:rPr>
          <w:rFonts w:asciiTheme="majorBidi" w:hAnsiTheme="majorBidi" w:cstheme="majorBidi"/>
          <w:sz w:val="24"/>
          <w:szCs w:val="24"/>
        </w:rPr>
      </w:pPr>
    </w:p>
    <w:p w14:paraId="18261B40" w14:textId="77777777" w:rsidR="005425B2" w:rsidRPr="005425B2" w:rsidRDefault="00475702" w:rsidP="005425B2">
      <w:pPr>
        <w:keepNext/>
        <w:jc w:val="center"/>
        <w:rPr>
          <w:sz w:val="32"/>
          <w:szCs w:val="32"/>
        </w:rPr>
      </w:pPr>
      <w:r w:rsidRPr="005425B2">
        <w:rPr>
          <w:noProof/>
          <w:sz w:val="32"/>
          <w:szCs w:val="32"/>
        </w:rPr>
        <w:drawing>
          <wp:inline distT="0" distB="0" distL="0" distR="0" wp14:anchorId="2FDF20F8" wp14:editId="1E009433">
            <wp:extent cx="5897132" cy="4581525"/>
            <wp:effectExtent l="19050" t="19050" r="27940" b="9525"/>
            <wp:docPr id="7552332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33274"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897132" cy="4581525"/>
                    </a:xfrm>
                    <a:prstGeom prst="rect">
                      <a:avLst/>
                    </a:prstGeom>
                    <a:noFill/>
                    <a:ln>
                      <a:solidFill>
                        <a:schemeClr val="tx1"/>
                      </a:solidFill>
                    </a:ln>
                  </pic:spPr>
                </pic:pic>
              </a:graphicData>
            </a:graphic>
          </wp:inline>
        </w:drawing>
      </w:r>
    </w:p>
    <w:p w14:paraId="66CFE714" w14:textId="75155AFB" w:rsidR="00F46AFF" w:rsidRPr="005425B2" w:rsidRDefault="005425B2" w:rsidP="005425B2">
      <w:pPr>
        <w:pStyle w:val="Caption"/>
        <w:jc w:val="center"/>
        <w:rPr>
          <w:sz w:val="24"/>
          <w:szCs w:val="24"/>
        </w:rPr>
      </w:pPr>
      <w:r w:rsidRPr="005425B2">
        <w:rPr>
          <w:sz w:val="24"/>
          <w:szCs w:val="24"/>
        </w:rPr>
        <w:t xml:space="preserve">Figure </w:t>
      </w:r>
      <w:r w:rsidRPr="005425B2">
        <w:rPr>
          <w:sz w:val="24"/>
          <w:szCs w:val="24"/>
        </w:rPr>
        <w:fldChar w:fldCharType="begin"/>
      </w:r>
      <w:r w:rsidRPr="005425B2">
        <w:rPr>
          <w:sz w:val="24"/>
          <w:szCs w:val="24"/>
        </w:rPr>
        <w:instrText xml:space="preserve"> STYLEREF 1 \s </w:instrText>
      </w:r>
      <w:r w:rsidRPr="005425B2">
        <w:rPr>
          <w:sz w:val="24"/>
          <w:szCs w:val="24"/>
        </w:rPr>
        <w:fldChar w:fldCharType="separate"/>
      </w:r>
      <w:r w:rsidRPr="005425B2">
        <w:rPr>
          <w:noProof/>
          <w:sz w:val="24"/>
          <w:szCs w:val="24"/>
          <w:cs/>
        </w:rPr>
        <w:t>‎</w:t>
      </w:r>
      <w:r w:rsidRPr="005425B2">
        <w:rPr>
          <w:noProof/>
          <w:sz w:val="24"/>
          <w:szCs w:val="24"/>
        </w:rPr>
        <w:t>4</w:t>
      </w:r>
      <w:r w:rsidRPr="005425B2">
        <w:rPr>
          <w:sz w:val="24"/>
          <w:szCs w:val="24"/>
        </w:rPr>
        <w:fldChar w:fldCharType="end"/>
      </w:r>
      <w:r w:rsidRPr="005425B2">
        <w:rPr>
          <w:sz w:val="24"/>
          <w:szCs w:val="24"/>
        </w:rPr>
        <w:t>.</w:t>
      </w:r>
      <w:r w:rsidRPr="005425B2">
        <w:rPr>
          <w:sz w:val="24"/>
          <w:szCs w:val="24"/>
        </w:rPr>
        <w:fldChar w:fldCharType="begin"/>
      </w:r>
      <w:r w:rsidRPr="005425B2">
        <w:rPr>
          <w:sz w:val="24"/>
          <w:szCs w:val="24"/>
        </w:rPr>
        <w:instrText xml:space="preserve"> SEQ Figure \* ARABIC \s 1 </w:instrText>
      </w:r>
      <w:r w:rsidRPr="005425B2">
        <w:rPr>
          <w:sz w:val="24"/>
          <w:szCs w:val="24"/>
        </w:rPr>
        <w:fldChar w:fldCharType="separate"/>
      </w:r>
      <w:r w:rsidRPr="005425B2">
        <w:rPr>
          <w:noProof/>
          <w:sz w:val="24"/>
          <w:szCs w:val="24"/>
        </w:rPr>
        <w:t>7</w:t>
      </w:r>
      <w:r w:rsidRPr="005425B2">
        <w:rPr>
          <w:sz w:val="24"/>
          <w:szCs w:val="24"/>
        </w:rPr>
        <w:fldChar w:fldCharType="end"/>
      </w:r>
      <w:r w:rsidRPr="005425B2">
        <w:rPr>
          <w:sz w:val="24"/>
          <w:szCs w:val="24"/>
        </w:rPr>
        <w:t>: Hazard Quotient map for study area</w:t>
      </w:r>
    </w:p>
    <w:p w14:paraId="33CF6FBD" w14:textId="25D7E744" w:rsidR="00F46AFF" w:rsidRDefault="00475702" w:rsidP="00F46AFF">
      <w:r w:rsidRPr="005A15A2">
        <w:br w:type="page"/>
      </w:r>
    </w:p>
    <w:p w14:paraId="3A70D788" w14:textId="77777777" w:rsidR="00F46AFF" w:rsidRDefault="00F46AFF" w:rsidP="00F46AFF"/>
    <w:p w14:paraId="26EE24B7" w14:textId="37FE863E" w:rsidR="00F16472" w:rsidRPr="005A15A2" w:rsidRDefault="00F16472" w:rsidP="00F46AFF">
      <w:pPr>
        <w:pStyle w:val="Heading1"/>
      </w:pPr>
      <w:bookmarkStart w:id="17" w:name="_Toc137645817"/>
      <w:r w:rsidRPr="00F46AFF">
        <w:t>Conclusion</w:t>
      </w:r>
      <w:bookmarkEnd w:id="17"/>
    </w:p>
    <w:p w14:paraId="3367C34C" w14:textId="65452595" w:rsidR="00F16472" w:rsidRPr="005A15A2" w:rsidRDefault="005A15A2" w:rsidP="00F46AFF">
      <w:pPr>
        <w:spacing w:line="360" w:lineRule="auto"/>
        <w:jc w:val="both"/>
        <w:rPr>
          <w:rFonts w:asciiTheme="majorBidi" w:hAnsiTheme="majorBidi" w:cstheme="majorBidi"/>
          <w:sz w:val="24"/>
          <w:szCs w:val="24"/>
        </w:rPr>
      </w:pPr>
      <w:r w:rsidRPr="005A15A2">
        <w:rPr>
          <w:rFonts w:asciiTheme="majorBidi" w:hAnsiTheme="majorBidi" w:cstheme="majorBidi"/>
          <w:sz w:val="24"/>
          <w:szCs w:val="24"/>
        </w:rPr>
        <w:t xml:space="preserve">In conclusion, this study undertook a comprehensive assessment of health risks and hydrochemical characteristics associated with sodium contamination in the drinking water of District Gujrat, Punjab, Pakistan. The investigation encompassed multiple tehsils within the region, including Gujrat, Kharianwala, and Sara-e-Alamgir, with a total of 407 samples analyzed. Findings revealed that 95% of the samples met the standards set by the World Health Organization (WHO) for electrical conductivity (EC), while 5% exceeded the recommended limits. Likewise, within the parameters of Total Dissolved Solids (TDS), the presence of sodium, potassium, chloride, and sulfate ions caused 7% of the samples to surpass the established thresholds, while 93% remained within acceptable levels. Elevated levels of sodium and potassium were detected in 6% and 3% of the samples, respectively, surpassing WHO guidelines. Additionally, notable water contaminants such as fluoride, sulfate, and chloride were present in 2-6% of the samples, exceeding WHO standards. pH levels ranged from 3 to 9, with 92% of the samples falling within the recommended WHO range. Hardness values varied from 30 to 1450 mg/l, with 94.84% of the samples falling within acceptable limits. Bicarbonate concentrations complied with WHO standards in 83% of the samples. Calcium and magnesium levels were within the acceptable range for 99% of the samples. The majority of anions, including nitrate, phosphate, fluoride, and iron, were within the acceptable limits for more than 99% of the samples. The analysis of water chemistry using the Gibbs plot indicated that the hydrochemical characteristics of District Gujrat are primarily influenced by rock dominance and evaporation crystallization processes. The Piper diagram was employed to assess water chemistry. The agricultural risk analysis encompassed evaluating parameters such as Sodium Adsorption Ratio (SAR), sodium percentage, magnesium percentage, Kelley's ratio, and total hardness, while health risk assessment focused on analyzing fluoride contamination and hazard quotient. These findings emphasize the critical need to address the issue of sodium contamination and implement appropriate mitigation measures to safeguard public health and ensure the provision of safe drinking water in District Gujrat. </w:t>
      </w:r>
    </w:p>
    <w:p w14:paraId="255821E8" w14:textId="0EDE847D" w:rsidR="00A828E5" w:rsidRPr="005A15A2" w:rsidRDefault="00A828E5" w:rsidP="00F46AFF">
      <w:pPr>
        <w:rPr>
          <w:rFonts w:asciiTheme="majorBidi" w:hAnsiTheme="majorBidi" w:cstheme="majorBidi"/>
          <w:sz w:val="24"/>
          <w:szCs w:val="24"/>
        </w:rPr>
      </w:pPr>
    </w:p>
    <w:p w14:paraId="409D3A86" w14:textId="0E9A3C93" w:rsidR="00A828E5" w:rsidRPr="005A15A2" w:rsidRDefault="00A828E5" w:rsidP="00F46AFF">
      <w:pPr>
        <w:rPr>
          <w:rFonts w:asciiTheme="majorBidi" w:hAnsiTheme="majorBidi" w:cstheme="majorBidi"/>
          <w:sz w:val="24"/>
          <w:szCs w:val="24"/>
        </w:rPr>
      </w:pPr>
    </w:p>
    <w:sectPr w:rsidR="00A828E5" w:rsidRPr="005A1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11D65"/>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425072E"/>
    <w:multiLevelType w:val="hybridMultilevel"/>
    <w:tmpl w:val="64DA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BE73C9"/>
    <w:multiLevelType w:val="multilevel"/>
    <w:tmpl w:val="39AE4A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492766522">
    <w:abstractNumId w:val="1"/>
  </w:num>
  <w:num w:numId="2" w16cid:durableId="531772851">
    <w:abstractNumId w:val="2"/>
  </w:num>
  <w:num w:numId="3" w16cid:durableId="703142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8B1"/>
    <w:rsid w:val="00024835"/>
    <w:rsid w:val="00041ABB"/>
    <w:rsid w:val="0005235F"/>
    <w:rsid w:val="000A7708"/>
    <w:rsid w:val="000C14B7"/>
    <w:rsid w:val="00122451"/>
    <w:rsid w:val="00154CDB"/>
    <w:rsid w:val="00175E7D"/>
    <w:rsid w:val="001827CB"/>
    <w:rsid w:val="001A7878"/>
    <w:rsid w:val="001C20CC"/>
    <w:rsid w:val="001D18B0"/>
    <w:rsid w:val="001D3B56"/>
    <w:rsid w:val="002200F5"/>
    <w:rsid w:val="002F76FA"/>
    <w:rsid w:val="0031647D"/>
    <w:rsid w:val="00356D91"/>
    <w:rsid w:val="003618B1"/>
    <w:rsid w:val="00366B22"/>
    <w:rsid w:val="00377D7A"/>
    <w:rsid w:val="003D6D92"/>
    <w:rsid w:val="00402DC2"/>
    <w:rsid w:val="00475702"/>
    <w:rsid w:val="004C7A19"/>
    <w:rsid w:val="004D10E9"/>
    <w:rsid w:val="004D3366"/>
    <w:rsid w:val="004F7F77"/>
    <w:rsid w:val="005201EB"/>
    <w:rsid w:val="00526306"/>
    <w:rsid w:val="005425B2"/>
    <w:rsid w:val="005508D7"/>
    <w:rsid w:val="005602F4"/>
    <w:rsid w:val="005A15A2"/>
    <w:rsid w:val="005C7D17"/>
    <w:rsid w:val="005E30F9"/>
    <w:rsid w:val="006028E3"/>
    <w:rsid w:val="006479DA"/>
    <w:rsid w:val="00650D55"/>
    <w:rsid w:val="006C4472"/>
    <w:rsid w:val="006C57CC"/>
    <w:rsid w:val="006D036C"/>
    <w:rsid w:val="006E6886"/>
    <w:rsid w:val="006F0C43"/>
    <w:rsid w:val="006F50D7"/>
    <w:rsid w:val="00707D19"/>
    <w:rsid w:val="00734818"/>
    <w:rsid w:val="007C0D0F"/>
    <w:rsid w:val="007E3F1B"/>
    <w:rsid w:val="007F11AA"/>
    <w:rsid w:val="00803C58"/>
    <w:rsid w:val="00862CE0"/>
    <w:rsid w:val="00864588"/>
    <w:rsid w:val="008A4C98"/>
    <w:rsid w:val="008A5D4D"/>
    <w:rsid w:val="008A79C0"/>
    <w:rsid w:val="008C002E"/>
    <w:rsid w:val="00901656"/>
    <w:rsid w:val="009312A5"/>
    <w:rsid w:val="00962E4B"/>
    <w:rsid w:val="0097047A"/>
    <w:rsid w:val="009D1E5B"/>
    <w:rsid w:val="009D5091"/>
    <w:rsid w:val="009D6ADE"/>
    <w:rsid w:val="00A63FF0"/>
    <w:rsid w:val="00A73303"/>
    <w:rsid w:val="00A828E5"/>
    <w:rsid w:val="00A95A39"/>
    <w:rsid w:val="00BA1AE2"/>
    <w:rsid w:val="00C17EAE"/>
    <w:rsid w:val="00C437A9"/>
    <w:rsid w:val="00C44787"/>
    <w:rsid w:val="00C817ED"/>
    <w:rsid w:val="00CC7788"/>
    <w:rsid w:val="00CE3BB1"/>
    <w:rsid w:val="00D23AD2"/>
    <w:rsid w:val="00DC1D56"/>
    <w:rsid w:val="00E951BF"/>
    <w:rsid w:val="00EB41EF"/>
    <w:rsid w:val="00ED47BE"/>
    <w:rsid w:val="00EF24CE"/>
    <w:rsid w:val="00F00620"/>
    <w:rsid w:val="00F16472"/>
    <w:rsid w:val="00F42599"/>
    <w:rsid w:val="00F46AFF"/>
    <w:rsid w:val="00F473BD"/>
    <w:rsid w:val="00F6380D"/>
    <w:rsid w:val="00F926AF"/>
    <w:rsid w:val="00FC59F7"/>
    <w:rsid w:val="00FE78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AE5B2"/>
  <w15:chartTrackingRefBased/>
  <w15:docId w15:val="{B262FC6C-5DD4-4823-B5D6-2C1FCBA5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59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259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259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259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259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259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259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259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259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C98"/>
    <w:pPr>
      <w:ind w:left="720"/>
      <w:contextualSpacing/>
    </w:pPr>
  </w:style>
  <w:style w:type="table" w:styleId="GridTable5Dark-Accent5">
    <w:name w:val="Grid Table 5 Dark Accent 5"/>
    <w:basedOn w:val="TableNormal"/>
    <w:uiPriority w:val="50"/>
    <w:rsid w:val="000523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C17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17E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F16472"/>
    <w:rPr>
      <w:color w:val="808080"/>
    </w:rPr>
  </w:style>
  <w:style w:type="table" w:styleId="GridTable5Dark-Accent1">
    <w:name w:val="Grid Table 5 Dark Accent 1"/>
    <w:basedOn w:val="TableNormal"/>
    <w:uiPriority w:val="50"/>
    <w:rsid w:val="006F50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rmalWeb">
    <w:name w:val="Normal (Web)"/>
    <w:basedOn w:val="Normal"/>
    <w:uiPriority w:val="99"/>
    <w:unhideWhenUsed/>
    <w:rsid w:val="0097047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F425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25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25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25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25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25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25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25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2599"/>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4259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24835"/>
    <w:pPr>
      <w:numPr>
        <w:numId w:val="0"/>
      </w:numPr>
      <w:outlineLvl w:val="9"/>
    </w:pPr>
    <w:rPr>
      <w:kern w:val="0"/>
      <w14:ligatures w14:val="none"/>
    </w:rPr>
  </w:style>
  <w:style w:type="paragraph" w:styleId="TOC1">
    <w:name w:val="toc 1"/>
    <w:basedOn w:val="Normal"/>
    <w:next w:val="Normal"/>
    <w:autoRedefine/>
    <w:uiPriority w:val="39"/>
    <w:unhideWhenUsed/>
    <w:rsid w:val="00024835"/>
    <w:pPr>
      <w:spacing w:after="100"/>
    </w:pPr>
  </w:style>
  <w:style w:type="paragraph" w:styleId="TOC2">
    <w:name w:val="toc 2"/>
    <w:basedOn w:val="Normal"/>
    <w:next w:val="Normal"/>
    <w:autoRedefine/>
    <w:uiPriority w:val="39"/>
    <w:unhideWhenUsed/>
    <w:rsid w:val="00024835"/>
    <w:pPr>
      <w:spacing w:after="100"/>
      <w:ind w:left="220"/>
    </w:pPr>
  </w:style>
  <w:style w:type="paragraph" w:styleId="TOC3">
    <w:name w:val="toc 3"/>
    <w:basedOn w:val="Normal"/>
    <w:next w:val="Normal"/>
    <w:autoRedefine/>
    <w:uiPriority w:val="39"/>
    <w:unhideWhenUsed/>
    <w:rsid w:val="00024835"/>
    <w:pPr>
      <w:spacing w:after="100"/>
      <w:ind w:left="440"/>
    </w:pPr>
  </w:style>
  <w:style w:type="character" w:styleId="Hyperlink">
    <w:name w:val="Hyperlink"/>
    <w:basedOn w:val="DefaultParagraphFont"/>
    <w:uiPriority w:val="99"/>
    <w:unhideWhenUsed/>
    <w:rsid w:val="000248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92">
      <w:bodyDiv w:val="1"/>
      <w:marLeft w:val="0"/>
      <w:marRight w:val="0"/>
      <w:marTop w:val="0"/>
      <w:marBottom w:val="0"/>
      <w:divBdr>
        <w:top w:val="none" w:sz="0" w:space="0" w:color="auto"/>
        <w:left w:val="none" w:sz="0" w:space="0" w:color="auto"/>
        <w:bottom w:val="none" w:sz="0" w:space="0" w:color="auto"/>
        <w:right w:val="none" w:sz="0" w:space="0" w:color="auto"/>
      </w:divBdr>
    </w:div>
    <w:div w:id="68159221">
      <w:bodyDiv w:val="1"/>
      <w:marLeft w:val="0"/>
      <w:marRight w:val="0"/>
      <w:marTop w:val="0"/>
      <w:marBottom w:val="0"/>
      <w:divBdr>
        <w:top w:val="none" w:sz="0" w:space="0" w:color="auto"/>
        <w:left w:val="none" w:sz="0" w:space="0" w:color="auto"/>
        <w:bottom w:val="none" w:sz="0" w:space="0" w:color="auto"/>
        <w:right w:val="none" w:sz="0" w:space="0" w:color="auto"/>
      </w:divBdr>
    </w:div>
    <w:div w:id="118912202">
      <w:bodyDiv w:val="1"/>
      <w:marLeft w:val="0"/>
      <w:marRight w:val="0"/>
      <w:marTop w:val="0"/>
      <w:marBottom w:val="0"/>
      <w:divBdr>
        <w:top w:val="none" w:sz="0" w:space="0" w:color="auto"/>
        <w:left w:val="none" w:sz="0" w:space="0" w:color="auto"/>
        <w:bottom w:val="none" w:sz="0" w:space="0" w:color="auto"/>
        <w:right w:val="none" w:sz="0" w:space="0" w:color="auto"/>
      </w:divBdr>
    </w:div>
    <w:div w:id="142743736">
      <w:bodyDiv w:val="1"/>
      <w:marLeft w:val="0"/>
      <w:marRight w:val="0"/>
      <w:marTop w:val="0"/>
      <w:marBottom w:val="0"/>
      <w:divBdr>
        <w:top w:val="none" w:sz="0" w:space="0" w:color="auto"/>
        <w:left w:val="none" w:sz="0" w:space="0" w:color="auto"/>
        <w:bottom w:val="none" w:sz="0" w:space="0" w:color="auto"/>
        <w:right w:val="none" w:sz="0" w:space="0" w:color="auto"/>
      </w:divBdr>
    </w:div>
    <w:div w:id="321660632">
      <w:bodyDiv w:val="1"/>
      <w:marLeft w:val="0"/>
      <w:marRight w:val="0"/>
      <w:marTop w:val="0"/>
      <w:marBottom w:val="0"/>
      <w:divBdr>
        <w:top w:val="none" w:sz="0" w:space="0" w:color="auto"/>
        <w:left w:val="none" w:sz="0" w:space="0" w:color="auto"/>
        <w:bottom w:val="none" w:sz="0" w:space="0" w:color="auto"/>
        <w:right w:val="none" w:sz="0" w:space="0" w:color="auto"/>
      </w:divBdr>
    </w:div>
    <w:div w:id="423113562">
      <w:bodyDiv w:val="1"/>
      <w:marLeft w:val="0"/>
      <w:marRight w:val="0"/>
      <w:marTop w:val="0"/>
      <w:marBottom w:val="0"/>
      <w:divBdr>
        <w:top w:val="none" w:sz="0" w:space="0" w:color="auto"/>
        <w:left w:val="none" w:sz="0" w:space="0" w:color="auto"/>
        <w:bottom w:val="none" w:sz="0" w:space="0" w:color="auto"/>
        <w:right w:val="none" w:sz="0" w:space="0" w:color="auto"/>
      </w:divBdr>
    </w:div>
    <w:div w:id="436566438">
      <w:bodyDiv w:val="1"/>
      <w:marLeft w:val="0"/>
      <w:marRight w:val="0"/>
      <w:marTop w:val="0"/>
      <w:marBottom w:val="0"/>
      <w:divBdr>
        <w:top w:val="none" w:sz="0" w:space="0" w:color="auto"/>
        <w:left w:val="none" w:sz="0" w:space="0" w:color="auto"/>
        <w:bottom w:val="none" w:sz="0" w:space="0" w:color="auto"/>
        <w:right w:val="none" w:sz="0" w:space="0" w:color="auto"/>
      </w:divBdr>
    </w:div>
    <w:div w:id="605118209">
      <w:bodyDiv w:val="1"/>
      <w:marLeft w:val="0"/>
      <w:marRight w:val="0"/>
      <w:marTop w:val="0"/>
      <w:marBottom w:val="0"/>
      <w:divBdr>
        <w:top w:val="none" w:sz="0" w:space="0" w:color="auto"/>
        <w:left w:val="none" w:sz="0" w:space="0" w:color="auto"/>
        <w:bottom w:val="none" w:sz="0" w:space="0" w:color="auto"/>
        <w:right w:val="none" w:sz="0" w:space="0" w:color="auto"/>
      </w:divBdr>
      <w:divsChild>
        <w:div w:id="564681288">
          <w:marLeft w:val="0"/>
          <w:marRight w:val="0"/>
          <w:marTop w:val="0"/>
          <w:marBottom w:val="0"/>
          <w:divBdr>
            <w:top w:val="none" w:sz="0" w:space="0" w:color="auto"/>
            <w:left w:val="none" w:sz="0" w:space="0" w:color="auto"/>
            <w:bottom w:val="none" w:sz="0" w:space="0" w:color="auto"/>
            <w:right w:val="none" w:sz="0" w:space="0" w:color="auto"/>
          </w:divBdr>
          <w:divsChild>
            <w:div w:id="235942036">
              <w:marLeft w:val="0"/>
              <w:marRight w:val="0"/>
              <w:marTop w:val="0"/>
              <w:marBottom w:val="0"/>
              <w:divBdr>
                <w:top w:val="none" w:sz="0" w:space="0" w:color="auto"/>
                <w:left w:val="none" w:sz="0" w:space="0" w:color="auto"/>
                <w:bottom w:val="none" w:sz="0" w:space="0" w:color="auto"/>
                <w:right w:val="none" w:sz="0" w:space="0" w:color="auto"/>
              </w:divBdr>
              <w:divsChild>
                <w:div w:id="10325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37540">
      <w:bodyDiv w:val="1"/>
      <w:marLeft w:val="0"/>
      <w:marRight w:val="0"/>
      <w:marTop w:val="0"/>
      <w:marBottom w:val="0"/>
      <w:divBdr>
        <w:top w:val="none" w:sz="0" w:space="0" w:color="auto"/>
        <w:left w:val="none" w:sz="0" w:space="0" w:color="auto"/>
        <w:bottom w:val="none" w:sz="0" w:space="0" w:color="auto"/>
        <w:right w:val="none" w:sz="0" w:space="0" w:color="auto"/>
      </w:divBdr>
    </w:div>
    <w:div w:id="753893078">
      <w:bodyDiv w:val="1"/>
      <w:marLeft w:val="0"/>
      <w:marRight w:val="0"/>
      <w:marTop w:val="0"/>
      <w:marBottom w:val="0"/>
      <w:divBdr>
        <w:top w:val="none" w:sz="0" w:space="0" w:color="auto"/>
        <w:left w:val="none" w:sz="0" w:space="0" w:color="auto"/>
        <w:bottom w:val="none" w:sz="0" w:space="0" w:color="auto"/>
        <w:right w:val="none" w:sz="0" w:space="0" w:color="auto"/>
      </w:divBdr>
    </w:div>
    <w:div w:id="776755657">
      <w:bodyDiv w:val="1"/>
      <w:marLeft w:val="0"/>
      <w:marRight w:val="0"/>
      <w:marTop w:val="0"/>
      <w:marBottom w:val="0"/>
      <w:divBdr>
        <w:top w:val="none" w:sz="0" w:space="0" w:color="auto"/>
        <w:left w:val="none" w:sz="0" w:space="0" w:color="auto"/>
        <w:bottom w:val="none" w:sz="0" w:space="0" w:color="auto"/>
        <w:right w:val="none" w:sz="0" w:space="0" w:color="auto"/>
      </w:divBdr>
    </w:div>
    <w:div w:id="785079489">
      <w:bodyDiv w:val="1"/>
      <w:marLeft w:val="0"/>
      <w:marRight w:val="0"/>
      <w:marTop w:val="0"/>
      <w:marBottom w:val="0"/>
      <w:divBdr>
        <w:top w:val="none" w:sz="0" w:space="0" w:color="auto"/>
        <w:left w:val="none" w:sz="0" w:space="0" w:color="auto"/>
        <w:bottom w:val="none" w:sz="0" w:space="0" w:color="auto"/>
        <w:right w:val="none" w:sz="0" w:space="0" w:color="auto"/>
      </w:divBdr>
    </w:div>
    <w:div w:id="817455350">
      <w:bodyDiv w:val="1"/>
      <w:marLeft w:val="0"/>
      <w:marRight w:val="0"/>
      <w:marTop w:val="0"/>
      <w:marBottom w:val="0"/>
      <w:divBdr>
        <w:top w:val="none" w:sz="0" w:space="0" w:color="auto"/>
        <w:left w:val="none" w:sz="0" w:space="0" w:color="auto"/>
        <w:bottom w:val="none" w:sz="0" w:space="0" w:color="auto"/>
        <w:right w:val="none" w:sz="0" w:space="0" w:color="auto"/>
      </w:divBdr>
    </w:div>
    <w:div w:id="835192664">
      <w:bodyDiv w:val="1"/>
      <w:marLeft w:val="0"/>
      <w:marRight w:val="0"/>
      <w:marTop w:val="0"/>
      <w:marBottom w:val="0"/>
      <w:divBdr>
        <w:top w:val="none" w:sz="0" w:space="0" w:color="auto"/>
        <w:left w:val="none" w:sz="0" w:space="0" w:color="auto"/>
        <w:bottom w:val="none" w:sz="0" w:space="0" w:color="auto"/>
        <w:right w:val="none" w:sz="0" w:space="0" w:color="auto"/>
      </w:divBdr>
    </w:div>
    <w:div w:id="945699136">
      <w:bodyDiv w:val="1"/>
      <w:marLeft w:val="0"/>
      <w:marRight w:val="0"/>
      <w:marTop w:val="0"/>
      <w:marBottom w:val="0"/>
      <w:divBdr>
        <w:top w:val="none" w:sz="0" w:space="0" w:color="auto"/>
        <w:left w:val="none" w:sz="0" w:space="0" w:color="auto"/>
        <w:bottom w:val="none" w:sz="0" w:space="0" w:color="auto"/>
        <w:right w:val="none" w:sz="0" w:space="0" w:color="auto"/>
      </w:divBdr>
    </w:div>
    <w:div w:id="950355791">
      <w:bodyDiv w:val="1"/>
      <w:marLeft w:val="0"/>
      <w:marRight w:val="0"/>
      <w:marTop w:val="0"/>
      <w:marBottom w:val="0"/>
      <w:divBdr>
        <w:top w:val="none" w:sz="0" w:space="0" w:color="auto"/>
        <w:left w:val="none" w:sz="0" w:space="0" w:color="auto"/>
        <w:bottom w:val="none" w:sz="0" w:space="0" w:color="auto"/>
        <w:right w:val="none" w:sz="0" w:space="0" w:color="auto"/>
      </w:divBdr>
    </w:div>
    <w:div w:id="980311845">
      <w:bodyDiv w:val="1"/>
      <w:marLeft w:val="0"/>
      <w:marRight w:val="0"/>
      <w:marTop w:val="0"/>
      <w:marBottom w:val="0"/>
      <w:divBdr>
        <w:top w:val="none" w:sz="0" w:space="0" w:color="auto"/>
        <w:left w:val="none" w:sz="0" w:space="0" w:color="auto"/>
        <w:bottom w:val="none" w:sz="0" w:space="0" w:color="auto"/>
        <w:right w:val="none" w:sz="0" w:space="0" w:color="auto"/>
      </w:divBdr>
    </w:div>
    <w:div w:id="1081564033">
      <w:bodyDiv w:val="1"/>
      <w:marLeft w:val="0"/>
      <w:marRight w:val="0"/>
      <w:marTop w:val="0"/>
      <w:marBottom w:val="0"/>
      <w:divBdr>
        <w:top w:val="none" w:sz="0" w:space="0" w:color="auto"/>
        <w:left w:val="none" w:sz="0" w:space="0" w:color="auto"/>
        <w:bottom w:val="none" w:sz="0" w:space="0" w:color="auto"/>
        <w:right w:val="none" w:sz="0" w:space="0" w:color="auto"/>
      </w:divBdr>
    </w:div>
    <w:div w:id="1086271986">
      <w:bodyDiv w:val="1"/>
      <w:marLeft w:val="0"/>
      <w:marRight w:val="0"/>
      <w:marTop w:val="0"/>
      <w:marBottom w:val="0"/>
      <w:divBdr>
        <w:top w:val="none" w:sz="0" w:space="0" w:color="auto"/>
        <w:left w:val="none" w:sz="0" w:space="0" w:color="auto"/>
        <w:bottom w:val="none" w:sz="0" w:space="0" w:color="auto"/>
        <w:right w:val="none" w:sz="0" w:space="0" w:color="auto"/>
      </w:divBdr>
    </w:div>
    <w:div w:id="1107502088">
      <w:bodyDiv w:val="1"/>
      <w:marLeft w:val="0"/>
      <w:marRight w:val="0"/>
      <w:marTop w:val="0"/>
      <w:marBottom w:val="0"/>
      <w:divBdr>
        <w:top w:val="none" w:sz="0" w:space="0" w:color="auto"/>
        <w:left w:val="none" w:sz="0" w:space="0" w:color="auto"/>
        <w:bottom w:val="none" w:sz="0" w:space="0" w:color="auto"/>
        <w:right w:val="none" w:sz="0" w:space="0" w:color="auto"/>
      </w:divBdr>
      <w:divsChild>
        <w:div w:id="596713099">
          <w:marLeft w:val="0"/>
          <w:marRight w:val="0"/>
          <w:marTop w:val="0"/>
          <w:marBottom w:val="0"/>
          <w:divBdr>
            <w:top w:val="none" w:sz="0" w:space="0" w:color="auto"/>
            <w:left w:val="none" w:sz="0" w:space="0" w:color="auto"/>
            <w:bottom w:val="none" w:sz="0" w:space="0" w:color="auto"/>
            <w:right w:val="none" w:sz="0" w:space="0" w:color="auto"/>
          </w:divBdr>
          <w:divsChild>
            <w:div w:id="1114401690">
              <w:marLeft w:val="0"/>
              <w:marRight w:val="0"/>
              <w:marTop w:val="0"/>
              <w:marBottom w:val="0"/>
              <w:divBdr>
                <w:top w:val="none" w:sz="0" w:space="0" w:color="auto"/>
                <w:left w:val="none" w:sz="0" w:space="0" w:color="auto"/>
                <w:bottom w:val="none" w:sz="0" w:space="0" w:color="auto"/>
                <w:right w:val="none" w:sz="0" w:space="0" w:color="auto"/>
              </w:divBdr>
              <w:divsChild>
                <w:div w:id="14868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09918">
      <w:bodyDiv w:val="1"/>
      <w:marLeft w:val="0"/>
      <w:marRight w:val="0"/>
      <w:marTop w:val="0"/>
      <w:marBottom w:val="0"/>
      <w:divBdr>
        <w:top w:val="none" w:sz="0" w:space="0" w:color="auto"/>
        <w:left w:val="none" w:sz="0" w:space="0" w:color="auto"/>
        <w:bottom w:val="none" w:sz="0" w:space="0" w:color="auto"/>
        <w:right w:val="none" w:sz="0" w:space="0" w:color="auto"/>
      </w:divBdr>
    </w:div>
    <w:div w:id="1284575218">
      <w:bodyDiv w:val="1"/>
      <w:marLeft w:val="0"/>
      <w:marRight w:val="0"/>
      <w:marTop w:val="0"/>
      <w:marBottom w:val="0"/>
      <w:divBdr>
        <w:top w:val="none" w:sz="0" w:space="0" w:color="auto"/>
        <w:left w:val="none" w:sz="0" w:space="0" w:color="auto"/>
        <w:bottom w:val="none" w:sz="0" w:space="0" w:color="auto"/>
        <w:right w:val="none" w:sz="0" w:space="0" w:color="auto"/>
      </w:divBdr>
    </w:div>
    <w:div w:id="1408527929">
      <w:bodyDiv w:val="1"/>
      <w:marLeft w:val="0"/>
      <w:marRight w:val="0"/>
      <w:marTop w:val="0"/>
      <w:marBottom w:val="0"/>
      <w:divBdr>
        <w:top w:val="none" w:sz="0" w:space="0" w:color="auto"/>
        <w:left w:val="none" w:sz="0" w:space="0" w:color="auto"/>
        <w:bottom w:val="none" w:sz="0" w:space="0" w:color="auto"/>
        <w:right w:val="none" w:sz="0" w:space="0" w:color="auto"/>
      </w:divBdr>
    </w:div>
    <w:div w:id="1553227415">
      <w:bodyDiv w:val="1"/>
      <w:marLeft w:val="0"/>
      <w:marRight w:val="0"/>
      <w:marTop w:val="0"/>
      <w:marBottom w:val="0"/>
      <w:divBdr>
        <w:top w:val="none" w:sz="0" w:space="0" w:color="auto"/>
        <w:left w:val="none" w:sz="0" w:space="0" w:color="auto"/>
        <w:bottom w:val="none" w:sz="0" w:space="0" w:color="auto"/>
        <w:right w:val="none" w:sz="0" w:space="0" w:color="auto"/>
      </w:divBdr>
    </w:div>
    <w:div w:id="1617982528">
      <w:bodyDiv w:val="1"/>
      <w:marLeft w:val="0"/>
      <w:marRight w:val="0"/>
      <w:marTop w:val="0"/>
      <w:marBottom w:val="0"/>
      <w:divBdr>
        <w:top w:val="none" w:sz="0" w:space="0" w:color="auto"/>
        <w:left w:val="none" w:sz="0" w:space="0" w:color="auto"/>
        <w:bottom w:val="none" w:sz="0" w:space="0" w:color="auto"/>
        <w:right w:val="none" w:sz="0" w:space="0" w:color="auto"/>
      </w:divBdr>
      <w:divsChild>
        <w:div w:id="570895415">
          <w:marLeft w:val="0"/>
          <w:marRight w:val="0"/>
          <w:marTop w:val="0"/>
          <w:marBottom w:val="0"/>
          <w:divBdr>
            <w:top w:val="none" w:sz="0" w:space="0" w:color="auto"/>
            <w:left w:val="none" w:sz="0" w:space="0" w:color="auto"/>
            <w:bottom w:val="none" w:sz="0" w:space="0" w:color="auto"/>
            <w:right w:val="none" w:sz="0" w:space="0" w:color="auto"/>
          </w:divBdr>
          <w:divsChild>
            <w:div w:id="381517176">
              <w:marLeft w:val="0"/>
              <w:marRight w:val="0"/>
              <w:marTop w:val="0"/>
              <w:marBottom w:val="0"/>
              <w:divBdr>
                <w:top w:val="none" w:sz="0" w:space="0" w:color="auto"/>
                <w:left w:val="none" w:sz="0" w:space="0" w:color="auto"/>
                <w:bottom w:val="none" w:sz="0" w:space="0" w:color="auto"/>
                <w:right w:val="none" w:sz="0" w:space="0" w:color="auto"/>
              </w:divBdr>
              <w:divsChild>
                <w:div w:id="6729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169498">
      <w:bodyDiv w:val="1"/>
      <w:marLeft w:val="0"/>
      <w:marRight w:val="0"/>
      <w:marTop w:val="0"/>
      <w:marBottom w:val="0"/>
      <w:divBdr>
        <w:top w:val="none" w:sz="0" w:space="0" w:color="auto"/>
        <w:left w:val="none" w:sz="0" w:space="0" w:color="auto"/>
        <w:bottom w:val="none" w:sz="0" w:space="0" w:color="auto"/>
        <w:right w:val="none" w:sz="0" w:space="0" w:color="auto"/>
      </w:divBdr>
      <w:divsChild>
        <w:div w:id="312759801">
          <w:marLeft w:val="0"/>
          <w:marRight w:val="0"/>
          <w:marTop w:val="0"/>
          <w:marBottom w:val="0"/>
          <w:divBdr>
            <w:top w:val="none" w:sz="0" w:space="0" w:color="auto"/>
            <w:left w:val="none" w:sz="0" w:space="0" w:color="auto"/>
            <w:bottom w:val="none" w:sz="0" w:space="0" w:color="auto"/>
            <w:right w:val="none" w:sz="0" w:space="0" w:color="auto"/>
          </w:divBdr>
          <w:divsChild>
            <w:div w:id="1686252657">
              <w:marLeft w:val="0"/>
              <w:marRight w:val="0"/>
              <w:marTop w:val="0"/>
              <w:marBottom w:val="0"/>
              <w:divBdr>
                <w:top w:val="none" w:sz="0" w:space="0" w:color="auto"/>
                <w:left w:val="none" w:sz="0" w:space="0" w:color="auto"/>
                <w:bottom w:val="none" w:sz="0" w:space="0" w:color="auto"/>
                <w:right w:val="none" w:sz="0" w:space="0" w:color="auto"/>
              </w:divBdr>
              <w:divsChild>
                <w:div w:id="11980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71235">
      <w:bodyDiv w:val="1"/>
      <w:marLeft w:val="0"/>
      <w:marRight w:val="0"/>
      <w:marTop w:val="0"/>
      <w:marBottom w:val="0"/>
      <w:divBdr>
        <w:top w:val="none" w:sz="0" w:space="0" w:color="auto"/>
        <w:left w:val="none" w:sz="0" w:space="0" w:color="auto"/>
        <w:bottom w:val="none" w:sz="0" w:space="0" w:color="auto"/>
        <w:right w:val="none" w:sz="0" w:space="0" w:color="auto"/>
      </w:divBdr>
    </w:div>
    <w:div w:id="1969974697">
      <w:bodyDiv w:val="1"/>
      <w:marLeft w:val="0"/>
      <w:marRight w:val="0"/>
      <w:marTop w:val="0"/>
      <w:marBottom w:val="0"/>
      <w:divBdr>
        <w:top w:val="none" w:sz="0" w:space="0" w:color="auto"/>
        <w:left w:val="none" w:sz="0" w:space="0" w:color="auto"/>
        <w:bottom w:val="none" w:sz="0" w:space="0" w:color="auto"/>
        <w:right w:val="none" w:sz="0" w:space="0" w:color="auto"/>
      </w:divBdr>
    </w:div>
    <w:div w:id="214102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jpeg" /><Relationship Id="rId3" Type="http://schemas.openxmlformats.org/officeDocument/2006/relationships/styles" Target="styles.xml" /><Relationship Id="rId7" Type="http://schemas.openxmlformats.org/officeDocument/2006/relationships/image" Target="media/image2.jpeg" /><Relationship Id="rId12" Type="http://schemas.openxmlformats.org/officeDocument/2006/relationships/image" Target="media/image7.pn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pn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5.jpeg" /><Relationship Id="rId4" Type="http://schemas.openxmlformats.org/officeDocument/2006/relationships/settings" Target="settings.xml" /><Relationship Id="rId9" Type="http://schemas.openxmlformats.org/officeDocument/2006/relationships/image" Target="media/image4.jpeg" /><Relationship Id="rId14" Type="http://schemas.openxmlformats.org/officeDocument/2006/relationships/image" Target="media/image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C3724-2B9E-43BA-8D19-1881B647C96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5301</Words>
  <Characters>30222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AIMEN MUSHTAQ</dc:creator>
  <cp:keywords/>
  <dc:description/>
  <cp:lastModifiedBy>MUHAMMAD USMAN</cp:lastModifiedBy>
  <cp:revision>2</cp:revision>
  <cp:lastPrinted>2023-05-01T17:49:00Z</cp:lastPrinted>
  <dcterms:created xsi:type="dcterms:W3CDTF">2024-07-30T09:41:00Z</dcterms:created>
  <dcterms:modified xsi:type="dcterms:W3CDTF">2024-07-30T09:41:00Z</dcterms:modified>
</cp:coreProperties>
</file>