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41BC5" w14:textId="77777777" w:rsidR="006003AD" w:rsidRDefault="006003AD" w:rsidP="006003AD">
      <w:pPr>
        <w:spacing w:line="1" w:lineRule="exact"/>
      </w:pPr>
      <w:r>
        <w:rPr>
          <w:noProof/>
        </w:rPr>
        <mc:AlternateContent>
          <mc:Choice Requires="wps">
            <w:drawing>
              <wp:anchor distT="5715" distB="101600" distL="0" distR="0" simplePos="0" relativeHeight="251661312" behindDoc="0" locked="0" layoutInCell="1" allowOverlap="1" wp14:anchorId="25B7F003" wp14:editId="1C7F5A17">
                <wp:simplePos x="0" y="0"/>
                <wp:positionH relativeFrom="page">
                  <wp:posOffset>972820</wp:posOffset>
                </wp:positionH>
                <wp:positionV relativeFrom="paragraph">
                  <wp:posOffset>5715</wp:posOffset>
                </wp:positionV>
                <wp:extent cx="132715" cy="173990"/>
                <wp:effectExtent l="0" t="0" r="0" b="0"/>
                <wp:wrapTopAndBottom/>
                <wp:docPr id="10" name="Shape 10"/>
                <wp:cNvGraphicFramePr/>
                <a:graphic xmlns:a="http://schemas.openxmlformats.org/drawingml/2006/main">
                  <a:graphicData uri="http://schemas.microsoft.com/office/word/2010/wordprocessingShape">
                    <wps:wsp>
                      <wps:cNvSpPr txBox="1"/>
                      <wps:spPr>
                        <a:xfrm>
                          <a:off x="0" y="0"/>
                          <a:ext cx="132715" cy="173990"/>
                        </a:xfrm>
                        <a:prstGeom prst="rect">
                          <a:avLst/>
                        </a:prstGeom>
                        <a:noFill/>
                      </wps:spPr>
                      <wps:txbx>
                        <w:txbxContent>
                          <w:p w14:paraId="37C0EB57" w14:textId="77777777" w:rsidR="006003AD" w:rsidRDefault="006003AD" w:rsidP="006003AD">
                            <w:pPr>
                              <w:pStyle w:val="25"/>
                              <w:keepNext/>
                              <w:keepLines/>
                            </w:pPr>
                            <w:r>
                              <w:rPr>
                                <w:rStyle w:val="24"/>
                              </w:rPr>
                              <w:t>1.</w:t>
                            </w:r>
                          </w:p>
                        </w:txbxContent>
                      </wps:txbx>
                      <wps:bodyPr wrap="none" lIns="0" tIns="0" rIns="0" bIns="0"/>
                    </wps:wsp>
                  </a:graphicData>
                </a:graphic>
              </wp:anchor>
            </w:drawing>
          </mc:Choice>
          <mc:Fallback>
            <w:pict>
              <v:shapetype w14:anchorId="25B7F003" id="_x0000_t202" coordsize="21600,21600" o:spt="202" path="m,l,21600r21600,l21600,xe">
                <v:stroke joinstyle="miter"/>
                <v:path gradientshapeok="t" o:connecttype="rect"/>
              </v:shapetype>
              <v:shape id="Shape 10" o:spid="_x0000_s1026" type="#_x0000_t202" style="position:absolute;margin-left:76.6pt;margin-top:.45pt;width:10.45pt;height:13.7pt;z-index:251661312;visibility:visible;mso-wrap-style:none;mso-wrap-distance-left:0;mso-wrap-distance-top:.45pt;mso-wrap-distance-right:0;mso-wrap-distance-bottom: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" filled="f" stroked="f">
                <v:textbox inset="0,0,0,0">
                  <w:txbxContent>
                    <w:p w14:paraId="37C0EB57" w14:textId="77777777" w:rsidR="006003AD" w:rsidRDefault="006003AD" w:rsidP="006003AD">
                      <w:pPr>
                        <w:pStyle w:val="25"/>
                        <w:keepNext/>
                        <w:keepLines/>
                      </w:pPr>
                      <w:r>
                        <w:rPr>
                          <w:rStyle w:val="24"/>
                        </w:rPr>
                        <w:t>1.</w:t>
                      </w:r>
                    </w:p>
                  </w:txbxContent>
                </v:textbox>
                <w10:wrap type="topAndBottom" anchorx="page"/>
              </v:shape>
            </w:pict>
          </mc:Fallback>
        </mc:AlternateContent>
      </w:r>
      <w:r>
        <w:rPr>
          <w:noProof/>
        </w:rPr>
        <mc:AlternateContent>
          <mc:Choice Requires="wps">
            <w:drawing>
              <wp:anchor distT="0" distB="107315" distL="0" distR="0" simplePos="0" relativeHeight="251662336" behindDoc="0" locked="0" layoutInCell="1" allowOverlap="1" wp14:anchorId="5CAFE445" wp14:editId="62D50295">
                <wp:simplePos x="0" y="0"/>
                <wp:positionH relativeFrom="page">
                  <wp:posOffset>1496695</wp:posOffset>
                </wp:positionH>
                <wp:positionV relativeFrom="paragraph">
                  <wp:posOffset>0</wp:posOffset>
                </wp:positionV>
                <wp:extent cx="800735" cy="173990"/>
                <wp:effectExtent l="0" t="0" r="0" b="0"/>
                <wp:wrapTopAndBottom/>
                <wp:docPr id="12" name="Shape 12"/>
                <wp:cNvGraphicFramePr/>
                <a:graphic xmlns:a="http://schemas.openxmlformats.org/drawingml/2006/main">
                  <a:graphicData uri="http://schemas.microsoft.com/office/word/2010/wordprocessingShape">
                    <wps:wsp>
                      <wps:cNvSpPr txBox="1"/>
                      <wps:spPr>
                        <a:xfrm>
                          <a:off x="0" y="0"/>
                          <a:ext cx="800735" cy="173990"/>
                        </a:xfrm>
                        <a:prstGeom prst="rect">
                          <a:avLst/>
                        </a:prstGeom>
                        <a:noFill/>
                      </wps:spPr>
                      <wps:txbx>
                        <w:txbxContent>
                          <w:p w14:paraId="5443002E" w14:textId="77777777" w:rsidR="006003AD" w:rsidRDefault="006003AD" w:rsidP="006003AD">
                            <w:pPr>
                              <w:pStyle w:val="25"/>
                              <w:keepNext/>
                              <w:keepLines/>
                            </w:pPr>
                            <w:r>
                              <w:rPr>
                                <w:rStyle w:val="24"/>
                              </w:rPr>
                              <w:t>Introduction</w:t>
                            </w:r>
                          </w:p>
                        </w:txbxContent>
                      </wps:txbx>
                      <wps:bodyPr wrap="none" lIns="0" tIns="0" rIns="0" bIns="0"/>
                    </wps:wsp>
                  </a:graphicData>
                </a:graphic>
              </wp:anchor>
            </w:drawing>
          </mc:Choice>
          <mc:Fallback>
            <w:pict>
              <v:shape w14:anchorId="5CAFE445" id="Shape 12" o:spid="_x0000_s1027" type="#_x0000_t202" style="position:absolute;margin-left:117.85pt;margin-top:0;width:63.05pt;height:13.7pt;z-index:251662336;visibility:visible;mso-wrap-style:none;mso-wrap-distance-left:0;mso-wrap-distance-top:0;mso-wrap-distance-right:0;mso-wrap-distance-bottom:8.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" filled="f" stroked="f">
                <v:textbox inset="0,0,0,0">
                  <w:txbxContent>
                    <w:p w14:paraId="5443002E" w14:textId="77777777" w:rsidR="006003AD" w:rsidRDefault="006003AD" w:rsidP="006003AD">
                      <w:pPr>
                        <w:pStyle w:val="25"/>
                        <w:keepNext/>
                        <w:keepLines/>
                      </w:pPr>
                      <w:r>
                        <w:rPr>
                          <w:rStyle w:val="24"/>
                        </w:rPr>
                        <w:t>Introduction</w:t>
                      </w:r>
                    </w:p>
                  </w:txbxContent>
                </v:textbox>
                <w10:wrap type="topAndBottom" anchorx="page"/>
              </v:shape>
            </w:pict>
          </mc:Fallback>
        </mc:AlternateContent>
      </w:r>
    </w:p>
    <w:p w14:paraId="036A30BB" w14:textId="77777777" w:rsidR="006003AD" w:rsidRDefault="006003AD" w:rsidP="006003AD">
      <w:pPr>
        <w:pStyle w:val="27"/>
        <w:keepNext/>
        <w:keepLines/>
        <w:numPr>
          <w:ilvl w:val="1"/>
          <w:numId w:val="4"/>
        </w:numPr>
        <w:tabs>
          <w:tab w:val="left" w:pos="814"/>
        </w:tabs>
        <w:jc w:val="both"/>
      </w:pPr>
      <w:bookmarkStart w:id="0" w:name="bookmark12"/>
      <w:r>
        <w:rPr>
          <w:rStyle w:val="26"/>
        </w:rPr>
        <w:t>Purpose and Background</w:t>
      </w:r>
      <w:bookmarkEnd w:id="0"/>
    </w:p>
    <w:p w14:paraId="1BDC3972" w14:textId="77777777" w:rsidR="006003AD" w:rsidRDefault="006003AD" w:rsidP="006003AD">
      <w:pPr>
        <w:pStyle w:val="ab"/>
        <w:ind w:left="820"/>
        <w:jc w:val="both"/>
      </w:pPr>
      <w:r>
        <w:rPr>
          <w:rStyle w:val="aa"/>
        </w:rPr>
        <w:t>The actuarial control function is an independent control function within the company responsible for actuarial activities. The actuarial control function is not restricted to the Actuarial Department but may include other departments and/or individuals who perform actuarial duties professionally.</w:t>
      </w:r>
    </w:p>
    <w:p w14:paraId="6A949723" w14:textId="77777777" w:rsidR="006003AD" w:rsidRDefault="006003AD" w:rsidP="006003AD">
      <w:pPr>
        <w:pStyle w:val="ab"/>
        <w:spacing w:after="60" w:line="384" w:lineRule="auto"/>
        <w:ind w:left="820"/>
        <w:jc w:val="both"/>
      </w:pPr>
      <w:r>
        <w:rPr>
          <w:rStyle w:val="aa"/>
        </w:rPr>
        <w:t>This Policy, which forms part of the AIA Group-wide ERM framework, is aimed at monitoring, evaluating, managing and mitigating actuarial-related risks. It provides an overview of the minimum requirements of the actuarial control function on:</w:t>
      </w:r>
    </w:p>
    <w:p w14:paraId="617719EA" w14:textId="77777777" w:rsidR="006003AD" w:rsidRDefault="006003AD" w:rsidP="006003AD">
      <w:pPr>
        <w:pStyle w:val="ab"/>
        <w:numPr>
          <w:ilvl w:val="0"/>
          <w:numId w:val="5"/>
        </w:numPr>
        <w:tabs>
          <w:tab w:val="left" w:pos="1494"/>
        </w:tabs>
        <w:spacing w:after="60" w:line="382" w:lineRule="auto"/>
        <w:ind w:left="1540" w:hanging="420"/>
        <w:jc w:val="both"/>
      </w:pPr>
      <w:r>
        <w:rPr>
          <w:rStyle w:val="aa"/>
        </w:rPr>
        <w:t xml:space="preserve">data, methodologies, underlying models and assumptions in the processes within the scope of this </w:t>
      </w:r>
      <w:proofErr w:type="gramStart"/>
      <w:r>
        <w:rPr>
          <w:rStyle w:val="aa"/>
        </w:rPr>
        <w:t>Policy;</w:t>
      </w:r>
      <w:proofErr w:type="gramEnd"/>
    </w:p>
    <w:p w14:paraId="312A1E0B" w14:textId="77777777" w:rsidR="006003AD" w:rsidRDefault="006003AD" w:rsidP="006003AD">
      <w:pPr>
        <w:pStyle w:val="ab"/>
        <w:numPr>
          <w:ilvl w:val="0"/>
          <w:numId w:val="5"/>
        </w:numPr>
        <w:tabs>
          <w:tab w:val="left" w:pos="1494"/>
        </w:tabs>
        <w:spacing w:after="60"/>
        <w:ind w:left="1100" w:firstLine="0"/>
        <w:jc w:val="both"/>
      </w:pPr>
      <w:r>
        <w:rPr>
          <w:rStyle w:val="aa"/>
        </w:rPr>
        <w:t>ensuring compliance with Regulatory and Other Requirements; and</w:t>
      </w:r>
    </w:p>
    <w:p w14:paraId="37CF6563" w14:textId="77777777" w:rsidR="006003AD" w:rsidRDefault="006003AD" w:rsidP="006003AD">
      <w:pPr>
        <w:pStyle w:val="ab"/>
        <w:numPr>
          <w:ilvl w:val="0"/>
          <w:numId w:val="5"/>
        </w:numPr>
        <w:tabs>
          <w:tab w:val="left" w:pos="1494"/>
        </w:tabs>
        <w:spacing w:after="520"/>
        <w:ind w:left="1100" w:firstLine="0"/>
        <w:jc w:val="both"/>
      </w:pPr>
      <w:r>
        <w:rPr>
          <w:rStyle w:val="aa"/>
        </w:rPr>
        <w:t>reporting to the AIA Group Board and relevant Management Committees.</w:t>
      </w:r>
    </w:p>
    <w:p w14:paraId="2A715531" w14:textId="77777777" w:rsidR="006003AD" w:rsidRDefault="006003AD" w:rsidP="006003AD">
      <w:pPr>
        <w:pStyle w:val="27"/>
        <w:keepNext/>
        <w:keepLines/>
        <w:tabs>
          <w:tab w:val="left" w:pos="814"/>
        </w:tabs>
      </w:pPr>
      <w:bookmarkStart w:id="1" w:name="bookmark14"/>
      <w:r>
        <w:rPr>
          <w:rStyle w:val="26"/>
        </w:rPr>
        <w:t>2.</w:t>
      </w:r>
      <w:r>
        <w:rPr>
          <w:rStyle w:val="26"/>
        </w:rPr>
        <w:tab/>
        <w:t>Scope and Definitions</w:t>
      </w:r>
      <w:bookmarkEnd w:id="1"/>
    </w:p>
    <w:p w14:paraId="58DE048D" w14:textId="77777777" w:rsidR="006003AD" w:rsidRDefault="006003AD" w:rsidP="006003AD">
      <w:pPr>
        <w:pStyle w:val="27"/>
        <w:keepNext/>
        <w:keepLines/>
        <w:numPr>
          <w:ilvl w:val="1"/>
          <w:numId w:val="6"/>
        </w:numPr>
        <w:tabs>
          <w:tab w:val="left" w:pos="814"/>
        </w:tabs>
        <w:jc w:val="both"/>
      </w:pPr>
      <w:bookmarkStart w:id="2" w:name="bookmark16"/>
      <w:r>
        <w:rPr>
          <w:rStyle w:val="26"/>
        </w:rPr>
        <w:t>Scope</w:t>
      </w:r>
      <w:bookmarkEnd w:id="2"/>
    </w:p>
    <w:p w14:paraId="58618790" w14:textId="77777777" w:rsidR="006003AD" w:rsidRDefault="006003AD" w:rsidP="006003AD">
      <w:pPr>
        <w:pStyle w:val="ab"/>
        <w:spacing w:after="60"/>
        <w:ind w:firstLine="820"/>
        <w:jc w:val="both"/>
      </w:pPr>
      <w:r>
        <w:rPr>
          <w:rStyle w:val="aa"/>
        </w:rPr>
        <w:t>Processes within the scope of this Policy include the following:</w:t>
      </w:r>
    </w:p>
    <w:p w14:paraId="309A8032" w14:textId="32453DCF" w:rsidR="006003AD" w:rsidRDefault="006003AD" w:rsidP="006003AD">
      <w:pPr>
        <w:pStyle w:val="ab"/>
        <w:numPr>
          <w:ilvl w:val="0"/>
          <w:numId w:val="7"/>
        </w:numPr>
        <w:tabs>
          <w:tab w:val="left" w:pos="1494"/>
          <w:tab w:val="left" w:pos="4117"/>
        </w:tabs>
        <w:spacing w:after="60" w:line="372" w:lineRule="auto"/>
        <w:ind w:left="1540" w:hanging="420"/>
        <w:jc w:val="both"/>
      </w:pPr>
      <w:r>
        <w:rPr>
          <w:rStyle w:val="aa"/>
        </w:rPr>
        <w:t xml:space="preserve">calculation of technical provisions and capital requirements (collectively called “actuarial valuation”) for all statutory solvency reporting bases (local statutory solvency, HKIO and </w:t>
      </w:r>
      <w:proofErr w:type="gramStart"/>
      <w:r>
        <w:rPr>
          <w:rStyle w:val="aa"/>
        </w:rPr>
        <w:t>HKRBC,</w:t>
      </w:r>
      <w:r>
        <w:rPr>
          <w:rStyle w:val="aa"/>
        </w:rPr>
        <w:t xml:space="preserve">  </w:t>
      </w:r>
      <w:r>
        <w:rPr>
          <w:rStyle w:val="aa"/>
        </w:rPr>
        <w:t>and</w:t>
      </w:r>
      <w:proofErr w:type="gramEnd"/>
      <w:r>
        <w:rPr>
          <w:rStyle w:val="aa"/>
        </w:rPr>
        <w:t xml:space="preserve"> Bermuda EBS);</w:t>
      </w:r>
    </w:p>
    <w:p w14:paraId="3234D2AF" w14:textId="77777777" w:rsidR="006003AD" w:rsidRDefault="006003AD" w:rsidP="006003AD">
      <w:pPr>
        <w:pStyle w:val="ab"/>
        <w:numPr>
          <w:ilvl w:val="0"/>
          <w:numId w:val="7"/>
        </w:numPr>
        <w:tabs>
          <w:tab w:val="left" w:pos="1494"/>
        </w:tabs>
        <w:spacing w:after="60"/>
        <w:ind w:left="1100" w:firstLine="0"/>
        <w:jc w:val="both"/>
      </w:pPr>
      <w:r>
        <w:rPr>
          <w:rStyle w:val="aa"/>
        </w:rPr>
        <w:t xml:space="preserve">capital adequacy </w:t>
      </w:r>
      <w:proofErr w:type="gramStart"/>
      <w:r>
        <w:rPr>
          <w:rStyle w:val="aa"/>
        </w:rPr>
        <w:t>testing;</w:t>
      </w:r>
      <w:proofErr w:type="gramEnd"/>
    </w:p>
    <w:p w14:paraId="2F835938" w14:textId="77777777" w:rsidR="006003AD" w:rsidRDefault="006003AD" w:rsidP="006003AD">
      <w:pPr>
        <w:pStyle w:val="ab"/>
        <w:numPr>
          <w:ilvl w:val="0"/>
          <w:numId w:val="7"/>
        </w:numPr>
        <w:tabs>
          <w:tab w:val="left" w:pos="1494"/>
        </w:tabs>
        <w:spacing w:after="60"/>
        <w:ind w:left="1100" w:firstLine="0"/>
        <w:jc w:val="both"/>
      </w:pPr>
      <w:r>
        <w:rPr>
          <w:rStyle w:val="aa"/>
        </w:rPr>
        <w:t xml:space="preserve">product </w:t>
      </w:r>
      <w:proofErr w:type="gramStart"/>
      <w:r>
        <w:rPr>
          <w:rStyle w:val="aa"/>
        </w:rPr>
        <w:t>pricing;</w:t>
      </w:r>
      <w:proofErr w:type="gramEnd"/>
    </w:p>
    <w:p w14:paraId="5D02846C" w14:textId="77777777" w:rsidR="006003AD" w:rsidRDefault="006003AD" w:rsidP="006003AD">
      <w:pPr>
        <w:pStyle w:val="ab"/>
        <w:numPr>
          <w:ilvl w:val="0"/>
          <w:numId w:val="7"/>
        </w:numPr>
        <w:tabs>
          <w:tab w:val="left" w:pos="1494"/>
          <w:tab w:val="left" w:pos="4202"/>
        </w:tabs>
        <w:spacing w:after="60"/>
        <w:ind w:left="1100" w:firstLine="0"/>
        <w:jc w:val="both"/>
      </w:pPr>
      <w:r>
        <w:rPr>
          <w:rStyle w:val="aa"/>
        </w:rPr>
        <w:t>determination / declaration of</w:t>
      </w:r>
      <w:r>
        <w:rPr>
          <w:rStyle w:val="aa"/>
        </w:rPr>
        <w:tab/>
        <w:t>discretionary policyholder benefits:</w:t>
      </w:r>
    </w:p>
    <w:p w14:paraId="449EFD39" w14:textId="77777777" w:rsidR="006003AD" w:rsidRDefault="006003AD" w:rsidP="006003AD">
      <w:pPr>
        <w:pStyle w:val="ab"/>
        <w:numPr>
          <w:ilvl w:val="0"/>
          <w:numId w:val="7"/>
        </w:numPr>
        <w:tabs>
          <w:tab w:val="left" w:pos="1494"/>
        </w:tabs>
        <w:spacing w:after="60"/>
        <w:ind w:left="1100" w:firstLine="0"/>
        <w:jc w:val="both"/>
      </w:pPr>
      <w:proofErr w:type="gramStart"/>
      <w:r>
        <w:rPr>
          <w:rStyle w:val="aa"/>
        </w:rPr>
        <w:t>reinsurance;</w:t>
      </w:r>
      <w:proofErr w:type="gramEnd"/>
    </w:p>
    <w:p w14:paraId="22655351" w14:textId="77777777" w:rsidR="006003AD" w:rsidRDefault="006003AD" w:rsidP="006003AD">
      <w:pPr>
        <w:pStyle w:val="ab"/>
        <w:numPr>
          <w:ilvl w:val="0"/>
          <w:numId w:val="7"/>
        </w:numPr>
        <w:tabs>
          <w:tab w:val="left" w:pos="1494"/>
          <w:tab w:val="left" w:pos="4195"/>
        </w:tabs>
        <w:spacing w:after="60"/>
        <w:ind w:left="1100" w:firstLine="0"/>
      </w:pPr>
      <w:r>
        <w:rPr>
          <w:rStyle w:val="aa"/>
        </w:rPr>
        <w:t>development of ALM policies</w:t>
      </w:r>
      <w:r>
        <w:rPr>
          <w:rStyle w:val="aa"/>
        </w:rPr>
        <w:tab/>
        <w:t>and SAA; and</w:t>
      </w:r>
    </w:p>
    <w:p w14:paraId="243A1B93" w14:textId="77777777" w:rsidR="006003AD" w:rsidRDefault="006003AD" w:rsidP="006003AD">
      <w:pPr>
        <w:pStyle w:val="ab"/>
        <w:numPr>
          <w:ilvl w:val="0"/>
          <w:numId w:val="7"/>
        </w:numPr>
        <w:tabs>
          <w:tab w:val="left" w:pos="1494"/>
        </w:tabs>
        <w:ind w:left="1100" w:firstLine="0"/>
        <w:jc w:val="both"/>
      </w:pPr>
      <w:r>
        <w:rPr>
          <w:rStyle w:val="aa"/>
        </w:rPr>
        <w:t>GIECA.</w:t>
      </w:r>
    </w:p>
    <w:p w14:paraId="6440A560" w14:textId="77777777" w:rsidR="006003AD" w:rsidRDefault="006003AD" w:rsidP="006003AD">
      <w:pPr>
        <w:pStyle w:val="ab"/>
        <w:spacing w:after="60" w:line="372" w:lineRule="auto"/>
        <w:ind w:left="820"/>
        <w:jc w:val="both"/>
      </w:pPr>
      <w:r>
        <w:rPr>
          <w:rStyle w:val="aa"/>
        </w:rPr>
        <w:t>Actuarial valuation for non-statutory solvency reporting bases is governed by separate policies and standards and not in scope of this Policy.</w:t>
      </w:r>
      <w:r>
        <w:br w:type="page"/>
      </w:r>
    </w:p>
    <w:p w14:paraId="1F153EF3" w14:textId="77777777" w:rsidR="006003AD" w:rsidRDefault="006003AD" w:rsidP="006003AD">
      <w:pPr>
        <w:spacing w:line="1" w:lineRule="exact"/>
      </w:pPr>
      <w:r>
        <w:rPr>
          <w:noProof/>
        </w:rPr>
        <w:lastRenderedPageBreak/>
        <mc:AlternateContent>
          <mc:Choice Requires="wps">
            <w:drawing>
              <wp:anchor distT="0" distB="81915" distL="0" distR="0" simplePos="0" relativeHeight="251663360" behindDoc="0" locked="0" layoutInCell="1" allowOverlap="1" wp14:anchorId="20D0EDF7" wp14:editId="0A45DC6C">
                <wp:simplePos x="0" y="0"/>
                <wp:positionH relativeFrom="page">
                  <wp:posOffset>913130</wp:posOffset>
                </wp:positionH>
                <wp:positionV relativeFrom="paragraph">
                  <wp:posOffset>0</wp:posOffset>
                </wp:positionV>
                <wp:extent cx="247015" cy="172720"/>
                <wp:effectExtent l="0" t="0" r="0" b="0"/>
                <wp:wrapTopAndBottom/>
                <wp:docPr id="14" name="Shape 14"/>
                <wp:cNvGraphicFramePr/>
                <a:graphic xmlns:a="http://schemas.openxmlformats.org/drawingml/2006/main">
                  <a:graphicData uri="http://schemas.microsoft.com/office/word/2010/wordprocessingShape">
                    <wps:wsp>
                      <wps:cNvSpPr txBox="1"/>
                      <wps:spPr>
                        <a:xfrm>
                          <a:off x="0" y="0"/>
                          <a:ext cx="247015" cy="172720"/>
                        </a:xfrm>
                        <a:prstGeom prst="rect">
                          <a:avLst/>
                        </a:prstGeom>
                        <a:noFill/>
                      </wps:spPr>
                      <wps:txbx>
                        <w:txbxContent>
                          <w:p w14:paraId="007BA91F" w14:textId="77777777" w:rsidR="006003AD" w:rsidRDefault="006003AD" w:rsidP="006003AD">
                            <w:pPr>
                              <w:pStyle w:val="27"/>
                              <w:keepNext/>
                              <w:keepLines/>
                              <w:spacing w:after="0"/>
                            </w:pPr>
                            <w:bookmarkStart w:id="3" w:name="bookmark5"/>
                            <w:r>
                              <w:rPr>
                                <w:rStyle w:val="26"/>
                              </w:rPr>
                              <w:t>2.2.</w:t>
                            </w:r>
                            <w:bookmarkEnd w:id="3"/>
                          </w:p>
                        </w:txbxContent>
                      </wps:txbx>
                      <wps:bodyPr wrap="none" lIns="0" tIns="0" rIns="0" bIns="0"/>
                    </wps:wsp>
                  </a:graphicData>
                </a:graphic>
              </wp:anchor>
            </w:drawing>
          </mc:Choice>
          <mc:Fallback>
            <w:pict>
              <v:shape w14:anchorId="20D0EDF7" id="Shape 14" o:spid="_x0000_s1028" type="#_x0000_t202" style="position:absolute;margin-left:71.9pt;margin-top:0;width:19.45pt;height:13.6pt;z-index:251663360;visibility:visible;mso-wrap-style:none;mso-wrap-distance-left:0;mso-wrap-distance-top:0;mso-wrap-distance-right:0;mso-wrap-distance-bottom:6.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" filled="f" stroked="f">
                <v:textbox inset="0,0,0,0">
                  <w:txbxContent>
                    <w:p w14:paraId="007BA91F" w14:textId="77777777" w:rsidR="006003AD" w:rsidRDefault="006003AD" w:rsidP="006003AD">
                      <w:pPr>
                        <w:pStyle w:val="27"/>
                        <w:keepNext/>
                        <w:keepLines/>
                        <w:spacing w:after="0"/>
                      </w:pPr>
                      <w:bookmarkStart w:id="4" w:name="bookmark5"/>
                      <w:r>
                        <w:rPr>
                          <w:rStyle w:val="26"/>
                        </w:rPr>
                        <w:t>2.2.</w:t>
                      </w:r>
                      <w:bookmarkEnd w:id="4"/>
                    </w:p>
                  </w:txbxContent>
                </v:textbox>
                <w10:wrap type="topAndBottom" anchorx="page"/>
              </v:shape>
            </w:pict>
          </mc:Fallback>
        </mc:AlternateContent>
      </w:r>
      <w:r>
        <w:rPr>
          <w:noProof/>
        </w:rPr>
        <mc:AlternateContent>
          <mc:Choice Requires="wps">
            <w:drawing>
              <wp:anchor distT="5715" distB="76200" distL="0" distR="0" simplePos="0" relativeHeight="251664384" behindDoc="0" locked="0" layoutInCell="1" allowOverlap="1" wp14:anchorId="3525DDD9" wp14:editId="08BC93AB">
                <wp:simplePos x="0" y="0"/>
                <wp:positionH relativeFrom="page">
                  <wp:posOffset>1452245</wp:posOffset>
                </wp:positionH>
                <wp:positionV relativeFrom="paragraph">
                  <wp:posOffset>5715</wp:posOffset>
                </wp:positionV>
                <wp:extent cx="657860" cy="172720"/>
                <wp:effectExtent l="0" t="0" r="0" b="0"/>
                <wp:wrapTopAndBottom/>
                <wp:docPr id="16" name="Shape 16"/>
                <wp:cNvGraphicFramePr/>
                <a:graphic xmlns:a="http://schemas.openxmlformats.org/drawingml/2006/main">
                  <a:graphicData uri="http://schemas.microsoft.com/office/word/2010/wordprocessingShape">
                    <wps:wsp>
                      <wps:cNvSpPr txBox="1"/>
                      <wps:spPr>
                        <a:xfrm>
                          <a:off x="0" y="0"/>
                          <a:ext cx="657860" cy="172720"/>
                        </a:xfrm>
                        <a:prstGeom prst="rect">
                          <a:avLst/>
                        </a:prstGeom>
                        <a:noFill/>
                      </wps:spPr>
                      <wps:txbx>
                        <w:txbxContent>
                          <w:p w14:paraId="46B65518" w14:textId="77777777" w:rsidR="006003AD" w:rsidRDefault="006003AD" w:rsidP="006003AD">
                            <w:pPr>
                              <w:pStyle w:val="27"/>
                              <w:keepNext/>
                              <w:keepLines/>
                              <w:spacing w:after="0"/>
                            </w:pPr>
                            <w:bookmarkStart w:id="5" w:name="bookmark7"/>
                            <w:r>
                              <w:rPr>
                                <w:rStyle w:val="26"/>
                              </w:rPr>
                              <w:t>Definitions</w:t>
                            </w:r>
                            <w:bookmarkEnd w:id="5"/>
                          </w:p>
                        </w:txbxContent>
                      </wps:txbx>
                      <wps:bodyPr wrap="none" lIns="0" tIns="0" rIns="0" bIns="0"/>
                    </wps:wsp>
                  </a:graphicData>
                </a:graphic>
              </wp:anchor>
            </w:drawing>
          </mc:Choice>
          <mc:Fallback>
            <w:pict>
              <v:shape w14:anchorId="3525DDD9" id="Shape 16" o:spid="_x0000_s1029" type="#_x0000_t202" style="position:absolute;margin-left:114.35pt;margin-top:.45pt;width:51.8pt;height:13.6pt;z-index:251664384;visibility:visible;mso-wrap-style:none;mso-wrap-distance-left:0;mso-wrap-distance-top:.45pt;mso-wrap-distance-right:0;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" filled="f" stroked="f">
                <v:textbox inset="0,0,0,0">
                  <w:txbxContent>
                    <w:p w14:paraId="46B65518" w14:textId="77777777" w:rsidR="006003AD" w:rsidRDefault="006003AD" w:rsidP="006003AD">
                      <w:pPr>
                        <w:pStyle w:val="27"/>
                        <w:keepNext/>
                        <w:keepLines/>
                        <w:spacing w:after="0"/>
                      </w:pPr>
                      <w:bookmarkStart w:id="6" w:name="bookmark7"/>
                      <w:r>
                        <w:rPr>
                          <w:rStyle w:val="26"/>
                        </w:rPr>
                        <w:t>Definitions</w:t>
                      </w:r>
                      <w:bookmarkEnd w:id="6"/>
                    </w:p>
                  </w:txbxContent>
                </v:textbox>
                <w10:wrap type="topAndBottom" anchorx="page"/>
              </v:shape>
            </w:pict>
          </mc:Fallback>
        </mc:AlternateContent>
      </w:r>
    </w:p>
    <w:p w14:paraId="0D1CB969" w14:textId="77777777" w:rsidR="006003AD" w:rsidRDefault="006003AD" w:rsidP="006003AD">
      <w:pPr>
        <w:pStyle w:val="ab"/>
        <w:spacing w:after="80" w:line="389" w:lineRule="auto"/>
        <w:ind w:left="780" w:firstLine="0"/>
      </w:pPr>
      <w:r>
        <w:rPr>
          <w:rStyle w:val="aa"/>
        </w:rPr>
        <w:t xml:space="preserve">Below table contains a glossary of terms used in this Policy. Terms are </w:t>
      </w:r>
      <w:proofErr w:type="spellStart"/>
      <w:r>
        <w:rPr>
          <w:rStyle w:val="aa"/>
        </w:rPr>
        <w:t>capitalised</w:t>
      </w:r>
      <w:proofErr w:type="spellEnd"/>
      <w:r>
        <w:rPr>
          <w:rStyle w:val="aa"/>
        </w:rPr>
        <w:t xml:space="preserve"> throughout this Policy.</w:t>
      </w:r>
    </w:p>
    <w:tbl>
      <w:tblPr>
        <w:tblOverlap w:val="never"/>
        <w:tblW w:w="0" w:type="auto"/>
        <w:jc w:val="right"/>
        <w:tblLayout w:type="fixed"/>
        <w:tblCellMar>
          <w:left w:w="10" w:type="dxa"/>
          <w:right w:w="10" w:type="dxa"/>
        </w:tblCellMar>
        <w:tblLook w:val="04A0" w:firstRow="1" w:lastRow="0" w:firstColumn="1" w:lastColumn="0" w:noHBand="0" w:noVBand="1"/>
      </w:tblPr>
      <w:tblGrid>
        <w:gridCol w:w="1534"/>
        <w:gridCol w:w="6468"/>
      </w:tblGrid>
      <w:tr w:rsidR="006003AD" w14:paraId="34E4C0F8" w14:textId="77777777" w:rsidTr="00AA681A">
        <w:tblPrEx>
          <w:tblCellMar>
            <w:top w:w="0" w:type="dxa"/>
            <w:bottom w:w="0" w:type="dxa"/>
          </w:tblCellMar>
        </w:tblPrEx>
        <w:trPr>
          <w:trHeight w:hRule="exact" w:val="480"/>
          <w:jc w:val="right"/>
        </w:trPr>
        <w:tc>
          <w:tcPr>
            <w:tcW w:w="1534" w:type="dxa"/>
            <w:tcBorders>
              <w:top w:val="single" w:sz="4" w:space="0" w:color="auto"/>
              <w:left w:val="single" w:sz="4" w:space="0" w:color="auto"/>
            </w:tcBorders>
            <w:shd w:val="clear" w:color="auto" w:fill="auto"/>
            <w:vAlign w:val="center"/>
          </w:tcPr>
          <w:p w14:paraId="2201AF69" w14:textId="77777777" w:rsidR="006003AD" w:rsidRDefault="006003AD" w:rsidP="00AA681A">
            <w:pPr>
              <w:pStyle w:val="af"/>
              <w:spacing w:after="0" w:line="240" w:lineRule="auto"/>
              <w:ind w:firstLine="0"/>
            </w:pPr>
            <w:r>
              <w:rPr>
                <w:rStyle w:val="ae"/>
                <w:b/>
                <w:bCs/>
              </w:rPr>
              <w:t>Short Form</w:t>
            </w:r>
          </w:p>
        </w:tc>
        <w:tc>
          <w:tcPr>
            <w:tcW w:w="6468" w:type="dxa"/>
            <w:tcBorders>
              <w:top w:val="single" w:sz="4" w:space="0" w:color="auto"/>
              <w:left w:val="single" w:sz="4" w:space="0" w:color="auto"/>
              <w:right w:val="single" w:sz="4" w:space="0" w:color="auto"/>
            </w:tcBorders>
            <w:shd w:val="clear" w:color="auto" w:fill="auto"/>
            <w:vAlign w:val="center"/>
          </w:tcPr>
          <w:p w14:paraId="35B326D0" w14:textId="77777777" w:rsidR="006003AD" w:rsidRDefault="006003AD" w:rsidP="00AA681A">
            <w:pPr>
              <w:pStyle w:val="af"/>
              <w:spacing w:after="0" w:line="240" w:lineRule="auto"/>
              <w:ind w:firstLine="0"/>
            </w:pPr>
            <w:r>
              <w:rPr>
                <w:rStyle w:val="ae"/>
                <w:b/>
                <w:bCs/>
              </w:rPr>
              <w:t>Meaning</w:t>
            </w:r>
          </w:p>
        </w:tc>
      </w:tr>
      <w:tr w:rsidR="006003AD" w14:paraId="0A5DC2BC" w14:textId="77777777" w:rsidTr="00AA681A">
        <w:tblPrEx>
          <w:tblCellMar>
            <w:top w:w="0" w:type="dxa"/>
            <w:bottom w:w="0" w:type="dxa"/>
          </w:tblCellMar>
        </w:tblPrEx>
        <w:trPr>
          <w:trHeight w:hRule="exact" w:val="480"/>
          <w:jc w:val="right"/>
        </w:trPr>
        <w:tc>
          <w:tcPr>
            <w:tcW w:w="1534" w:type="dxa"/>
            <w:tcBorders>
              <w:top w:val="single" w:sz="4" w:space="0" w:color="auto"/>
              <w:left w:val="single" w:sz="4" w:space="0" w:color="auto"/>
            </w:tcBorders>
            <w:shd w:val="clear" w:color="auto" w:fill="auto"/>
            <w:vAlign w:val="center"/>
          </w:tcPr>
          <w:p w14:paraId="46CBC7E7" w14:textId="77777777" w:rsidR="006003AD" w:rsidRDefault="006003AD" w:rsidP="00AA681A">
            <w:pPr>
              <w:pStyle w:val="af"/>
              <w:spacing w:after="0" w:line="240" w:lineRule="auto"/>
              <w:ind w:firstLine="0"/>
            </w:pPr>
            <w:r>
              <w:rPr>
                <w:rStyle w:val="ae"/>
              </w:rPr>
              <w:t>ALM</w:t>
            </w:r>
          </w:p>
        </w:tc>
        <w:tc>
          <w:tcPr>
            <w:tcW w:w="6468" w:type="dxa"/>
            <w:tcBorders>
              <w:top w:val="single" w:sz="4" w:space="0" w:color="auto"/>
              <w:left w:val="single" w:sz="4" w:space="0" w:color="auto"/>
              <w:right w:val="single" w:sz="4" w:space="0" w:color="auto"/>
            </w:tcBorders>
            <w:shd w:val="clear" w:color="auto" w:fill="auto"/>
            <w:vAlign w:val="center"/>
          </w:tcPr>
          <w:p w14:paraId="12C0D2A5" w14:textId="77777777" w:rsidR="006003AD" w:rsidRDefault="006003AD" w:rsidP="00AA681A">
            <w:pPr>
              <w:pStyle w:val="af"/>
              <w:spacing w:after="0" w:line="240" w:lineRule="auto"/>
              <w:ind w:firstLine="0"/>
            </w:pPr>
            <w:r>
              <w:rPr>
                <w:rStyle w:val="ae"/>
              </w:rPr>
              <w:t>Asset Liability Management</w:t>
            </w:r>
          </w:p>
        </w:tc>
      </w:tr>
      <w:tr w:rsidR="006003AD" w14:paraId="6481B74E"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4A046204" w14:textId="77777777" w:rsidR="006003AD" w:rsidRDefault="006003AD" w:rsidP="00AA681A">
            <w:pPr>
              <w:pStyle w:val="af"/>
              <w:spacing w:after="0" w:line="240" w:lineRule="auto"/>
              <w:ind w:firstLine="0"/>
            </w:pPr>
            <w:r>
              <w:rPr>
                <w:rStyle w:val="ae"/>
              </w:rPr>
              <w:t>BU</w:t>
            </w:r>
          </w:p>
        </w:tc>
        <w:tc>
          <w:tcPr>
            <w:tcW w:w="6468" w:type="dxa"/>
            <w:tcBorders>
              <w:top w:val="single" w:sz="4" w:space="0" w:color="auto"/>
              <w:left w:val="single" w:sz="4" w:space="0" w:color="auto"/>
              <w:right w:val="single" w:sz="4" w:space="0" w:color="auto"/>
            </w:tcBorders>
            <w:shd w:val="clear" w:color="auto" w:fill="auto"/>
          </w:tcPr>
          <w:p w14:paraId="25310461" w14:textId="77777777" w:rsidR="006003AD" w:rsidRDefault="006003AD" w:rsidP="00AA681A">
            <w:pPr>
              <w:pStyle w:val="af"/>
              <w:spacing w:before="80" w:after="0" w:line="240" w:lineRule="auto"/>
              <w:ind w:firstLine="0"/>
            </w:pPr>
            <w:r>
              <w:rPr>
                <w:rStyle w:val="ae"/>
              </w:rPr>
              <w:t>Business Unit</w:t>
            </w:r>
          </w:p>
        </w:tc>
      </w:tr>
      <w:tr w:rsidR="006003AD" w14:paraId="7BD53904"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5F6222C5" w14:textId="77777777" w:rsidR="006003AD" w:rsidRDefault="006003AD" w:rsidP="00AA681A">
            <w:pPr>
              <w:pStyle w:val="af"/>
              <w:spacing w:after="0" w:line="240" w:lineRule="auto"/>
              <w:ind w:firstLine="0"/>
            </w:pPr>
            <w:r>
              <w:rPr>
                <w:rStyle w:val="ae"/>
              </w:rPr>
              <w:t>CPG</w:t>
            </w:r>
          </w:p>
        </w:tc>
        <w:tc>
          <w:tcPr>
            <w:tcW w:w="6468" w:type="dxa"/>
            <w:tcBorders>
              <w:top w:val="single" w:sz="4" w:space="0" w:color="auto"/>
              <w:left w:val="single" w:sz="4" w:space="0" w:color="auto"/>
              <w:right w:val="single" w:sz="4" w:space="0" w:color="auto"/>
            </w:tcBorders>
            <w:shd w:val="clear" w:color="auto" w:fill="auto"/>
          </w:tcPr>
          <w:p w14:paraId="52DCCDEF" w14:textId="77777777" w:rsidR="006003AD" w:rsidRDefault="006003AD" w:rsidP="00AA681A">
            <w:pPr>
              <w:pStyle w:val="af"/>
              <w:spacing w:before="80" w:after="0" w:line="240" w:lineRule="auto"/>
              <w:ind w:firstLine="0"/>
            </w:pPr>
            <w:r>
              <w:rPr>
                <w:rStyle w:val="ae"/>
              </w:rPr>
              <w:t>Corporate Policy Governance</w:t>
            </w:r>
          </w:p>
        </w:tc>
      </w:tr>
      <w:tr w:rsidR="006003AD" w14:paraId="4E49E794" w14:textId="77777777" w:rsidTr="00AA681A">
        <w:tblPrEx>
          <w:tblCellMar>
            <w:top w:w="0" w:type="dxa"/>
            <w:bottom w:w="0" w:type="dxa"/>
          </w:tblCellMar>
        </w:tblPrEx>
        <w:trPr>
          <w:trHeight w:hRule="exact" w:val="480"/>
          <w:jc w:val="right"/>
        </w:trPr>
        <w:tc>
          <w:tcPr>
            <w:tcW w:w="1534" w:type="dxa"/>
            <w:tcBorders>
              <w:top w:val="single" w:sz="4" w:space="0" w:color="auto"/>
              <w:left w:val="single" w:sz="4" w:space="0" w:color="auto"/>
            </w:tcBorders>
            <w:shd w:val="clear" w:color="auto" w:fill="auto"/>
          </w:tcPr>
          <w:p w14:paraId="3DF93D92" w14:textId="77777777" w:rsidR="006003AD" w:rsidRDefault="006003AD" w:rsidP="00AA681A">
            <w:pPr>
              <w:pStyle w:val="af"/>
              <w:spacing w:after="0" w:line="240" w:lineRule="auto"/>
              <w:ind w:firstLine="0"/>
            </w:pPr>
            <w:r>
              <w:rPr>
                <w:rStyle w:val="ae"/>
              </w:rPr>
              <w:t>EBS</w:t>
            </w:r>
          </w:p>
        </w:tc>
        <w:tc>
          <w:tcPr>
            <w:tcW w:w="6468" w:type="dxa"/>
            <w:tcBorders>
              <w:top w:val="single" w:sz="4" w:space="0" w:color="auto"/>
              <w:left w:val="single" w:sz="4" w:space="0" w:color="auto"/>
              <w:right w:val="single" w:sz="4" w:space="0" w:color="auto"/>
            </w:tcBorders>
            <w:shd w:val="clear" w:color="auto" w:fill="auto"/>
          </w:tcPr>
          <w:p w14:paraId="1DBBF244" w14:textId="77777777" w:rsidR="006003AD" w:rsidRDefault="006003AD" w:rsidP="00AA681A">
            <w:pPr>
              <w:pStyle w:val="af"/>
              <w:spacing w:before="80" w:after="0" w:line="240" w:lineRule="auto"/>
              <w:ind w:firstLine="0"/>
            </w:pPr>
            <w:r>
              <w:rPr>
                <w:rStyle w:val="ae"/>
              </w:rPr>
              <w:t>Economic Balance Sheet</w:t>
            </w:r>
          </w:p>
        </w:tc>
      </w:tr>
      <w:tr w:rsidR="006003AD" w14:paraId="7CAA673C"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0446008C" w14:textId="77777777" w:rsidR="006003AD" w:rsidRDefault="006003AD" w:rsidP="00AA681A">
            <w:pPr>
              <w:pStyle w:val="af"/>
              <w:spacing w:after="0" w:line="240" w:lineRule="auto"/>
              <w:ind w:firstLine="0"/>
            </w:pPr>
            <w:r>
              <w:rPr>
                <w:rStyle w:val="ae"/>
              </w:rPr>
              <w:t>ERM</w:t>
            </w:r>
          </w:p>
        </w:tc>
        <w:tc>
          <w:tcPr>
            <w:tcW w:w="6468" w:type="dxa"/>
            <w:tcBorders>
              <w:top w:val="single" w:sz="4" w:space="0" w:color="auto"/>
              <w:left w:val="single" w:sz="4" w:space="0" w:color="auto"/>
              <w:right w:val="single" w:sz="4" w:space="0" w:color="auto"/>
            </w:tcBorders>
            <w:shd w:val="clear" w:color="auto" w:fill="auto"/>
          </w:tcPr>
          <w:p w14:paraId="0C8F9DEE" w14:textId="77777777" w:rsidR="006003AD" w:rsidRDefault="006003AD" w:rsidP="00AA681A">
            <w:pPr>
              <w:pStyle w:val="af"/>
              <w:spacing w:before="80" w:after="0" w:line="240" w:lineRule="auto"/>
              <w:ind w:firstLine="0"/>
            </w:pPr>
            <w:r>
              <w:rPr>
                <w:rStyle w:val="ae"/>
              </w:rPr>
              <w:t>Enterprise Risk Management</w:t>
            </w:r>
          </w:p>
        </w:tc>
      </w:tr>
      <w:tr w:rsidR="006003AD" w14:paraId="0AF3BED8"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30475658" w14:textId="77777777" w:rsidR="006003AD" w:rsidRDefault="006003AD" w:rsidP="00AA681A">
            <w:pPr>
              <w:pStyle w:val="af"/>
              <w:spacing w:after="0" w:line="240" w:lineRule="auto"/>
              <w:ind w:firstLine="0"/>
            </w:pPr>
            <w:r>
              <w:rPr>
                <w:rStyle w:val="ae"/>
              </w:rPr>
              <w:t>FCR</w:t>
            </w:r>
          </w:p>
        </w:tc>
        <w:tc>
          <w:tcPr>
            <w:tcW w:w="6468" w:type="dxa"/>
            <w:tcBorders>
              <w:top w:val="single" w:sz="4" w:space="0" w:color="auto"/>
              <w:left w:val="single" w:sz="4" w:space="0" w:color="auto"/>
              <w:right w:val="single" w:sz="4" w:space="0" w:color="auto"/>
            </w:tcBorders>
            <w:shd w:val="clear" w:color="auto" w:fill="auto"/>
          </w:tcPr>
          <w:p w14:paraId="3BC83706" w14:textId="77777777" w:rsidR="006003AD" w:rsidRDefault="006003AD" w:rsidP="00AA681A">
            <w:pPr>
              <w:pStyle w:val="af"/>
              <w:spacing w:before="80" w:after="0" w:line="240" w:lineRule="auto"/>
              <w:ind w:firstLine="0"/>
            </w:pPr>
            <w:r>
              <w:rPr>
                <w:rStyle w:val="ae"/>
              </w:rPr>
              <w:t>Financial Condition Report</w:t>
            </w:r>
          </w:p>
        </w:tc>
      </w:tr>
      <w:tr w:rsidR="006003AD" w14:paraId="005EC50B"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43ED19E5" w14:textId="77777777" w:rsidR="006003AD" w:rsidRDefault="006003AD" w:rsidP="00AA681A">
            <w:pPr>
              <w:pStyle w:val="af"/>
              <w:spacing w:after="0" w:line="240" w:lineRule="auto"/>
              <w:ind w:firstLine="0"/>
            </w:pPr>
            <w:r>
              <w:rPr>
                <w:rStyle w:val="ae"/>
              </w:rPr>
              <w:t>FRC</w:t>
            </w:r>
          </w:p>
        </w:tc>
        <w:tc>
          <w:tcPr>
            <w:tcW w:w="6468" w:type="dxa"/>
            <w:tcBorders>
              <w:top w:val="single" w:sz="4" w:space="0" w:color="auto"/>
              <w:left w:val="single" w:sz="4" w:space="0" w:color="auto"/>
              <w:right w:val="single" w:sz="4" w:space="0" w:color="auto"/>
            </w:tcBorders>
            <w:shd w:val="clear" w:color="auto" w:fill="auto"/>
          </w:tcPr>
          <w:p w14:paraId="7A072D38" w14:textId="77777777" w:rsidR="006003AD" w:rsidRDefault="006003AD" w:rsidP="00AA681A">
            <w:pPr>
              <w:pStyle w:val="af"/>
              <w:spacing w:before="80" w:after="0" w:line="240" w:lineRule="auto"/>
              <w:ind w:firstLine="0"/>
            </w:pPr>
            <w:r>
              <w:rPr>
                <w:rStyle w:val="ae"/>
              </w:rPr>
              <w:t>Financial Risk Committee</w:t>
            </w:r>
          </w:p>
        </w:tc>
      </w:tr>
      <w:tr w:rsidR="006003AD" w14:paraId="5E961BE3"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4EB9E8AC" w14:textId="77777777" w:rsidR="006003AD" w:rsidRDefault="006003AD" w:rsidP="00AA681A">
            <w:pPr>
              <w:pStyle w:val="af"/>
              <w:spacing w:after="0" w:line="240" w:lineRule="auto"/>
              <w:ind w:firstLine="0"/>
            </w:pPr>
            <w:r>
              <w:rPr>
                <w:rStyle w:val="ae"/>
              </w:rPr>
              <w:t>GAAMCO</w:t>
            </w:r>
          </w:p>
        </w:tc>
        <w:tc>
          <w:tcPr>
            <w:tcW w:w="6468" w:type="dxa"/>
            <w:tcBorders>
              <w:top w:val="single" w:sz="4" w:space="0" w:color="auto"/>
              <w:left w:val="single" w:sz="4" w:space="0" w:color="auto"/>
              <w:right w:val="single" w:sz="4" w:space="0" w:color="auto"/>
            </w:tcBorders>
            <w:shd w:val="clear" w:color="auto" w:fill="auto"/>
          </w:tcPr>
          <w:p w14:paraId="4D1FF8BC" w14:textId="77777777" w:rsidR="006003AD" w:rsidRDefault="006003AD" w:rsidP="00AA681A">
            <w:pPr>
              <w:pStyle w:val="af"/>
              <w:spacing w:after="0" w:line="240" w:lineRule="auto"/>
              <w:ind w:firstLine="0"/>
            </w:pPr>
            <w:r>
              <w:rPr>
                <w:rStyle w:val="ae"/>
              </w:rPr>
              <w:t>Group Actuarial Assumptions and Methodology Committee</w:t>
            </w:r>
          </w:p>
        </w:tc>
      </w:tr>
      <w:tr w:rsidR="006003AD" w14:paraId="0E8EC434"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3FB8BA44" w14:textId="77777777" w:rsidR="006003AD" w:rsidRDefault="006003AD" w:rsidP="00AA681A">
            <w:pPr>
              <w:pStyle w:val="af"/>
              <w:spacing w:after="0" w:line="240" w:lineRule="auto"/>
              <w:ind w:firstLine="0"/>
            </w:pPr>
            <w:r>
              <w:rPr>
                <w:rStyle w:val="ae"/>
              </w:rPr>
              <w:t>GALCO</w:t>
            </w:r>
          </w:p>
        </w:tc>
        <w:tc>
          <w:tcPr>
            <w:tcW w:w="6468" w:type="dxa"/>
            <w:tcBorders>
              <w:top w:val="single" w:sz="4" w:space="0" w:color="auto"/>
              <w:left w:val="single" w:sz="4" w:space="0" w:color="auto"/>
              <w:right w:val="single" w:sz="4" w:space="0" w:color="auto"/>
            </w:tcBorders>
            <w:shd w:val="clear" w:color="auto" w:fill="auto"/>
          </w:tcPr>
          <w:p w14:paraId="2CCEA4A3" w14:textId="77777777" w:rsidR="006003AD" w:rsidRDefault="006003AD" w:rsidP="00AA681A">
            <w:pPr>
              <w:pStyle w:val="af"/>
              <w:spacing w:after="0" w:line="240" w:lineRule="auto"/>
              <w:ind w:firstLine="0"/>
            </w:pPr>
            <w:r>
              <w:rPr>
                <w:rStyle w:val="ae"/>
              </w:rPr>
              <w:t>Group Asset Liability Management Committee</w:t>
            </w:r>
          </w:p>
        </w:tc>
      </w:tr>
      <w:tr w:rsidR="006003AD" w14:paraId="00B8E509" w14:textId="77777777" w:rsidTr="00AA681A">
        <w:tblPrEx>
          <w:tblCellMar>
            <w:top w:w="0" w:type="dxa"/>
            <w:bottom w:w="0" w:type="dxa"/>
          </w:tblCellMar>
        </w:tblPrEx>
        <w:trPr>
          <w:trHeight w:hRule="exact" w:val="468"/>
          <w:jc w:val="right"/>
        </w:trPr>
        <w:tc>
          <w:tcPr>
            <w:tcW w:w="1534" w:type="dxa"/>
            <w:tcBorders>
              <w:top w:val="single" w:sz="4" w:space="0" w:color="auto"/>
              <w:left w:val="single" w:sz="4" w:space="0" w:color="auto"/>
            </w:tcBorders>
            <w:shd w:val="clear" w:color="auto" w:fill="auto"/>
          </w:tcPr>
          <w:p w14:paraId="1609C134" w14:textId="77777777" w:rsidR="006003AD" w:rsidRDefault="006003AD" w:rsidP="00AA681A">
            <w:pPr>
              <w:pStyle w:val="af"/>
              <w:spacing w:after="0" w:line="240" w:lineRule="auto"/>
              <w:ind w:firstLine="0"/>
            </w:pPr>
            <w:r>
              <w:rPr>
                <w:rStyle w:val="ae"/>
              </w:rPr>
              <w:t>GEASCO</w:t>
            </w:r>
          </w:p>
        </w:tc>
        <w:tc>
          <w:tcPr>
            <w:tcW w:w="6468" w:type="dxa"/>
            <w:tcBorders>
              <w:top w:val="single" w:sz="4" w:space="0" w:color="auto"/>
              <w:left w:val="single" w:sz="4" w:space="0" w:color="auto"/>
              <w:right w:val="single" w:sz="4" w:space="0" w:color="auto"/>
            </w:tcBorders>
            <w:shd w:val="clear" w:color="auto" w:fill="auto"/>
          </w:tcPr>
          <w:p w14:paraId="0F45B838" w14:textId="77777777" w:rsidR="006003AD" w:rsidRDefault="006003AD" w:rsidP="00AA681A">
            <w:pPr>
              <w:pStyle w:val="af"/>
              <w:spacing w:after="0" w:line="240" w:lineRule="auto"/>
              <w:ind w:firstLine="0"/>
            </w:pPr>
            <w:r>
              <w:rPr>
                <w:rStyle w:val="ae"/>
              </w:rPr>
              <w:t>Group Economic Assumption Setting Committee</w:t>
            </w:r>
          </w:p>
        </w:tc>
      </w:tr>
      <w:tr w:rsidR="006003AD" w14:paraId="7C4EE8F7"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50372F95" w14:textId="77777777" w:rsidR="006003AD" w:rsidRDefault="006003AD" w:rsidP="00AA681A">
            <w:pPr>
              <w:pStyle w:val="af"/>
              <w:spacing w:after="0" w:line="240" w:lineRule="auto"/>
              <w:ind w:firstLine="0"/>
            </w:pPr>
            <w:r>
              <w:rPr>
                <w:rStyle w:val="ae"/>
              </w:rPr>
              <w:t>GIECA</w:t>
            </w:r>
          </w:p>
        </w:tc>
        <w:tc>
          <w:tcPr>
            <w:tcW w:w="6468" w:type="dxa"/>
            <w:tcBorders>
              <w:top w:val="single" w:sz="4" w:space="0" w:color="auto"/>
              <w:left w:val="single" w:sz="4" w:space="0" w:color="auto"/>
              <w:right w:val="single" w:sz="4" w:space="0" w:color="auto"/>
            </w:tcBorders>
            <w:shd w:val="clear" w:color="auto" w:fill="auto"/>
          </w:tcPr>
          <w:p w14:paraId="70295280" w14:textId="77777777" w:rsidR="006003AD" w:rsidRDefault="006003AD" w:rsidP="00AA681A">
            <w:pPr>
              <w:pStyle w:val="af"/>
              <w:spacing w:after="0" w:line="240" w:lineRule="auto"/>
              <w:ind w:firstLine="0"/>
            </w:pPr>
            <w:r>
              <w:rPr>
                <w:rStyle w:val="ae"/>
              </w:rPr>
              <w:t>Group Internal Economic Capital Assessment</w:t>
            </w:r>
          </w:p>
        </w:tc>
      </w:tr>
      <w:tr w:rsidR="006003AD" w14:paraId="1C103660" w14:textId="77777777" w:rsidTr="00AA681A">
        <w:tblPrEx>
          <w:tblCellMar>
            <w:top w:w="0" w:type="dxa"/>
            <w:bottom w:w="0" w:type="dxa"/>
          </w:tblCellMar>
        </w:tblPrEx>
        <w:trPr>
          <w:trHeight w:hRule="exact" w:val="468"/>
          <w:jc w:val="right"/>
        </w:trPr>
        <w:tc>
          <w:tcPr>
            <w:tcW w:w="1534" w:type="dxa"/>
            <w:tcBorders>
              <w:top w:val="single" w:sz="4" w:space="0" w:color="auto"/>
              <w:left w:val="single" w:sz="4" w:space="0" w:color="auto"/>
            </w:tcBorders>
            <w:shd w:val="clear" w:color="auto" w:fill="auto"/>
          </w:tcPr>
          <w:p w14:paraId="7A4C3E4B" w14:textId="77777777" w:rsidR="006003AD" w:rsidRDefault="006003AD" w:rsidP="00AA681A">
            <w:pPr>
              <w:pStyle w:val="af"/>
              <w:spacing w:after="0" w:line="240" w:lineRule="auto"/>
              <w:ind w:firstLine="0"/>
            </w:pPr>
            <w:r>
              <w:rPr>
                <w:rStyle w:val="ae"/>
              </w:rPr>
              <w:t>HKIO</w:t>
            </w:r>
          </w:p>
        </w:tc>
        <w:tc>
          <w:tcPr>
            <w:tcW w:w="6468" w:type="dxa"/>
            <w:tcBorders>
              <w:top w:val="single" w:sz="4" w:space="0" w:color="auto"/>
              <w:left w:val="single" w:sz="4" w:space="0" w:color="auto"/>
              <w:right w:val="single" w:sz="4" w:space="0" w:color="auto"/>
            </w:tcBorders>
            <w:shd w:val="clear" w:color="auto" w:fill="auto"/>
          </w:tcPr>
          <w:p w14:paraId="59FEB91B" w14:textId="77777777" w:rsidR="006003AD" w:rsidRDefault="006003AD" w:rsidP="00AA681A">
            <w:pPr>
              <w:pStyle w:val="af"/>
              <w:spacing w:after="0" w:line="240" w:lineRule="auto"/>
              <w:ind w:firstLine="0"/>
            </w:pPr>
            <w:r>
              <w:rPr>
                <w:rStyle w:val="ae"/>
              </w:rPr>
              <w:t>Hong Kong Insurance Ordinance</w:t>
            </w:r>
          </w:p>
        </w:tc>
      </w:tr>
      <w:tr w:rsidR="006003AD" w14:paraId="7A6D5BDD"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3502B420" w14:textId="77777777" w:rsidR="006003AD" w:rsidRDefault="006003AD" w:rsidP="00AA681A">
            <w:pPr>
              <w:pStyle w:val="af"/>
              <w:spacing w:before="80" w:after="0" w:line="240" w:lineRule="auto"/>
              <w:ind w:firstLine="0"/>
            </w:pPr>
            <w:r>
              <w:rPr>
                <w:rStyle w:val="ae"/>
              </w:rPr>
              <w:t>HKRBC</w:t>
            </w:r>
          </w:p>
        </w:tc>
        <w:tc>
          <w:tcPr>
            <w:tcW w:w="6468" w:type="dxa"/>
            <w:tcBorders>
              <w:top w:val="single" w:sz="4" w:space="0" w:color="auto"/>
              <w:left w:val="single" w:sz="4" w:space="0" w:color="auto"/>
              <w:right w:val="single" w:sz="4" w:space="0" w:color="auto"/>
            </w:tcBorders>
            <w:shd w:val="clear" w:color="auto" w:fill="auto"/>
          </w:tcPr>
          <w:p w14:paraId="43C512C1" w14:textId="77777777" w:rsidR="006003AD" w:rsidRDefault="006003AD" w:rsidP="00AA681A">
            <w:pPr>
              <w:pStyle w:val="af"/>
              <w:spacing w:after="0" w:line="240" w:lineRule="auto"/>
              <w:ind w:firstLine="0"/>
            </w:pPr>
            <w:r>
              <w:rPr>
                <w:rStyle w:val="ae"/>
              </w:rPr>
              <w:t>Hong Kong Risk Based Capital</w:t>
            </w:r>
          </w:p>
        </w:tc>
      </w:tr>
      <w:tr w:rsidR="006003AD" w14:paraId="7369EE76" w14:textId="77777777" w:rsidTr="00AA681A">
        <w:tblPrEx>
          <w:tblCellMar>
            <w:top w:w="0" w:type="dxa"/>
            <w:bottom w:w="0" w:type="dxa"/>
          </w:tblCellMar>
        </w:tblPrEx>
        <w:trPr>
          <w:trHeight w:hRule="exact" w:val="820"/>
          <w:jc w:val="right"/>
        </w:trPr>
        <w:tc>
          <w:tcPr>
            <w:tcW w:w="1534" w:type="dxa"/>
            <w:tcBorders>
              <w:top w:val="single" w:sz="4" w:space="0" w:color="auto"/>
              <w:left w:val="single" w:sz="4" w:space="0" w:color="auto"/>
            </w:tcBorders>
            <w:shd w:val="clear" w:color="auto" w:fill="auto"/>
          </w:tcPr>
          <w:p w14:paraId="506A20C0" w14:textId="77777777" w:rsidR="006003AD" w:rsidRDefault="006003AD" w:rsidP="00AA681A">
            <w:pPr>
              <w:pStyle w:val="af"/>
              <w:spacing w:after="120" w:line="240" w:lineRule="auto"/>
              <w:ind w:firstLine="0"/>
            </w:pPr>
            <w:r>
              <w:rPr>
                <w:rStyle w:val="ae"/>
              </w:rPr>
              <w:t>Management</w:t>
            </w:r>
          </w:p>
          <w:p w14:paraId="12773C25" w14:textId="77777777" w:rsidR="006003AD" w:rsidRDefault="006003AD" w:rsidP="00AA681A">
            <w:pPr>
              <w:pStyle w:val="af"/>
              <w:spacing w:after="0" w:line="240" w:lineRule="auto"/>
              <w:ind w:firstLine="0"/>
            </w:pPr>
            <w:r>
              <w:rPr>
                <w:rStyle w:val="ae"/>
              </w:rPr>
              <w:t>Committees</w:t>
            </w:r>
          </w:p>
        </w:tc>
        <w:tc>
          <w:tcPr>
            <w:tcW w:w="6468" w:type="dxa"/>
            <w:tcBorders>
              <w:top w:val="single" w:sz="4" w:space="0" w:color="auto"/>
              <w:left w:val="single" w:sz="4" w:space="0" w:color="auto"/>
              <w:right w:val="single" w:sz="4" w:space="0" w:color="auto"/>
            </w:tcBorders>
            <w:shd w:val="clear" w:color="auto" w:fill="auto"/>
          </w:tcPr>
          <w:p w14:paraId="034B1B7B" w14:textId="77777777" w:rsidR="006003AD" w:rsidRDefault="006003AD" w:rsidP="00AA681A">
            <w:pPr>
              <w:pStyle w:val="af"/>
              <w:spacing w:after="0" w:line="377" w:lineRule="auto"/>
              <w:ind w:firstLine="0"/>
            </w:pPr>
            <w:r>
              <w:rPr>
                <w:rStyle w:val="ae"/>
              </w:rPr>
              <w:t>Management committees of AIA Group, including but not limited to Group FRC, Group Operating Risk Committee, GAAMCO and GALCO</w:t>
            </w:r>
          </w:p>
        </w:tc>
      </w:tr>
      <w:tr w:rsidR="006003AD" w14:paraId="192C0A46"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41EE083A" w14:textId="77777777" w:rsidR="006003AD" w:rsidRDefault="006003AD" w:rsidP="00AA681A">
            <w:pPr>
              <w:pStyle w:val="af"/>
              <w:spacing w:after="0" w:line="240" w:lineRule="auto"/>
              <w:ind w:firstLine="0"/>
            </w:pPr>
            <w:r>
              <w:rPr>
                <w:rStyle w:val="ae"/>
              </w:rPr>
              <w:t>ORSA</w:t>
            </w:r>
          </w:p>
        </w:tc>
        <w:tc>
          <w:tcPr>
            <w:tcW w:w="6468" w:type="dxa"/>
            <w:tcBorders>
              <w:top w:val="single" w:sz="4" w:space="0" w:color="auto"/>
              <w:left w:val="single" w:sz="4" w:space="0" w:color="auto"/>
              <w:right w:val="single" w:sz="4" w:space="0" w:color="auto"/>
            </w:tcBorders>
            <w:shd w:val="clear" w:color="auto" w:fill="auto"/>
          </w:tcPr>
          <w:p w14:paraId="63BE5E14" w14:textId="77777777" w:rsidR="006003AD" w:rsidRDefault="006003AD" w:rsidP="00AA681A">
            <w:pPr>
              <w:pStyle w:val="af"/>
              <w:spacing w:after="0" w:line="240" w:lineRule="auto"/>
              <w:ind w:firstLine="0"/>
            </w:pPr>
            <w:r>
              <w:rPr>
                <w:rStyle w:val="ae"/>
              </w:rPr>
              <w:t>Own Risk and Solvency Assessment</w:t>
            </w:r>
          </w:p>
        </w:tc>
      </w:tr>
      <w:tr w:rsidR="006003AD" w14:paraId="2601FD57" w14:textId="77777777" w:rsidTr="00AA681A">
        <w:tblPrEx>
          <w:tblCellMar>
            <w:top w:w="0" w:type="dxa"/>
            <w:bottom w:w="0" w:type="dxa"/>
          </w:tblCellMar>
        </w:tblPrEx>
        <w:trPr>
          <w:trHeight w:hRule="exact" w:val="474"/>
          <w:jc w:val="right"/>
        </w:trPr>
        <w:tc>
          <w:tcPr>
            <w:tcW w:w="1534" w:type="dxa"/>
            <w:tcBorders>
              <w:top w:val="single" w:sz="4" w:space="0" w:color="auto"/>
              <w:left w:val="single" w:sz="4" w:space="0" w:color="auto"/>
            </w:tcBorders>
            <w:shd w:val="clear" w:color="auto" w:fill="auto"/>
          </w:tcPr>
          <w:p w14:paraId="4992CD36" w14:textId="77777777" w:rsidR="006003AD" w:rsidRDefault="006003AD" w:rsidP="00AA681A">
            <w:pPr>
              <w:pStyle w:val="af"/>
              <w:spacing w:before="80" w:after="0" w:line="240" w:lineRule="auto"/>
              <w:ind w:firstLine="0"/>
            </w:pPr>
            <w:r>
              <w:rPr>
                <w:rStyle w:val="ae"/>
              </w:rPr>
              <w:t>Policy</w:t>
            </w:r>
          </w:p>
        </w:tc>
        <w:tc>
          <w:tcPr>
            <w:tcW w:w="6468" w:type="dxa"/>
            <w:tcBorders>
              <w:top w:val="single" w:sz="4" w:space="0" w:color="auto"/>
              <w:left w:val="single" w:sz="4" w:space="0" w:color="auto"/>
              <w:right w:val="single" w:sz="4" w:space="0" w:color="auto"/>
            </w:tcBorders>
            <w:shd w:val="clear" w:color="auto" w:fill="auto"/>
          </w:tcPr>
          <w:p w14:paraId="1FD769C9" w14:textId="77777777" w:rsidR="006003AD" w:rsidRDefault="006003AD" w:rsidP="00AA681A">
            <w:pPr>
              <w:pStyle w:val="af"/>
              <w:spacing w:after="0" w:line="240" w:lineRule="auto"/>
              <w:ind w:firstLine="0"/>
            </w:pPr>
            <w:r>
              <w:rPr>
                <w:rStyle w:val="ae"/>
              </w:rPr>
              <w:t>AIA Group Actuarial Policy</w:t>
            </w:r>
          </w:p>
        </w:tc>
      </w:tr>
      <w:tr w:rsidR="006003AD" w14:paraId="107FB8E6" w14:textId="77777777" w:rsidTr="00AA681A">
        <w:tblPrEx>
          <w:tblCellMar>
            <w:top w:w="0" w:type="dxa"/>
            <w:bottom w:w="0" w:type="dxa"/>
          </w:tblCellMar>
        </w:tblPrEx>
        <w:trPr>
          <w:trHeight w:hRule="exact" w:val="1171"/>
          <w:jc w:val="right"/>
        </w:trPr>
        <w:tc>
          <w:tcPr>
            <w:tcW w:w="1534" w:type="dxa"/>
            <w:tcBorders>
              <w:top w:val="single" w:sz="4" w:space="0" w:color="auto"/>
              <w:left w:val="single" w:sz="4" w:space="0" w:color="auto"/>
            </w:tcBorders>
            <w:shd w:val="clear" w:color="auto" w:fill="auto"/>
            <w:vAlign w:val="center"/>
          </w:tcPr>
          <w:p w14:paraId="3560CAB9" w14:textId="77777777" w:rsidR="006003AD" w:rsidRDefault="006003AD" w:rsidP="00AA681A">
            <w:pPr>
              <w:pStyle w:val="af"/>
              <w:spacing w:after="0"/>
              <w:ind w:firstLine="0"/>
            </w:pPr>
            <w:r>
              <w:rPr>
                <w:rStyle w:val="ae"/>
              </w:rPr>
              <w:t>Regulatory and Other Requirements</w:t>
            </w:r>
          </w:p>
        </w:tc>
        <w:tc>
          <w:tcPr>
            <w:tcW w:w="6468" w:type="dxa"/>
            <w:tcBorders>
              <w:top w:val="single" w:sz="4" w:space="0" w:color="auto"/>
              <w:left w:val="single" w:sz="4" w:space="0" w:color="auto"/>
              <w:right w:val="single" w:sz="4" w:space="0" w:color="auto"/>
            </w:tcBorders>
            <w:shd w:val="clear" w:color="auto" w:fill="auto"/>
          </w:tcPr>
          <w:p w14:paraId="5D4DE60F" w14:textId="77777777" w:rsidR="006003AD" w:rsidRDefault="006003AD" w:rsidP="00AA681A">
            <w:pPr>
              <w:pStyle w:val="af"/>
              <w:spacing w:after="0"/>
              <w:ind w:firstLine="0"/>
            </w:pPr>
            <w:r>
              <w:rPr>
                <w:rStyle w:val="ae"/>
              </w:rPr>
              <w:t>Relevant statutory and regulatory requirements, accounting standards, professional actuarial standards and/or internal requirements</w:t>
            </w:r>
          </w:p>
        </w:tc>
      </w:tr>
      <w:tr w:rsidR="006003AD" w14:paraId="4468EFB2" w14:textId="77777777" w:rsidTr="00AA681A">
        <w:tblPrEx>
          <w:tblCellMar>
            <w:top w:w="0" w:type="dxa"/>
            <w:bottom w:w="0" w:type="dxa"/>
          </w:tblCellMar>
        </w:tblPrEx>
        <w:trPr>
          <w:trHeight w:hRule="exact" w:val="486"/>
          <w:jc w:val="right"/>
        </w:trPr>
        <w:tc>
          <w:tcPr>
            <w:tcW w:w="1534" w:type="dxa"/>
            <w:tcBorders>
              <w:top w:val="single" w:sz="4" w:space="0" w:color="auto"/>
              <w:left w:val="single" w:sz="4" w:space="0" w:color="auto"/>
              <w:bottom w:val="single" w:sz="4" w:space="0" w:color="auto"/>
            </w:tcBorders>
            <w:shd w:val="clear" w:color="auto" w:fill="auto"/>
            <w:vAlign w:val="center"/>
          </w:tcPr>
          <w:p w14:paraId="0EE5152B" w14:textId="77777777" w:rsidR="006003AD" w:rsidRDefault="006003AD" w:rsidP="00AA681A">
            <w:pPr>
              <w:pStyle w:val="af"/>
              <w:spacing w:after="0" w:line="240" w:lineRule="auto"/>
              <w:ind w:firstLine="0"/>
            </w:pPr>
            <w:r>
              <w:rPr>
                <w:rStyle w:val="ae"/>
              </w:rPr>
              <w:t>SAA</w:t>
            </w:r>
          </w:p>
        </w:tc>
        <w:tc>
          <w:tcPr>
            <w:tcW w:w="6468" w:type="dxa"/>
            <w:tcBorders>
              <w:top w:val="single" w:sz="4" w:space="0" w:color="auto"/>
              <w:left w:val="single" w:sz="4" w:space="0" w:color="auto"/>
              <w:bottom w:val="single" w:sz="4" w:space="0" w:color="auto"/>
              <w:right w:val="single" w:sz="4" w:space="0" w:color="auto"/>
            </w:tcBorders>
            <w:shd w:val="clear" w:color="auto" w:fill="auto"/>
            <w:vAlign w:val="center"/>
          </w:tcPr>
          <w:p w14:paraId="0569BC49" w14:textId="77777777" w:rsidR="006003AD" w:rsidRDefault="006003AD" w:rsidP="00AA681A">
            <w:pPr>
              <w:pStyle w:val="af"/>
              <w:spacing w:after="0" w:line="240" w:lineRule="auto"/>
              <w:ind w:firstLine="0"/>
            </w:pPr>
            <w:r>
              <w:rPr>
                <w:rStyle w:val="ae"/>
              </w:rPr>
              <w:t>Strategic Asset Allocation</w:t>
            </w:r>
          </w:p>
        </w:tc>
      </w:tr>
    </w:tbl>
    <w:p w14:paraId="08C05BD4" w14:textId="77777777" w:rsidR="006003AD" w:rsidRDefault="006003AD" w:rsidP="006003AD">
      <w:pPr>
        <w:pStyle w:val="27"/>
        <w:keepNext/>
        <w:keepLines/>
        <w:numPr>
          <w:ilvl w:val="1"/>
          <w:numId w:val="8"/>
        </w:numPr>
        <w:tabs>
          <w:tab w:val="left" w:pos="840"/>
        </w:tabs>
      </w:pPr>
      <w:bookmarkStart w:id="7" w:name="bookmark18"/>
      <w:r>
        <w:rPr>
          <w:rStyle w:val="26"/>
        </w:rPr>
        <w:t>Interpretation and Application</w:t>
      </w:r>
      <w:bookmarkEnd w:id="7"/>
    </w:p>
    <w:p w14:paraId="568F9786" w14:textId="77777777" w:rsidR="006003AD" w:rsidRDefault="006003AD" w:rsidP="006003AD">
      <w:pPr>
        <w:pStyle w:val="ab"/>
        <w:spacing w:after="60" w:line="384" w:lineRule="auto"/>
        <w:ind w:firstLine="840"/>
        <w:jc w:val="both"/>
      </w:pPr>
      <w:r>
        <w:rPr>
          <w:rStyle w:val="aa"/>
        </w:rPr>
        <w:t>In this Policy, the following rules of interpretation apply unless otherwise specified:</w:t>
      </w:r>
    </w:p>
    <w:p w14:paraId="5DB4E2C5" w14:textId="77777777" w:rsidR="006003AD" w:rsidRDefault="006003AD" w:rsidP="006003AD">
      <w:pPr>
        <w:pStyle w:val="ab"/>
        <w:numPr>
          <w:ilvl w:val="0"/>
          <w:numId w:val="9"/>
        </w:numPr>
        <w:tabs>
          <w:tab w:val="left" w:pos="1509"/>
        </w:tabs>
        <w:spacing w:after="60" w:line="384" w:lineRule="auto"/>
        <w:ind w:left="1540" w:hanging="420"/>
      </w:pPr>
      <w:r>
        <w:rPr>
          <w:rStyle w:val="aa"/>
        </w:rPr>
        <w:t xml:space="preserve">if there is any conflict between this Policy and the applicable local laws and regulations, </w:t>
      </w:r>
      <w:r>
        <w:rPr>
          <w:rStyle w:val="aa"/>
        </w:rPr>
        <w:lastRenderedPageBreak/>
        <w:t xml:space="preserve">local laws and regulations shall prevail to the extent </w:t>
      </w:r>
      <w:proofErr w:type="gramStart"/>
      <w:r>
        <w:rPr>
          <w:rStyle w:val="aa"/>
        </w:rPr>
        <w:t>necessary;</w:t>
      </w:r>
      <w:proofErr w:type="gramEnd"/>
    </w:p>
    <w:p w14:paraId="7F6C7967" w14:textId="77777777" w:rsidR="006003AD" w:rsidRDefault="006003AD" w:rsidP="006003AD">
      <w:pPr>
        <w:pStyle w:val="ab"/>
        <w:numPr>
          <w:ilvl w:val="0"/>
          <w:numId w:val="9"/>
        </w:numPr>
        <w:tabs>
          <w:tab w:val="left" w:pos="1509"/>
        </w:tabs>
        <w:spacing w:after="60" w:line="384" w:lineRule="auto"/>
        <w:ind w:left="1100" w:firstLine="0"/>
        <w:jc w:val="both"/>
      </w:pPr>
      <w:r>
        <w:rPr>
          <w:rStyle w:val="aa"/>
        </w:rPr>
        <w:t xml:space="preserve">headings are for convenience only and do not affect the interpretation of this </w:t>
      </w:r>
      <w:proofErr w:type="gramStart"/>
      <w:r>
        <w:rPr>
          <w:rStyle w:val="aa"/>
        </w:rPr>
        <w:t>Policy;</w:t>
      </w:r>
      <w:proofErr w:type="gramEnd"/>
    </w:p>
    <w:p w14:paraId="7F7A5C73" w14:textId="77777777" w:rsidR="006003AD" w:rsidRDefault="006003AD" w:rsidP="006003AD">
      <w:pPr>
        <w:pStyle w:val="ab"/>
        <w:numPr>
          <w:ilvl w:val="0"/>
          <w:numId w:val="9"/>
        </w:numPr>
        <w:tabs>
          <w:tab w:val="left" w:pos="1509"/>
        </w:tabs>
        <w:spacing w:after="60" w:line="389" w:lineRule="auto"/>
        <w:ind w:left="1540" w:hanging="420"/>
      </w:pPr>
      <w:r>
        <w:rPr>
          <w:rStyle w:val="aa"/>
        </w:rPr>
        <w:t xml:space="preserve">words “such as”, “including”, "particularly” and similar expressions are not used as, nor are intended to be interpreted as, words of </w:t>
      </w:r>
      <w:proofErr w:type="gramStart"/>
      <w:r>
        <w:rPr>
          <w:rStyle w:val="aa"/>
        </w:rPr>
        <w:t>limitation;</w:t>
      </w:r>
      <w:proofErr w:type="gramEnd"/>
    </w:p>
    <w:p w14:paraId="1439A7AF" w14:textId="77777777" w:rsidR="006003AD" w:rsidRDefault="006003AD" w:rsidP="006003AD">
      <w:pPr>
        <w:pStyle w:val="ab"/>
        <w:numPr>
          <w:ilvl w:val="0"/>
          <w:numId w:val="9"/>
        </w:numPr>
        <w:tabs>
          <w:tab w:val="left" w:pos="1509"/>
        </w:tabs>
        <w:spacing w:after="60" w:line="384" w:lineRule="auto"/>
        <w:ind w:left="1100" w:firstLine="0"/>
      </w:pPr>
      <w:r>
        <w:rPr>
          <w:rStyle w:val="aa"/>
        </w:rPr>
        <w:t xml:space="preserve">words such as “should” and “shall” means that the provision is </w:t>
      </w:r>
      <w:proofErr w:type="gramStart"/>
      <w:r>
        <w:rPr>
          <w:rStyle w:val="aa"/>
        </w:rPr>
        <w:t>mandatory;</w:t>
      </w:r>
      <w:proofErr w:type="gramEnd"/>
    </w:p>
    <w:p w14:paraId="02E29A74" w14:textId="77777777" w:rsidR="006003AD" w:rsidRDefault="006003AD" w:rsidP="006003AD">
      <w:pPr>
        <w:pStyle w:val="ab"/>
        <w:numPr>
          <w:ilvl w:val="0"/>
          <w:numId w:val="9"/>
        </w:numPr>
        <w:tabs>
          <w:tab w:val="left" w:pos="1509"/>
        </w:tabs>
        <w:spacing w:after="60" w:line="384" w:lineRule="auto"/>
        <w:ind w:left="1100" w:firstLine="0"/>
      </w:pPr>
      <w:r>
        <w:rPr>
          <w:rStyle w:val="aa"/>
        </w:rPr>
        <w:t>the singular includes the plural and vice versa; and</w:t>
      </w:r>
    </w:p>
    <w:p w14:paraId="4A4BF841" w14:textId="77777777" w:rsidR="006003AD" w:rsidRDefault="006003AD" w:rsidP="006003AD">
      <w:pPr>
        <w:pStyle w:val="ab"/>
        <w:numPr>
          <w:ilvl w:val="0"/>
          <w:numId w:val="9"/>
        </w:numPr>
        <w:tabs>
          <w:tab w:val="left" w:pos="1509"/>
        </w:tabs>
        <w:spacing w:after="560" w:line="384" w:lineRule="auto"/>
        <w:ind w:left="1540" w:hanging="420"/>
        <w:jc w:val="both"/>
      </w:pPr>
      <w:r>
        <w:rPr>
          <w:rStyle w:val="aa"/>
        </w:rPr>
        <w:t>if there is any conflict between the body of this Policy and its appendices, schedules, attachments, and other documents, the terms of the main body of this Policy shall prevail.</w:t>
      </w:r>
    </w:p>
    <w:p w14:paraId="5F7FC495" w14:textId="77777777" w:rsidR="006003AD" w:rsidRDefault="006003AD" w:rsidP="006003AD">
      <w:pPr>
        <w:pStyle w:val="27"/>
        <w:keepNext/>
        <w:keepLines/>
        <w:numPr>
          <w:ilvl w:val="1"/>
          <w:numId w:val="8"/>
        </w:numPr>
        <w:tabs>
          <w:tab w:val="left" w:pos="840"/>
        </w:tabs>
      </w:pPr>
      <w:bookmarkStart w:id="8" w:name="bookmark20"/>
      <w:r>
        <w:rPr>
          <w:rStyle w:val="26"/>
        </w:rPr>
        <w:t>Consultation</w:t>
      </w:r>
      <w:bookmarkEnd w:id="8"/>
    </w:p>
    <w:p w14:paraId="43A57958" w14:textId="77777777" w:rsidR="006003AD" w:rsidRDefault="006003AD" w:rsidP="006003AD">
      <w:pPr>
        <w:pStyle w:val="ab"/>
        <w:spacing w:after="60" w:line="384" w:lineRule="auto"/>
        <w:ind w:firstLine="840"/>
        <w:jc w:val="both"/>
      </w:pPr>
      <w:r>
        <w:rPr>
          <w:rStyle w:val="aa"/>
        </w:rPr>
        <w:t>This Policy has been consulted with the following parties as per the AIA Group CPG Standard:</w:t>
      </w:r>
    </w:p>
    <w:p w14:paraId="3E2D106B"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Group Chief Financial </w:t>
      </w:r>
      <w:proofErr w:type="gramStart"/>
      <w:r>
        <w:rPr>
          <w:rStyle w:val="aa"/>
        </w:rPr>
        <w:t>Officer;</w:t>
      </w:r>
      <w:proofErr w:type="gramEnd"/>
    </w:p>
    <w:p w14:paraId="61DB9E7A"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Director of Group Capital </w:t>
      </w:r>
      <w:proofErr w:type="gramStart"/>
      <w:r>
        <w:rPr>
          <w:rStyle w:val="aa"/>
        </w:rPr>
        <w:t>Management;</w:t>
      </w:r>
      <w:proofErr w:type="gramEnd"/>
    </w:p>
    <w:p w14:paraId="415BA4B5"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Director of Group Financial Management and </w:t>
      </w:r>
      <w:proofErr w:type="gramStart"/>
      <w:r>
        <w:rPr>
          <w:rStyle w:val="aa"/>
        </w:rPr>
        <w:t>Planning;</w:t>
      </w:r>
      <w:proofErr w:type="gramEnd"/>
    </w:p>
    <w:p w14:paraId="73CA8D4A"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Head of Actuarial Solutions </w:t>
      </w:r>
      <w:proofErr w:type="gramStart"/>
      <w:r>
        <w:rPr>
          <w:rStyle w:val="aa"/>
        </w:rPr>
        <w:t>Architecture;</w:t>
      </w:r>
      <w:proofErr w:type="gramEnd"/>
    </w:p>
    <w:p w14:paraId="3C9B5269"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Head of Product Portfolio </w:t>
      </w:r>
      <w:proofErr w:type="spellStart"/>
      <w:proofErr w:type="gramStart"/>
      <w:r>
        <w:rPr>
          <w:rStyle w:val="aa"/>
        </w:rPr>
        <w:t>Optimisation</w:t>
      </w:r>
      <w:proofErr w:type="spellEnd"/>
      <w:r>
        <w:rPr>
          <w:rStyle w:val="aa"/>
        </w:rPr>
        <w:t>;</w:t>
      </w:r>
      <w:proofErr w:type="gramEnd"/>
    </w:p>
    <w:p w14:paraId="2DB549CE"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Head of Actuarial Valuation and </w:t>
      </w:r>
      <w:proofErr w:type="gramStart"/>
      <w:r>
        <w:rPr>
          <w:rStyle w:val="aa"/>
        </w:rPr>
        <w:t>Analytics;</w:t>
      </w:r>
      <w:proofErr w:type="gramEnd"/>
    </w:p>
    <w:p w14:paraId="1EDD3E80"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Chief Reinsurance </w:t>
      </w:r>
      <w:proofErr w:type="gramStart"/>
      <w:r>
        <w:rPr>
          <w:rStyle w:val="aa"/>
        </w:rPr>
        <w:t>Actuary;</w:t>
      </w:r>
      <w:proofErr w:type="gramEnd"/>
    </w:p>
    <w:p w14:paraId="28B38619"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Actuarial Head - Economic </w:t>
      </w:r>
      <w:proofErr w:type="gramStart"/>
      <w:r>
        <w:rPr>
          <w:rStyle w:val="aa"/>
        </w:rPr>
        <w:t>Capital;</w:t>
      </w:r>
      <w:proofErr w:type="gramEnd"/>
    </w:p>
    <w:p w14:paraId="0A2C3F82"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BU Chief Financial </w:t>
      </w:r>
      <w:proofErr w:type="gramStart"/>
      <w:r>
        <w:rPr>
          <w:rStyle w:val="aa"/>
        </w:rPr>
        <w:t>Officer;</w:t>
      </w:r>
      <w:proofErr w:type="gramEnd"/>
    </w:p>
    <w:p w14:paraId="5E8D0A35"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BU Chief Risk </w:t>
      </w:r>
      <w:proofErr w:type="gramStart"/>
      <w:r>
        <w:rPr>
          <w:rStyle w:val="aa"/>
        </w:rPr>
        <w:t>Officer;</w:t>
      </w:r>
      <w:proofErr w:type="gramEnd"/>
    </w:p>
    <w:p w14:paraId="63CD84FE" w14:textId="77777777" w:rsidR="006003AD" w:rsidRDefault="006003AD" w:rsidP="006003AD">
      <w:pPr>
        <w:pStyle w:val="ab"/>
        <w:numPr>
          <w:ilvl w:val="0"/>
          <w:numId w:val="10"/>
        </w:numPr>
        <w:tabs>
          <w:tab w:val="left" w:pos="1509"/>
        </w:tabs>
        <w:spacing w:after="60" w:line="384" w:lineRule="auto"/>
        <w:ind w:left="1100" w:firstLine="0"/>
      </w:pPr>
      <w:r>
        <w:rPr>
          <w:rStyle w:val="aa"/>
        </w:rPr>
        <w:t xml:space="preserve">BU Chief </w:t>
      </w:r>
      <w:proofErr w:type="gramStart"/>
      <w:r>
        <w:rPr>
          <w:rStyle w:val="aa"/>
        </w:rPr>
        <w:t>Actuary;</w:t>
      </w:r>
      <w:proofErr w:type="gramEnd"/>
    </w:p>
    <w:p w14:paraId="5E73FA22" w14:textId="77777777" w:rsidR="006003AD" w:rsidRDefault="006003AD" w:rsidP="006003AD">
      <w:pPr>
        <w:pStyle w:val="ab"/>
        <w:numPr>
          <w:ilvl w:val="0"/>
          <w:numId w:val="10"/>
        </w:numPr>
        <w:tabs>
          <w:tab w:val="left" w:pos="1509"/>
        </w:tabs>
        <w:spacing w:after="60" w:line="384" w:lineRule="auto"/>
        <w:ind w:left="1100" w:firstLine="0"/>
      </w:pPr>
      <w:r>
        <w:rPr>
          <w:rStyle w:val="aa"/>
        </w:rPr>
        <w:t>Group Regional Business Development Directors,</w:t>
      </w:r>
    </w:p>
    <w:p w14:paraId="224FDFD7" w14:textId="77777777" w:rsidR="006003AD" w:rsidRDefault="006003AD" w:rsidP="006003AD">
      <w:pPr>
        <w:pStyle w:val="ab"/>
        <w:numPr>
          <w:ilvl w:val="0"/>
          <w:numId w:val="10"/>
        </w:numPr>
        <w:tabs>
          <w:tab w:val="left" w:pos="1509"/>
        </w:tabs>
        <w:spacing w:after="60" w:line="384" w:lineRule="auto"/>
        <w:ind w:left="1100" w:firstLine="0"/>
      </w:pPr>
      <w:r>
        <w:rPr>
          <w:rStyle w:val="aa"/>
        </w:rPr>
        <w:t>Group Legal; and</w:t>
      </w:r>
    </w:p>
    <w:p w14:paraId="6D4B0DC0" w14:textId="77777777" w:rsidR="006003AD" w:rsidRDefault="006003AD" w:rsidP="006003AD">
      <w:pPr>
        <w:pStyle w:val="ab"/>
        <w:numPr>
          <w:ilvl w:val="0"/>
          <w:numId w:val="10"/>
        </w:numPr>
        <w:tabs>
          <w:tab w:val="left" w:pos="1509"/>
        </w:tabs>
        <w:spacing w:after="60" w:line="384" w:lineRule="auto"/>
        <w:ind w:left="1100" w:firstLine="0"/>
      </w:pPr>
      <w:r>
        <w:rPr>
          <w:rStyle w:val="aa"/>
        </w:rPr>
        <w:t>Group Risk.</w:t>
      </w:r>
      <w:r>
        <w:br w:type="page"/>
      </w:r>
    </w:p>
    <w:p w14:paraId="735B6600" w14:textId="77777777" w:rsidR="006003AD" w:rsidRDefault="006003AD" w:rsidP="006003AD">
      <w:pPr>
        <w:spacing w:line="1" w:lineRule="exact"/>
      </w:pPr>
      <w:r>
        <w:rPr>
          <w:noProof/>
        </w:rPr>
        <w:lastRenderedPageBreak/>
        <mc:AlternateContent>
          <mc:Choice Requires="wps">
            <w:drawing>
              <wp:anchor distT="13335" distB="100965" distL="0" distR="0" simplePos="0" relativeHeight="251665408" behindDoc="0" locked="0" layoutInCell="1" allowOverlap="1" wp14:anchorId="4579C5B0" wp14:editId="6BA1BE1C">
                <wp:simplePos x="0" y="0"/>
                <wp:positionH relativeFrom="page">
                  <wp:posOffset>953135</wp:posOffset>
                </wp:positionH>
                <wp:positionV relativeFrom="paragraph">
                  <wp:posOffset>13335</wp:posOffset>
                </wp:positionV>
                <wp:extent cx="140970" cy="175260"/>
                <wp:effectExtent l="0" t="0" r="0" b="0"/>
                <wp:wrapTopAndBottom/>
                <wp:docPr id="18" name="Shape 18"/>
                <wp:cNvGraphicFramePr/>
                <a:graphic xmlns:a="http://schemas.openxmlformats.org/drawingml/2006/main">
                  <a:graphicData uri="http://schemas.microsoft.com/office/word/2010/wordprocessingShape">
                    <wps:wsp>
                      <wps:cNvSpPr txBox="1"/>
                      <wps:spPr>
                        <a:xfrm>
                          <a:off x="0" y="0"/>
                          <a:ext cx="140970" cy="175260"/>
                        </a:xfrm>
                        <a:prstGeom prst="rect">
                          <a:avLst/>
                        </a:prstGeom>
                        <a:noFill/>
                      </wps:spPr>
                      <wps:txbx>
                        <w:txbxContent>
                          <w:p w14:paraId="6C69084F" w14:textId="77777777" w:rsidR="006003AD" w:rsidRDefault="006003AD" w:rsidP="006003AD">
                            <w:pPr>
                              <w:pStyle w:val="25"/>
                              <w:keepNext/>
                              <w:keepLines/>
                            </w:pPr>
                            <w:r>
                              <w:rPr>
                                <w:rStyle w:val="24"/>
                              </w:rPr>
                              <w:t>3.</w:t>
                            </w:r>
                          </w:p>
                        </w:txbxContent>
                      </wps:txbx>
                      <wps:bodyPr wrap="none" lIns="0" tIns="0" rIns="0" bIns="0"/>
                    </wps:wsp>
                  </a:graphicData>
                </a:graphic>
              </wp:anchor>
            </w:drawing>
          </mc:Choice>
          <mc:Fallback>
            <w:pict>
              <v:shape w14:anchorId="4579C5B0" id="Shape 18" o:spid="_x0000_s1030" type="#_x0000_t202" style="position:absolute;margin-left:75.05pt;margin-top:1.05pt;width:11.1pt;height:13.8pt;z-index:251665408;visibility:visible;mso-wrap-style:none;mso-wrap-distance-left:0;mso-wrap-distance-top:1.05pt;mso-wrap-distance-right:0;mso-wrap-distance-bottom:7.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" filled="f" stroked="f">
                <v:textbox inset="0,0,0,0">
                  <w:txbxContent>
                    <w:p w14:paraId="6C69084F" w14:textId="77777777" w:rsidR="006003AD" w:rsidRDefault="006003AD" w:rsidP="006003AD">
                      <w:pPr>
                        <w:pStyle w:val="25"/>
                        <w:keepNext/>
                        <w:keepLines/>
                      </w:pPr>
                      <w:r>
                        <w:rPr>
                          <w:rStyle w:val="24"/>
                        </w:rPr>
                        <w:t>3.</w:t>
                      </w:r>
                    </w:p>
                  </w:txbxContent>
                </v:textbox>
                <w10:wrap type="topAndBottom" anchorx="page"/>
              </v:shape>
            </w:pict>
          </mc:Fallback>
        </mc:AlternateContent>
      </w:r>
      <w:r>
        <w:rPr>
          <w:noProof/>
        </w:rPr>
        <mc:AlternateContent>
          <mc:Choice Requires="wps">
            <w:drawing>
              <wp:anchor distT="0" distB="109220" distL="0" distR="0" simplePos="0" relativeHeight="251666432" behindDoc="0" locked="0" layoutInCell="1" allowOverlap="1" wp14:anchorId="37073BD2" wp14:editId="2B8EC6AD">
                <wp:simplePos x="0" y="0"/>
                <wp:positionH relativeFrom="page">
                  <wp:posOffset>1480185</wp:posOffset>
                </wp:positionH>
                <wp:positionV relativeFrom="paragraph">
                  <wp:posOffset>0</wp:posOffset>
                </wp:positionV>
                <wp:extent cx="1087755" cy="180340"/>
                <wp:effectExtent l="0" t="0" r="0" b="0"/>
                <wp:wrapTopAndBottom/>
                <wp:docPr id="20" name="Shape 20"/>
                <wp:cNvGraphicFramePr/>
                <a:graphic xmlns:a="http://schemas.openxmlformats.org/drawingml/2006/main">
                  <a:graphicData uri="http://schemas.microsoft.com/office/word/2010/wordprocessingShape">
                    <wps:wsp>
                      <wps:cNvSpPr txBox="1"/>
                      <wps:spPr>
                        <a:xfrm>
                          <a:off x="0" y="0"/>
                          <a:ext cx="1087755" cy="180340"/>
                        </a:xfrm>
                        <a:prstGeom prst="rect">
                          <a:avLst/>
                        </a:prstGeom>
                        <a:noFill/>
                      </wps:spPr>
                      <wps:txbx>
                        <w:txbxContent>
                          <w:p w14:paraId="42DD06BC" w14:textId="77777777" w:rsidR="006003AD" w:rsidRDefault="006003AD" w:rsidP="006003AD">
                            <w:pPr>
                              <w:pStyle w:val="27"/>
                              <w:keepNext/>
                              <w:keepLines/>
                              <w:spacing w:after="0"/>
                              <w:jc w:val="center"/>
                            </w:pPr>
                            <w:bookmarkStart w:id="9" w:name="bookmark10"/>
                            <w:r>
                              <w:rPr>
                                <w:rStyle w:val="26"/>
                              </w:rPr>
                              <w:t>Main Provisions</w:t>
                            </w:r>
                            <w:bookmarkEnd w:id="9"/>
                          </w:p>
                        </w:txbxContent>
                      </wps:txbx>
                      <wps:bodyPr wrap="none" lIns="0" tIns="0" rIns="0" bIns="0"/>
                    </wps:wsp>
                  </a:graphicData>
                </a:graphic>
              </wp:anchor>
            </w:drawing>
          </mc:Choice>
          <mc:Fallback>
            <w:pict>
              <v:shape w14:anchorId="37073BD2" id="Shape 20" o:spid="_x0000_s1031" type="#_x0000_t202" style="position:absolute;margin-left:116.55pt;margin-top:0;width:85.65pt;height:14.2pt;z-index:251666432;visibility:visible;mso-wrap-style:none;mso-wrap-distance-left:0;mso-wrap-distance-top:0;mso-wrap-distance-right:0;mso-wrap-distance-bottom:8.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" filled="f" stroked="f">
                <v:textbox inset="0,0,0,0">
                  <w:txbxContent>
                    <w:p w14:paraId="42DD06BC" w14:textId="77777777" w:rsidR="006003AD" w:rsidRDefault="006003AD" w:rsidP="006003AD">
                      <w:pPr>
                        <w:pStyle w:val="27"/>
                        <w:keepNext/>
                        <w:keepLines/>
                        <w:spacing w:after="0"/>
                        <w:jc w:val="center"/>
                      </w:pPr>
                      <w:bookmarkStart w:id="10" w:name="bookmark10"/>
                      <w:r>
                        <w:rPr>
                          <w:rStyle w:val="26"/>
                        </w:rPr>
                        <w:t>Main Provisions</w:t>
                      </w:r>
                      <w:bookmarkEnd w:id="10"/>
                    </w:p>
                  </w:txbxContent>
                </v:textbox>
                <w10:wrap type="topAndBottom" anchorx="page"/>
              </v:shape>
            </w:pict>
          </mc:Fallback>
        </mc:AlternateContent>
      </w:r>
    </w:p>
    <w:p w14:paraId="1464F388" w14:textId="77777777" w:rsidR="006003AD" w:rsidRDefault="006003AD" w:rsidP="006003AD">
      <w:pPr>
        <w:pStyle w:val="27"/>
        <w:keepNext/>
        <w:keepLines/>
        <w:numPr>
          <w:ilvl w:val="1"/>
          <w:numId w:val="11"/>
        </w:numPr>
        <w:tabs>
          <w:tab w:val="left" w:pos="841"/>
        </w:tabs>
        <w:spacing w:after="240"/>
        <w:jc w:val="both"/>
      </w:pPr>
      <w:bookmarkStart w:id="11" w:name="bookmark22"/>
      <w:r>
        <w:rPr>
          <w:rStyle w:val="26"/>
        </w:rPr>
        <w:t>Roles and Responsibilities</w:t>
      </w:r>
      <w:bookmarkEnd w:id="11"/>
    </w:p>
    <w:p w14:paraId="7FDF60AD" w14:textId="77777777" w:rsidR="006003AD" w:rsidRDefault="006003AD" w:rsidP="006003AD">
      <w:pPr>
        <w:pStyle w:val="ab"/>
        <w:spacing w:line="382" w:lineRule="auto"/>
        <w:ind w:left="840"/>
        <w:jc w:val="both"/>
      </w:pPr>
      <w:r>
        <w:rPr>
          <w:rStyle w:val="aa"/>
        </w:rPr>
        <w:t>The AIA Group Board has the ultimate responsibility for establishing, implementing and overseeing an effective ERM framework, and should ensure that the ERM framework is embedded in business activities. Hence, the AIA Group Board is responsible for approving this Policy, which forms part of the AIA Group-wide ERM framework.</w:t>
      </w:r>
    </w:p>
    <w:p w14:paraId="378CB67F" w14:textId="77777777" w:rsidR="006003AD" w:rsidRDefault="006003AD" w:rsidP="006003AD">
      <w:pPr>
        <w:pStyle w:val="ab"/>
        <w:spacing w:after="60" w:line="386" w:lineRule="auto"/>
        <w:ind w:left="840"/>
        <w:jc w:val="both"/>
      </w:pPr>
      <w:r>
        <w:rPr>
          <w:rStyle w:val="aa"/>
        </w:rPr>
        <w:t>The Group Chief Actuary is the key person of the Group actuarial control function and the owner of this Policy, and is responsible for:</w:t>
      </w:r>
    </w:p>
    <w:p w14:paraId="2C420479" w14:textId="77777777" w:rsidR="006003AD" w:rsidRDefault="006003AD" w:rsidP="006003AD">
      <w:pPr>
        <w:pStyle w:val="ab"/>
        <w:numPr>
          <w:ilvl w:val="0"/>
          <w:numId w:val="12"/>
        </w:numPr>
        <w:tabs>
          <w:tab w:val="left" w:pos="1535"/>
        </w:tabs>
        <w:spacing w:after="60" w:line="386" w:lineRule="auto"/>
        <w:ind w:left="1540" w:hanging="420"/>
        <w:jc w:val="both"/>
      </w:pPr>
      <w:r>
        <w:rPr>
          <w:rStyle w:val="aa"/>
        </w:rPr>
        <w:t xml:space="preserve">proposing material changes, in consultation with relevant stakeholders, for endorsement by the Group Chief Financial Officer and approval by the AIA Group </w:t>
      </w:r>
      <w:proofErr w:type="gramStart"/>
      <w:r>
        <w:rPr>
          <w:rStyle w:val="aa"/>
        </w:rPr>
        <w:t>Board;</w:t>
      </w:r>
      <w:proofErr w:type="gramEnd"/>
    </w:p>
    <w:p w14:paraId="7BB263BB" w14:textId="77777777" w:rsidR="006003AD" w:rsidRDefault="006003AD" w:rsidP="006003AD">
      <w:pPr>
        <w:pStyle w:val="ab"/>
        <w:numPr>
          <w:ilvl w:val="0"/>
          <w:numId w:val="12"/>
        </w:numPr>
        <w:tabs>
          <w:tab w:val="left" w:pos="1535"/>
        </w:tabs>
        <w:spacing w:after="60"/>
        <w:ind w:left="1120" w:firstLine="0"/>
        <w:jc w:val="both"/>
      </w:pPr>
      <w:r>
        <w:rPr>
          <w:rStyle w:val="aa"/>
        </w:rPr>
        <w:t xml:space="preserve">approving non-material changes and administering the </w:t>
      </w:r>
      <w:proofErr w:type="gramStart"/>
      <w:r>
        <w:rPr>
          <w:rStyle w:val="aa"/>
        </w:rPr>
        <w:t>Policy;</w:t>
      </w:r>
      <w:proofErr w:type="gramEnd"/>
    </w:p>
    <w:p w14:paraId="05A8EB9B" w14:textId="77777777" w:rsidR="006003AD" w:rsidRDefault="006003AD" w:rsidP="006003AD">
      <w:pPr>
        <w:pStyle w:val="ab"/>
        <w:numPr>
          <w:ilvl w:val="0"/>
          <w:numId w:val="12"/>
        </w:numPr>
        <w:tabs>
          <w:tab w:val="left" w:pos="1535"/>
        </w:tabs>
        <w:spacing w:after="60"/>
        <w:ind w:left="1120" w:firstLine="0"/>
        <w:jc w:val="both"/>
      </w:pPr>
      <w:r>
        <w:rPr>
          <w:rStyle w:val="aa"/>
        </w:rPr>
        <w:t>monitoring compliance with the Policy at the Group level; and</w:t>
      </w:r>
    </w:p>
    <w:p w14:paraId="3C6357B9" w14:textId="77777777" w:rsidR="006003AD" w:rsidRDefault="006003AD" w:rsidP="006003AD">
      <w:pPr>
        <w:pStyle w:val="ab"/>
        <w:numPr>
          <w:ilvl w:val="0"/>
          <w:numId w:val="12"/>
        </w:numPr>
        <w:tabs>
          <w:tab w:val="left" w:pos="1535"/>
        </w:tabs>
        <w:ind w:left="1120" w:firstLine="0"/>
        <w:jc w:val="both"/>
      </w:pPr>
      <w:r>
        <w:rPr>
          <w:rStyle w:val="aa"/>
        </w:rPr>
        <w:t>review of the implementation of this Policy at the BU level.</w:t>
      </w:r>
    </w:p>
    <w:p w14:paraId="4A2939CF" w14:textId="77777777" w:rsidR="006003AD" w:rsidRDefault="006003AD" w:rsidP="006003AD">
      <w:pPr>
        <w:pStyle w:val="ab"/>
        <w:spacing w:line="374" w:lineRule="auto"/>
        <w:ind w:left="840"/>
        <w:jc w:val="both"/>
      </w:pPr>
      <w:r>
        <w:rPr>
          <w:rStyle w:val="aa"/>
        </w:rPr>
        <w:t>The BU Chief Actuary as the key person of the BU actuarial control function, together with other heads within the BU actuarial control function, are responsible for implementing and monitoring compliance with this Policy at the BU level. Where the BU Chief Actuary does not exist, the appropriate senior officer appointed by the BU Chief Executive Officer or Chief Financial Officer is responsible for the actuarial function.</w:t>
      </w:r>
    </w:p>
    <w:p w14:paraId="2A9B9FBB" w14:textId="77777777" w:rsidR="006003AD" w:rsidRDefault="006003AD" w:rsidP="006003AD">
      <w:pPr>
        <w:pStyle w:val="ab"/>
        <w:spacing w:after="160" w:line="377" w:lineRule="auto"/>
        <w:ind w:left="840"/>
        <w:jc w:val="both"/>
        <w:sectPr w:rsidR="006003AD" w:rsidSect="006003AD">
          <w:footerReference w:type="default" r:id="rId7"/>
          <w:pgSz w:w="11900" w:h="16840"/>
          <w:pgMar w:top="1525" w:right="1465" w:bottom="2880" w:left="1497" w:header="1097" w:footer="3" w:gutter="0"/>
          <w:cols w:space="720"/>
          <w:noEndnote/>
          <w:docGrid w:linePitch="360"/>
        </w:sectPr>
      </w:pPr>
      <w:r>
        <w:rPr>
          <w:rStyle w:val="aa"/>
        </w:rPr>
        <w:t>The actuarial control function is responsible for the execution of this Policy. The details are outlined in Section 3.2 to Section 3.10. Where prescribed by Regulatory and Other Requirements, these processes should be performed more frequently than as specified in this Policy. Please refer to Appendix A for a list of relevant policies, standards and/or guidance notes for each of these processes.</w:t>
      </w:r>
    </w:p>
    <w:p w14:paraId="2F4B8122" w14:textId="77777777" w:rsidR="006003AD" w:rsidRDefault="006003AD" w:rsidP="006003AD">
      <w:pPr>
        <w:pStyle w:val="27"/>
        <w:keepNext/>
        <w:keepLines/>
        <w:numPr>
          <w:ilvl w:val="1"/>
          <w:numId w:val="11"/>
        </w:numPr>
        <w:tabs>
          <w:tab w:val="left" w:pos="841"/>
        </w:tabs>
        <w:spacing w:after="240"/>
      </w:pPr>
      <w:bookmarkStart w:id="12" w:name="bookmark24"/>
      <w:r>
        <w:rPr>
          <w:rStyle w:val="26"/>
        </w:rPr>
        <w:lastRenderedPageBreak/>
        <w:t>Data, Methodologies, Underlying Models and Assumptions</w:t>
      </w:r>
      <w:bookmarkEnd w:id="12"/>
    </w:p>
    <w:p w14:paraId="7EA5B1AA" w14:textId="77777777" w:rsidR="006003AD" w:rsidRDefault="006003AD" w:rsidP="006003AD">
      <w:pPr>
        <w:pStyle w:val="ab"/>
        <w:spacing w:line="386" w:lineRule="auto"/>
        <w:ind w:left="840"/>
        <w:jc w:val="both"/>
      </w:pPr>
      <w:r>
        <w:rPr>
          <w:rStyle w:val="aa"/>
        </w:rPr>
        <w:t>Data, methodologies, underlying models and assumptions are key inputs to the evaluation, monitoring, management and mitigation of actuarial-related risks.</w:t>
      </w:r>
    </w:p>
    <w:p w14:paraId="359DCF6E" w14:textId="77777777" w:rsidR="006003AD" w:rsidRDefault="006003AD" w:rsidP="006003AD">
      <w:pPr>
        <w:pStyle w:val="ab"/>
        <w:ind w:left="840"/>
        <w:jc w:val="both"/>
      </w:pPr>
      <w:r>
        <w:rPr>
          <w:rStyle w:val="aa"/>
        </w:rPr>
        <w:t>The actuarial control function should make best efforts to ensure that the data used in the processes within the scope of this Policy are current, accurate and complete. Internal and external data should be validated to assess its sufficiency and quality. Means of data validation may include reconciliation of data used in the actuarial calculations to the underlying administration data and investigation of any discrepancies, review of data sign-off by the data provider (e.g. Operations Department) and/or other controls as appropriate. Any limitation of data or insufficient data of appropriate quality should be properly dealt with by appropriate approximations or judgements with sufficient documentation.</w:t>
      </w:r>
    </w:p>
    <w:p w14:paraId="022B6E6E" w14:textId="77777777" w:rsidR="006003AD" w:rsidRDefault="006003AD" w:rsidP="006003AD">
      <w:pPr>
        <w:pStyle w:val="ab"/>
        <w:spacing w:line="377" w:lineRule="auto"/>
        <w:ind w:left="840"/>
        <w:jc w:val="both"/>
      </w:pPr>
      <w:r>
        <w:rPr>
          <w:rStyle w:val="aa"/>
        </w:rPr>
        <w:t>The actuarial control function should periodically evaluate and provide advice on the methodologies used in the processes within the scope of this Policy. Considerations should include but not be limited to compliance with Regulatory and Other Requirements, business mix and materiality.</w:t>
      </w:r>
    </w:p>
    <w:p w14:paraId="57381FAB" w14:textId="77777777" w:rsidR="006003AD" w:rsidRDefault="006003AD" w:rsidP="006003AD">
      <w:pPr>
        <w:pStyle w:val="ab"/>
        <w:spacing w:line="374" w:lineRule="auto"/>
        <w:ind w:left="840"/>
        <w:jc w:val="both"/>
      </w:pPr>
      <w:r>
        <w:rPr>
          <w:rStyle w:val="aa"/>
        </w:rPr>
        <w:t>The actuarial control function should periodically evaluate and provide advice on the underlying models used in the processes within the scope of this Policy. The actuarial control function should ensure that model changes are tested for correctness and reasonableness and are properly documented.</w:t>
      </w:r>
    </w:p>
    <w:p w14:paraId="1F23B552" w14:textId="77777777" w:rsidR="006003AD" w:rsidRDefault="006003AD" w:rsidP="006003AD">
      <w:pPr>
        <w:pStyle w:val="ab"/>
        <w:ind w:left="840"/>
        <w:jc w:val="both"/>
      </w:pPr>
      <w:r>
        <w:rPr>
          <w:rStyle w:val="aa"/>
        </w:rPr>
        <w:t>The actuarial control function should periodically evaluate and provide advice on the assumptions used in the processes within the scope of this Policy. Considerations should include but not be limited to compliance with Regulatory and Other Requirements, company experience and its credibility, market/industry data, evolving trends, business volumes, granularity, management actions, regulatory developments and expert judgement. Assumptions should be properly justified and documented. Assumptions used in the processes within the scope of this Policy should be internally consistent. Assumptions should be reviewed at least annually.</w:t>
      </w:r>
    </w:p>
    <w:p w14:paraId="37EFDF3C" w14:textId="77777777" w:rsidR="006003AD" w:rsidRDefault="006003AD" w:rsidP="006003AD">
      <w:pPr>
        <w:pStyle w:val="ab"/>
        <w:spacing w:line="374" w:lineRule="auto"/>
        <w:ind w:left="840"/>
        <w:jc w:val="both"/>
      </w:pPr>
      <w:r>
        <w:rPr>
          <w:rStyle w:val="aa"/>
        </w:rPr>
        <w:t>The actuarial control function should ensure that changes in data, methodologies, underlying models and assumptions with one-off financial impacts exceeding the relevant thresholds are escalated to the Group actuarial control function. The GAAMCO, chaired by the Group Chief Actuary, approves these items.</w:t>
      </w:r>
    </w:p>
    <w:p w14:paraId="0853CF7A" w14:textId="77777777" w:rsidR="006003AD" w:rsidRDefault="006003AD" w:rsidP="006003AD">
      <w:pPr>
        <w:pStyle w:val="ab"/>
        <w:spacing w:after="520" w:line="377" w:lineRule="auto"/>
        <w:ind w:left="860" w:firstLine="0"/>
        <w:jc w:val="both"/>
      </w:pPr>
      <w:r>
        <w:rPr>
          <w:rStyle w:val="aa"/>
        </w:rPr>
        <w:t>Long-term economic assumptions used in actuarial valuation, solvency forecasting, product pricing and SAA are recommended by the GEASCO, chaired by the Group Chief Financial Officer, and approved by the Group Chief Financial Officer. Any deviations are approved by the Group Chief Actuary for product pricing and by the Group Chief Financial Officer for all other purposes.</w:t>
      </w:r>
    </w:p>
    <w:p w14:paraId="124B2429" w14:textId="77777777" w:rsidR="006003AD" w:rsidRDefault="006003AD" w:rsidP="006003AD">
      <w:pPr>
        <w:pStyle w:val="ab"/>
        <w:spacing w:after="600" w:line="377" w:lineRule="auto"/>
        <w:ind w:left="980" w:firstLine="0"/>
      </w:pPr>
      <w:r>
        <w:rPr>
          <w:rStyle w:val="aa"/>
          <w:b/>
          <w:bCs/>
        </w:rPr>
        <w:lastRenderedPageBreak/>
        <w:t xml:space="preserve">Requirement #1: </w:t>
      </w:r>
      <w:r>
        <w:rPr>
          <w:rStyle w:val="aa"/>
        </w:rPr>
        <w:t>The actuarial control function should ensure accuracy and/or reasonableness of data, methodologies, underlying models and assumptions used in the processes within the scope of this Policy.</w:t>
      </w:r>
    </w:p>
    <w:p w14:paraId="67B6EC25" w14:textId="77777777" w:rsidR="006003AD" w:rsidRDefault="006003AD" w:rsidP="006003AD">
      <w:pPr>
        <w:pStyle w:val="ab"/>
        <w:numPr>
          <w:ilvl w:val="1"/>
          <w:numId w:val="11"/>
        </w:numPr>
        <w:tabs>
          <w:tab w:val="left" w:pos="841"/>
        </w:tabs>
        <w:spacing w:after="120" w:line="374" w:lineRule="auto"/>
        <w:ind w:firstLine="0"/>
        <w:jc w:val="both"/>
      </w:pPr>
      <w:r>
        <w:rPr>
          <w:rStyle w:val="aa"/>
        </w:rPr>
        <w:t>Technical Provisions and Capital Requirements</w:t>
      </w:r>
    </w:p>
    <w:p w14:paraId="6F8E2A92" w14:textId="77777777" w:rsidR="006003AD" w:rsidRDefault="006003AD" w:rsidP="006003AD">
      <w:pPr>
        <w:pStyle w:val="ab"/>
        <w:spacing w:line="374" w:lineRule="auto"/>
        <w:ind w:left="860" w:firstLine="0"/>
        <w:jc w:val="both"/>
      </w:pPr>
      <w:r>
        <w:rPr>
          <w:rStyle w:val="aa"/>
        </w:rPr>
        <w:t>Technical provisions and capital requirements are key inputs to the assessment of solvency position which measures the financial soundness and condition of the company.</w:t>
      </w:r>
    </w:p>
    <w:p w14:paraId="3C0408CB" w14:textId="77777777" w:rsidR="006003AD" w:rsidRDefault="006003AD" w:rsidP="006003AD">
      <w:pPr>
        <w:pStyle w:val="ab"/>
        <w:spacing w:after="60" w:line="372" w:lineRule="auto"/>
        <w:ind w:firstLine="860"/>
        <w:jc w:val="both"/>
      </w:pPr>
      <w:r>
        <w:rPr>
          <w:rStyle w:val="aa"/>
        </w:rPr>
        <w:t>The actuarial control function should provide oversight of actuarial valuations by:</w:t>
      </w:r>
    </w:p>
    <w:p w14:paraId="01D22100" w14:textId="77777777" w:rsidR="006003AD" w:rsidRDefault="006003AD" w:rsidP="006003AD">
      <w:pPr>
        <w:pStyle w:val="ab"/>
        <w:numPr>
          <w:ilvl w:val="0"/>
          <w:numId w:val="13"/>
        </w:numPr>
        <w:tabs>
          <w:tab w:val="left" w:pos="1590"/>
        </w:tabs>
        <w:spacing w:after="60" w:line="372" w:lineRule="auto"/>
        <w:ind w:left="1580" w:hanging="420"/>
        <w:jc w:val="both"/>
      </w:pPr>
      <w:r>
        <w:rPr>
          <w:rStyle w:val="aa"/>
        </w:rPr>
        <w:t>making best efforts to ensure the appropriateness of data, methodologies, underlying models and assumptions used in actuarial valuations (refer to Section 3.2</w:t>
      </w:r>
      <w:proofErr w:type="gramStart"/>
      <w:r>
        <w:rPr>
          <w:rStyle w:val="aa"/>
        </w:rPr>
        <w:t>);</w:t>
      </w:r>
      <w:proofErr w:type="gramEnd"/>
    </w:p>
    <w:p w14:paraId="7548BAE3" w14:textId="77777777" w:rsidR="006003AD" w:rsidRDefault="006003AD" w:rsidP="006003AD">
      <w:pPr>
        <w:pStyle w:val="ab"/>
        <w:numPr>
          <w:ilvl w:val="0"/>
          <w:numId w:val="13"/>
        </w:numPr>
        <w:tabs>
          <w:tab w:val="left" w:pos="1590"/>
        </w:tabs>
        <w:spacing w:after="60" w:line="372" w:lineRule="auto"/>
        <w:ind w:left="1580" w:hanging="420"/>
        <w:jc w:val="both"/>
      </w:pPr>
      <w:r>
        <w:rPr>
          <w:rStyle w:val="aa"/>
        </w:rPr>
        <w:t>assessing the sufficiency of technical provisions and capital requirements and ensuring their compliance with Regulatory and Other Requirements by applying appropriate controls and procedures; and</w:t>
      </w:r>
    </w:p>
    <w:p w14:paraId="02369806" w14:textId="77777777" w:rsidR="006003AD" w:rsidRDefault="006003AD" w:rsidP="006003AD">
      <w:pPr>
        <w:pStyle w:val="ab"/>
        <w:numPr>
          <w:ilvl w:val="0"/>
          <w:numId w:val="13"/>
        </w:numPr>
        <w:tabs>
          <w:tab w:val="left" w:pos="1590"/>
        </w:tabs>
        <w:spacing w:line="372" w:lineRule="auto"/>
        <w:ind w:left="1580" w:hanging="420"/>
        <w:jc w:val="both"/>
      </w:pPr>
      <w:r>
        <w:rPr>
          <w:rStyle w:val="aa"/>
        </w:rPr>
        <w:t>making best efforts to ensure the correctness and reasonableness of the results by comparing and justifying any material differences in technical provisions and capital requirements from period to period and/or other analyses as appropriate.</w:t>
      </w:r>
    </w:p>
    <w:p w14:paraId="0372C479" w14:textId="77777777" w:rsidR="006003AD" w:rsidRDefault="006003AD" w:rsidP="006003AD">
      <w:pPr>
        <w:pStyle w:val="ab"/>
        <w:spacing w:line="377" w:lineRule="auto"/>
        <w:ind w:firstLine="860"/>
        <w:jc w:val="both"/>
      </w:pPr>
      <w:r>
        <w:rPr>
          <w:rStyle w:val="aa"/>
        </w:rPr>
        <w:t>Actuarial valuations should be performed at least quarterly.</w:t>
      </w:r>
    </w:p>
    <w:p w14:paraId="64E80277" w14:textId="77777777" w:rsidR="006003AD" w:rsidRDefault="006003AD" w:rsidP="006003AD">
      <w:pPr>
        <w:pStyle w:val="ab"/>
        <w:spacing w:after="520" w:line="377" w:lineRule="auto"/>
        <w:ind w:left="860" w:firstLine="0"/>
        <w:jc w:val="both"/>
      </w:pPr>
      <w:r>
        <w:rPr>
          <w:rStyle w:val="aa"/>
        </w:rPr>
        <w:t>In addition, the BU actuarial control function should maintain documentation outlining the basis and methodology used in the calculation of technical provisions and capital requirements under the local statutory solvency basis. The basis and methodology should be compliant with local statutory and regulatory requirements, accounting standards and professional actuarial standards.</w:t>
      </w:r>
    </w:p>
    <w:p w14:paraId="33B37C05" w14:textId="77777777" w:rsidR="006003AD" w:rsidRDefault="006003AD" w:rsidP="006003AD">
      <w:pPr>
        <w:pStyle w:val="ab"/>
        <w:spacing w:after="0" w:line="374" w:lineRule="auto"/>
        <w:ind w:left="980" w:firstLine="0"/>
        <w:sectPr w:rsidR="006003AD" w:rsidSect="006003AD">
          <w:pgSz w:w="11900" w:h="16840"/>
          <w:pgMar w:top="1498" w:right="1380" w:bottom="1264" w:left="1388" w:header="1070" w:footer="3" w:gutter="0"/>
          <w:cols w:space="720"/>
          <w:noEndnote/>
          <w:docGrid w:linePitch="360"/>
        </w:sectPr>
      </w:pPr>
      <w:r>
        <w:rPr>
          <w:rStyle w:val="aa"/>
          <w:b/>
          <w:bCs/>
        </w:rPr>
        <w:t xml:space="preserve">Requirement #2: </w:t>
      </w:r>
      <w:r>
        <w:rPr>
          <w:rStyle w:val="aa"/>
        </w:rPr>
        <w:t>The actuarial control function should (</w:t>
      </w:r>
      <w:proofErr w:type="spellStart"/>
      <w:r>
        <w:rPr>
          <w:rStyle w:val="aa"/>
        </w:rPr>
        <w:t>i</w:t>
      </w:r>
      <w:proofErr w:type="spellEnd"/>
      <w:r>
        <w:rPr>
          <w:rStyle w:val="aa"/>
        </w:rPr>
        <w:t>) provide oversight of actuarial valuation; and (ii) maintain documentation outlining the basis and methodology.</w:t>
      </w:r>
    </w:p>
    <w:p w14:paraId="07A98C7C" w14:textId="77777777" w:rsidR="006003AD" w:rsidRDefault="006003AD" w:rsidP="006003AD">
      <w:pPr>
        <w:pStyle w:val="27"/>
        <w:keepNext/>
        <w:keepLines/>
        <w:numPr>
          <w:ilvl w:val="1"/>
          <w:numId w:val="11"/>
        </w:numPr>
        <w:tabs>
          <w:tab w:val="left" w:pos="841"/>
        </w:tabs>
        <w:jc w:val="both"/>
      </w:pPr>
      <w:bookmarkStart w:id="13" w:name="bookmark26"/>
      <w:r>
        <w:rPr>
          <w:rStyle w:val="26"/>
        </w:rPr>
        <w:lastRenderedPageBreak/>
        <w:t>Capital Adequacy</w:t>
      </w:r>
      <w:bookmarkEnd w:id="13"/>
    </w:p>
    <w:p w14:paraId="0E7F1B29" w14:textId="77777777" w:rsidR="006003AD" w:rsidRDefault="006003AD" w:rsidP="006003AD">
      <w:pPr>
        <w:pStyle w:val="ab"/>
        <w:spacing w:line="386" w:lineRule="auto"/>
        <w:ind w:left="840"/>
        <w:jc w:val="both"/>
      </w:pPr>
      <w:r>
        <w:rPr>
          <w:rStyle w:val="aa"/>
        </w:rPr>
        <w:t>Capital adequacy testing is an assessment to monitor the current and future solvency position and to identify key risks which have a significant impact on the solvency position.</w:t>
      </w:r>
    </w:p>
    <w:p w14:paraId="3D41AA85" w14:textId="77777777" w:rsidR="006003AD" w:rsidRDefault="006003AD" w:rsidP="006003AD">
      <w:pPr>
        <w:pStyle w:val="ab"/>
        <w:spacing w:line="382" w:lineRule="auto"/>
        <w:ind w:left="840"/>
        <w:jc w:val="both"/>
      </w:pPr>
      <w:r>
        <w:rPr>
          <w:rStyle w:val="aa"/>
        </w:rPr>
        <w:t>The actuarial control function should monitor the solvency position and ensure regulatory requirements are met in all but the most extreme market conditions. In case the solvency position falls close to an unhealthy level or is projected to do so, the actuarial control function should recommend mitigation actions to restore it to a safe level. The solvency position should be monitored at least quarterly.</w:t>
      </w:r>
    </w:p>
    <w:p w14:paraId="1B3773C1" w14:textId="77777777" w:rsidR="006003AD" w:rsidRDefault="006003AD" w:rsidP="006003AD">
      <w:pPr>
        <w:pStyle w:val="ab"/>
        <w:ind w:left="840"/>
        <w:jc w:val="both"/>
      </w:pPr>
      <w:r>
        <w:rPr>
          <w:rStyle w:val="aa"/>
        </w:rPr>
        <w:t xml:space="preserve">The actuarial control function should periodically perform stress tests under various scenarios to assess the impact on assets and </w:t>
      </w:r>
      <w:proofErr w:type="gramStart"/>
      <w:r>
        <w:rPr>
          <w:rStyle w:val="aa"/>
        </w:rPr>
        <w:t>liabilities, and</w:t>
      </w:r>
      <w:proofErr w:type="gramEnd"/>
      <w:r>
        <w:rPr>
          <w:rStyle w:val="aa"/>
        </w:rPr>
        <w:t xml:space="preserve"> perform an overall assessment on the adequacy of current and future capital levels. The range of scenarios tested should be compliant with Regulatory and Other </w:t>
      </w:r>
      <w:proofErr w:type="gramStart"/>
      <w:r>
        <w:rPr>
          <w:rStyle w:val="aa"/>
        </w:rPr>
        <w:t>Requirements, and</w:t>
      </w:r>
      <w:proofErr w:type="gramEnd"/>
      <w:r>
        <w:rPr>
          <w:rStyle w:val="aa"/>
        </w:rPr>
        <w:t xml:space="preserve"> should cover a broad range of material financial and insurance risks to which the company is exposed. Stress tests should be performed at least annually.</w:t>
      </w:r>
    </w:p>
    <w:p w14:paraId="396078DF" w14:textId="77777777" w:rsidR="006003AD" w:rsidRDefault="006003AD" w:rsidP="006003AD">
      <w:pPr>
        <w:pStyle w:val="ab"/>
        <w:spacing w:after="540" w:line="374" w:lineRule="auto"/>
        <w:ind w:left="840"/>
        <w:jc w:val="both"/>
      </w:pPr>
      <w:r>
        <w:rPr>
          <w:rStyle w:val="aa"/>
        </w:rPr>
        <w:t>Where an ORSA is required by Regulatory and Other Requirements, the actuarial control function should evaluate and provide advice on the actuarial-related items under the ORSA.</w:t>
      </w:r>
    </w:p>
    <w:p w14:paraId="4509E0F9" w14:textId="77777777" w:rsidR="006003AD" w:rsidRDefault="006003AD" w:rsidP="006003AD">
      <w:pPr>
        <w:pStyle w:val="ab"/>
        <w:spacing w:after="580" w:line="377" w:lineRule="auto"/>
        <w:ind w:left="980"/>
        <w:jc w:val="both"/>
      </w:pPr>
      <w:r>
        <w:rPr>
          <w:rStyle w:val="aa"/>
          <w:b/>
          <w:bCs/>
        </w:rPr>
        <w:t xml:space="preserve">Requirement #3: </w:t>
      </w:r>
      <w:r>
        <w:rPr>
          <w:rStyle w:val="aa"/>
        </w:rPr>
        <w:t>The actuarial control function should (</w:t>
      </w:r>
      <w:proofErr w:type="spellStart"/>
      <w:r>
        <w:rPr>
          <w:rStyle w:val="aa"/>
        </w:rPr>
        <w:t>i</w:t>
      </w:r>
      <w:proofErr w:type="spellEnd"/>
      <w:r>
        <w:rPr>
          <w:rStyle w:val="aa"/>
        </w:rPr>
        <w:t>) monitor the solvency position and recommend mitigation actions where necessary; (ii) perform an overall assessment on the adequacy of current and future capital levels through stress tests under various scenarios; and (iii) evaluate and provide advice on the actuarial-related items under the ORSA.</w:t>
      </w:r>
    </w:p>
    <w:p w14:paraId="270881C2" w14:textId="77777777" w:rsidR="006003AD" w:rsidRDefault="006003AD" w:rsidP="006003AD">
      <w:pPr>
        <w:pStyle w:val="27"/>
        <w:keepNext/>
        <w:keepLines/>
        <w:numPr>
          <w:ilvl w:val="1"/>
          <w:numId w:val="11"/>
        </w:numPr>
        <w:tabs>
          <w:tab w:val="left" w:pos="841"/>
        </w:tabs>
        <w:jc w:val="both"/>
      </w:pPr>
      <w:bookmarkStart w:id="14" w:name="bookmark28"/>
      <w:r>
        <w:rPr>
          <w:rStyle w:val="26"/>
        </w:rPr>
        <w:t>Product Pricing</w:t>
      </w:r>
      <w:bookmarkEnd w:id="14"/>
    </w:p>
    <w:p w14:paraId="0C66A607" w14:textId="77777777" w:rsidR="006003AD" w:rsidRDefault="006003AD" w:rsidP="006003AD">
      <w:pPr>
        <w:pStyle w:val="ab"/>
        <w:spacing w:line="377" w:lineRule="auto"/>
        <w:ind w:firstLine="840"/>
      </w:pPr>
      <w:r>
        <w:rPr>
          <w:rStyle w:val="aa"/>
        </w:rPr>
        <w:t>Disciplined product pricing provides a solid foundation for the company’s business.</w:t>
      </w:r>
    </w:p>
    <w:p w14:paraId="58FC1702" w14:textId="77777777" w:rsidR="006003AD" w:rsidRDefault="006003AD" w:rsidP="006003AD">
      <w:pPr>
        <w:pStyle w:val="ab"/>
        <w:spacing w:after="540" w:line="377" w:lineRule="auto"/>
        <w:ind w:left="840"/>
        <w:jc w:val="both"/>
      </w:pPr>
      <w:r>
        <w:rPr>
          <w:rStyle w:val="aa"/>
        </w:rPr>
        <w:t>The actuarial control function should establish sound pricing metrics and limits and provide advice on product pricing (including re-pricing) requirements. Considerations should include but not be limited to compliance with Regulatory and Other Requirements, profitability, terms and conditions of insurance contracts, benefits provided and other values, capital efficiency, sustainability, risk management and management actions (for re-pricing).</w:t>
      </w:r>
    </w:p>
    <w:p w14:paraId="5A0B97F8" w14:textId="77777777" w:rsidR="006003AD" w:rsidRDefault="006003AD" w:rsidP="006003AD">
      <w:pPr>
        <w:pStyle w:val="ab"/>
        <w:spacing w:line="374" w:lineRule="auto"/>
        <w:ind w:left="980"/>
      </w:pPr>
      <w:r>
        <w:rPr>
          <w:rStyle w:val="aa"/>
          <w:b/>
          <w:bCs/>
        </w:rPr>
        <w:t xml:space="preserve">Requirement #4: </w:t>
      </w:r>
      <w:r>
        <w:rPr>
          <w:rStyle w:val="aa"/>
        </w:rPr>
        <w:t>The actuarial control function should establish sound pricing metrics and limits and provide advice on product pricing (including re-pricing) requirements.</w:t>
      </w:r>
    </w:p>
    <w:p w14:paraId="09D1E2AF" w14:textId="77777777" w:rsidR="006003AD" w:rsidRDefault="006003AD" w:rsidP="006003AD">
      <w:pPr>
        <w:pStyle w:val="27"/>
        <w:keepNext/>
        <w:keepLines/>
        <w:numPr>
          <w:ilvl w:val="1"/>
          <w:numId w:val="11"/>
        </w:numPr>
        <w:tabs>
          <w:tab w:val="left" w:pos="841"/>
        </w:tabs>
      </w:pPr>
      <w:bookmarkStart w:id="15" w:name="bookmark30"/>
      <w:r>
        <w:rPr>
          <w:rStyle w:val="26"/>
        </w:rPr>
        <w:lastRenderedPageBreak/>
        <w:t>Discretionary Policyholder Benefits</w:t>
      </w:r>
      <w:bookmarkEnd w:id="15"/>
    </w:p>
    <w:p w14:paraId="53F20207" w14:textId="77777777" w:rsidR="006003AD" w:rsidRDefault="006003AD" w:rsidP="006003AD">
      <w:pPr>
        <w:pStyle w:val="ab"/>
        <w:ind w:left="840" w:firstLine="0"/>
        <w:jc w:val="both"/>
      </w:pPr>
      <w:r>
        <w:rPr>
          <w:rStyle w:val="aa"/>
        </w:rPr>
        <w:t>Some of the policyholder benefits under participating policies are in the form of dividends / bonuses, whose declaration is at the discretion of the company.</w:t>
      </w:r>
    </w:p>
    <w:p w14:paraId="0644B810" w14:textId="77777777" w:rsidR="006003AD" w:rsidRDefault="006003AD" w:rsidP="006003AD">
      <w:pPr>
        <w:pStyle w:val="ab"/>
        <w:ind w:left="840" w:firstLine="0"/>
        <w:jc w:val="both"/>
      </w:pPr>
      <w:r>
        <w:rPr>
          <w:rStyle w:val="aa"/>
        </w:rPr>
        <w:t>The actuarial control function should periodically evaluate and advise the Board of Directors on the declaration of bonuses, dividends or similar benefits to participating policyholders in accordance with the AIA Group Policyholder Dividend Declaration Policy as well as general principles and practices of financial management of participating business. Considerations should include but not be limited to compliance with Regulatory and Other Requirements, equity between shareholders and policyholders and among policyholders, reasonable expectations of policyholders and contractual requirements. Policyholder dividends / bonuses should be recommended to the applicable Board of Directors at least annually.</w:t>
      </w:r>
    </w:p>
    <w:p w14:paraId="1555F869" w14:textId="77777777" w:rsidR="006003AD" w:rsidRDefault="006003AD" w:rsidP="006003AD">
      <w:pPr>
        <w:pStyle w:val="ab"/>
        <w:spacing w:after="520" w:line="377" w:lineRule="auto"/>
        <w:ind w:left="840" w:firstLine="0"/>
        <w:jc w:val="both"/>
      </w:pPr>
      <w:r>
        <w:rPr>
          <w:rStyle w:val="aa"/>
        </w:rPr>
        <w:t>Similarly, some of the policyholder benefits under universal life policies or coupon and dividend accumulation funds are in the form of interest incomes credited, whose determination is at the discretion of the company. The actuarial control function should periodically evaluate and provide advice on the determination of crediting interest rates. Considerations should include but not be limited to compliance with Regulatory and Other Requirements, long term investment return assumptions, current portfolio rates, competitors' rates, reasonable expectations of policyholders, economic outlook and crediting rate policy set at pricing stage. Crediting interest rates should be reviewed at least annually.</w:t>
      </w:r>
    </w:p>
    <w:p w14:paraId="1E278945" w14:textId="77777777" w:rsidR="006003AD" w:rsidRDefault="006003AD" w:rsidP="006003AD">
      <w:pPr>
        <w:pStyle w:val="ab"/>
        <w:spacing w:after="0" w:line="377" w:lineRule="auto"/>
        <w:ind w:left="960" w:firstLine="0"/>
        <w:jc w:val="both"/>
        <w:sectPr w:rsidR="006003AD" w:rsidSect="006003AD">
          <w:footerReference w:type="default" r:id="rId8"/>
          <w:footerReference w:type="first" r:id="rId9"/>
          <w:pgSz w:w="11900" w:h="16840"/>
          <w:pgMar w:top="1498" w:right="1380" w:bottom="1264" w:left="1388" w:header="0" w:footer="3" w:gutter="0"/>
          <w:cols w:space="720"/>
          <w:noEndnote/>
          <w:titlePg/>
          <w:docGrid w:linePitch="360"/>
        </w:sectPr>
      </w:pPr>
      <w:r>
        <w:rPr>
          <w:rStyle w:val="aa"/>
          <w:b/>
          <w:bCs/>
        </w:rPr>
        <w:t xml:space="preserve">Requirement #5: </w:t>
      </w:r>
      <w:r>
        <w:rPr>
          <w:rStyle w:val="aa"/>
        </w:rPr>
        <w:t>The actuarial control function should periodically evaluate and provide advice on the (</w:t>
      </w:r>
      <w:proofErr w:type="spellStart"/>
      <w:r>
        <w:rPr>
          <w:rStyle w:val="aa"/>
        </w:rPr>
        <w:t>i</w:t>
      </w:r>
      <w:proofErr w:type="spellEnd"/>
      <w:r>
        <w:rPr>
          <w:rStyle w:val="aa"/>
        </w:rPr>
        <w:t>) declaration of bonuses, dividends or similar benefits to participating policyholders; and (ii) determination of crediting interest rates of universal life policies or coupon and dividend accumulation funds.</w:t>
      </w:r>
    </w:p>
    <w:p w14:paraId="6DC9ED96" w14:textId="77777777" w:rsidR="006003AD" w:rsidRDefault="006003AD" w:rsidP="006003AD">
      <w:pPr>
        <w:pStyle w:val="27"/>
        <w:keepNext/>
        <w:keepLines/>
        <w:numPr>
          <w:ilvl w:val="1"/>
          <w:numId w:val="11"/>
        </w:numPr>
        <w:tabs>
          <w:tab w:val="left" w:pos="841"/>
        </w:tabs>
        <w:jc w:val="both"/>
      </w:pPr>
      <w:bookmarkStart w:id="16" w:name="bookmark32"/>
      <w:r>
        <w:rPr>
          <w:rStyle w:val="26"/>
        </w:rPr>
        <w:lastRenderedPageBreak/>
        <w:t>Reinsurance</w:t>
      </w:r>
      <w:bookmarkEnd w:id="16"/>
    </w:p>
    <w:p w14:paraId="76AC854E" w14:textId="77777777" w:rsidR="006003AD" w:rsidRDefault="006003AD" w:rsidP="006003AD">
      <w:pPr>
        <w:pStyle w:val="ab"/>
        <w:spacing w:line="382" w:lineRule="auto"/>
        <w:ind w:left="840" w:firstLine="40"/>
        <w:jc w:val="both"/>
      </w:pPr>
      <w:r>
        <w:rPr>
          <w:rStyle w:val="aa"/>
        </w:rPr>
        <w:t>Reinsurance is a transaction whereby the company passes a portion of its risk on a defined group of policies to a third party, the reinsurer. It is used by the company for various purposes.</w:t>
      </w:r>
    </w:p>
    <w:p w14:paraId="5382FE3E" w14:textId="77777777" w:rsidR="006003AD" w:rsidRDefault="006003AD" w:rsidP="006003AD">
      <w:pPr>
        <w:pStyle w:val="ab"/>
        <w:spacing w:line="384" w:lineRule="auto"/>
        <w:ind w:left="840" w:firstLine="40"/>
        <w:jc w:val="both"/>
      </w:pPr>
      <w:r>
        <w:rPr>
          <w:rStyle w:val="aa"/>
        </w:rPr>
        <w:t>The actuarial control function should manage the selection, implementation, monitoring, control, review and documentation of reinsurance arrangements. Considerations should include but not be limited to compliance with Regulatory and Other Requirements, adequacy and suitability of reinsurance arrangements, profit/growth objectives, risk appetite and tolerance levels, regulatory capital requirements, risk profile and market practice, subject to materiality judgment by the actuarial control function.</w:t>
      </w:r>
    </w:p>
    <w:p w14:paraId="63606291" w14:textId="77777777" w:rsidR="006003AD" w:rsidRDefault="006003AD" w:rsidP="006003AD">
      <w:pPr>
        <w:pStyle w:val="ab"/>
        <w:spacing w:line="384" w:lineRule="auto"/>
        <w:ind w:left="840" w:firstLine="40"/>
        <w:jc w:val="both"/>
      </w:pPr>
      <w:r>
        <w:rPr>
          <w:rStyle w:val="aa"/>
        </w:rPr>
        <w:t xml:space="preserve">The actuarial control function should ensure appropriate treatment of reinsurance arrangements in product pricing and actuarial valuation </w:t>
      </w:r>
      <w:proofErr w:type="gramStart"/>
      <w:r>
        <w:rPr>
          <w:rStyle w:val="aa"/>
        </w:rPr>
        <w:t>taking into account</w:t>
      </w:r>
      <w:proofErr w:type="gramEnd"/>
      <w:r>
        <w:rPr>
          <w:rStyle w:val="aa"/>
        </w:rPr>
        <w:t xml:space="preserve"> the design of the reinsurance arrangements.</w:t>
      </w:r>
    </w:p>
    <w:p w14:paraId="03B250E9" w14:textId="77777777" w:rsidR="006003AD" w:rsidRDefault="006003AD" w:rsidP="006003AD">
      <w:pPr>
        <w:pStyle w:val="ab"/>
        <w:spacing w:after="540" w:line="374" w:lineRule="auto"/>
        <w:ind w:left="840" w:firstLine="40"/>
        <w:jc w:val="both"/>
      </w:pPr>
      <w:r>
        <w:rPr>
          <w:rStyle w:val="aa"/>
        </w:rPr>
        <w:t>The actuarial control function should be involved in establishing a process to settle payments with external and internal reinsurers.</w:t>
      </w:r>
    </w:p>
    <w:p w14:paraId="6AD6B443" w14:textId="77777777" w:rsidR="006003AD" w:rsidRDefault="006003AD" w:rsidP="006003AD">
      <w:pPr>
        <w:pStyle w:val="ab"/>
        <w:spacing w:after="580" w:line="374" w:lineRule="auto"/>
        <w:ind w:left="1020" w:firstLine="0"/>
        <w:jc w:val="both"/>
      </w:pPr>
      <w:r>
        <w:rPr>
          <w:rStyle w:val="aa"/>
          <w:b/>
          <w:bCs/>
        </w:rPr>
        <w:t xml:space="preserve">Requirement #6: </w:t>
      </w:r>
      <w:r>
        <w:rPr>
          <w:rStyle w:val="aa"/>
        </w:rPr>
        <w:t>The actuarial control function should (</w:t>
      </w:r>
      <w:proofErr w:type="spellStart"/>
      <w:r>
        <w:rPr>
          <w:rStyle w:val="aa"/>
        </w:rPr>
        <w:t>i</w:t>
      </w:r>
      <w:proofErr w:type="spellEnd"/>
      <w:r>
        <w:rPr>
          <w:rStyle w:val="aa"/>
        </w:rPr>
        <w:t>) manage the selection, implementation, monitoring, control, review and documentation of reinsurance arrangements; (ii) ensure appropriate treatment of reinsurance arrangements in product pricing and actuarial valuation; and (iii) be involved in establishing a process to settle payments with external and internal reinsurers.</w:t>
      </w:r>
    </w:p>
    <w:p w14:paraId="49CE6254" w14:textId="77777777" w:rsidR="006003AD" w:rsidRDefault="006003AD" w:rsidP="006003AD">
      <w:pPr>
        <w:pStyle w:val="27"/>
        <w:keepNext/>
        <w:keepLines/>
        <w:numPr>
          <w:ilvl w:val="1"/>
          <w:numId w:val="11"/>
        </w:numPr>
        <w:tabs>
          <w:tab w:val="left" w:pos="841"/>
        </w:tabs>
      </w:pPr>
      <w:bookmarkStart w:id="17" w:name="bookmark34"/>
      <w:r>
        <w:rPr>
          <w:rStyle w:val="26"/>
        </w:rPr>
        <w:t>ALM Principles and SAA</w:t>
      </w:r>
      <w:bookmarkEnd w:id="17"/>
    </w:p>
    <w:p w14:paraId="0D9F1140" w14:textId="77777777" w:rsidR="006003AD" w:rsidRDefault="006003AD" w:rsidP="006003AD">
      <w:pPr>
        <w:pStyle w:val="ab"/>
        <w:ind w:left="920"/>
        <w:jc w:val="both"/>
      </w:pPr>
      <w:r>
        <w:rPr>
          <w:rStyle w:val="aa"/>
        </w:rPr>
        <w:t>In consideration of the long-term nature of insurance liabilities and the risks created by the potential mismatch between assets and liabilities, appropriate ALM principles and SAA are fundamental to the long-term financial health of the company.</w:t>
      </w:r>
    </w:p>
    <w:p w14:paraId="2A658AD6" w14:textId="77777777" w:rsidR="006003AD" w:rsidRDefault="006003AD" w:rsidP="006003AD">
      <w:pPr>
        <w:pStyle w:val="ab"/>
        <w:spacing w:after="0" w:line="377" w:lineRule="auto"/>
        <w:ind w:left="920"/>
        <w:jc w:val="both"/>
      </w:pPr>
      <w:r>
        <w:rPr>
          <w:rStyle w:val="aa"/>
        </w:rPr>
        <w:t>The actuarial control function should periodically evaluate and provide advice on the financial and strategic impact of product-related decision-making, the management of discretionary benefits such as bonuses and crediting rates, SAA decisions and other in-force management actions. Considerations should include but not be limited to compliance with Regulatory and Other Requirements, strategic and financial objectives, risk and return, costs and constraints, asset-liability matching and market availability. ALM principles and SAA should be reviewed at least annually. The GALCO, chaired by the Group Chief Financial Officer, provides oversight of ALM and SAA at the Group level. ALM principles are approved by the Group</w:t>
      </w:r>
    </w:p>
    <w:p w14:paraId="148BEB44" w14:textId="77777777" w:rsidR="006003AD" w:rsidRDefault="006003AD" w:rsidP="006003AD">
      <w:pPr>
        <w:pStyle w:val="ab"/>
        <w:spacing w:after="560"/>
        <w:ind w:left="820" w:firstLine="40"/>
        <w:jc w:val="both"/>
      </w:pPr>
      <w:r>
        <w:rPr>
          <w:rStyle w:val="aa"/>
        </w:rPr>
        <w:t>FRC, chaired by the Group Chief Executive, while SAA is approved by the applicable Board of Directors.</w:t>
      </w:r>
    </w:p>
    <w:p w14:paraId="56CD5A08" w14:textId="77777777" w:rsidR="006003AD" w:rsidRDefault="006003AD" w:rsidP="006003AD">
      <w:pPr>
        <w:pStyle w:val="ab"/>
        <w:spacing w:after="560" w:line="382" w:lineRule="auto"/>
        <w:ind w:left="940"/>
        <w:jc w:val="both"/>
      </w:pPr>
      <w:r>
        <w:rPr>
          <w:rStyle w:val="aa"/>
          <w:b/>
          <w:bCs/>
        </w:rPr>
        <w:lastRenderedPageBreak/>
        <w:t xml:space="preserve">Requirement #7: </w:t>
      </w:r>
      <w:r>
        <w:rPr>
          <w:rStyle w:val="aa"/>
        </w:rPr>
        <w:t>The actuarial control function should periodically evaluate and provide advice on the financial and strategic impact of product-related decision-making, the management of discretionary benefits such as bonuses and crediting rates, SAA decisions and other in-force management actions.</w:t>
      </w:r>
    </w:p>
    <w:p w14:paraId="1F03C5F1" w14:textId="77777777" w:rsidR="006003AD" w:rsidRDefault="006003AD" w:rsidP="006003AD">
      <w:pPr>
        <w:pStyle w:val="27"/>
        <w:keepNext/>
        <w:keepLines/>
        <w:numPr>
          <w:ilvl w:val="1"/>
          <w:numId w:val="11"/>
        </w:numPr>
        <w:tabs>
          <w:tab w:val="left" w:pos="841"/>
        </w:tabs>
        <w:jc w:val="both"/>
      </w:pPr>
      <w:bookmarkStart w:id="18" w:name="bookmark36"/>
      <w:r>
        <w:rPr>
          <w:rStyle w:val="26"/>
        </w:rPr>
        <w:t>GIECA</w:t>
      </w:r>
      <w:bookmarkEnd w:id="18"/>
    </w:p>
    <w:p w14:paraId="6ECD6AA4" w14:textId="77777777" w:rsidR="006003AD" w:rsidRDefault="006003AD" w:rsidP="006003AD">
      <w:pPr>
        <w:pStyle w:val="ab"/>
        <w:spacing w:after="440" w:line="382" w:lineRule="auto"/>
        <w:ind w:left="820" w:firstLine="40"/>
        <w:jc w:val="both"/>
      </w:pPr>
      <w:r>
        <w:rPr>
          <w:rStyle w:val="aa"/>
        </w:rPr>
        <w:t xml:space="preserve">GIECA is a set of internal metrics based on economic principles that are used to quantify the risks faced by AIA Group and assess the strength of the balance sheet to absorb those risks should they </w:t>
      </w:r>
      <w:proofErr w:type="spellStart"/>
      <w:r>
        <w:rPr>
          <w:rStyle w:val="aa"/>
        </w:rPr>
        <w:t>materialise</w:t>
      </w:r>
      <w:proofErr w:type="spellEnd"/>
      <w:r>
        <w:rPr>
          <w:rStyle w:val="aa"/>
        </w:rPr>
        <w:t>.</w:t>
      </w:r>
    </w:p>
    <w:p w14:paraId="59810957" w14:textId="77777777" w:rsidR="006003AD" w:rsidRDefault="006003AD" w:rsidP="006003AD">
      <w:pPr>
        <w:pStyle w:val="ab"/>
        <w:spacing w:after="80" w:line="374" w:lineRule="auto"/>
        <w:ind w:left="820" w:firstLine="40"/>
        <w:jc w:val="both"/>
      </w:pPr>
      <w:r>
        <w:rPr>
          <w:rStyle w:val="aa"/>
        </w:rPr>
        <w:t>The actuarial control function should observe the GIECA framework described in the AIA Group Internal Economic Capital Assessment Policy. In particular, the actuarial control function should:</w:t>
      </w:r>
    </w:p>
    <w:p w14:paraId="465040DF" w14:textId="77777777" w:rsidR="006003AD" w:rsidRDefault="006003AD" w:rsidP="006003AD">
      <w:pPr>
        <w:pStyle w:val="ab"/>
        <w:numPr>
          <w:ilvl w:val="0"/>
          <w:numId w:val="14"/>
        </w:numPr>
        <w:tabs>
          <w:tab w:val="left" w:pos="1565"/>
        </w:tabs>
        <w:spacing w:after="80" w:line="360" w:lineRule="auto"/>
        <w:ind w:left="1560" w:hanging="420"/>
        <w:jc w:val="both"/>
      </w:pPr>
      <w:r>
        <w:rPr>
          <w:rStyle w:val="aa"/>
        </w:rPr>
        <w:t xml:space="preserve">subject the GIECA model and methodology to periodic review, testing and validation with sufficient, proper and clear </w:t>
      </w:r>
      <w:proofErr w:type="gramStart"/>
      <w:r>
        <w:rPr>
          <w:rStyle w:val="aa"/>
        </w:rPr>
        <w:t>documentation;</w:t>
      </w:r>
      <w:proofErr w:type="gramEnd"/>
    </w:p>
    <w:p w14:paraId="0FD584EE" w14:textId="77777777" w:rsidR="006003AD" w:rsidRDefault="006003AD" w:rsidP="006003AD">
      <w:pPr>
        <w:pStyle w:val="ab"/>
        <w:numPr>
          <w:ilvl w:val="0"/>
          <w:numId w:val="14"/>
        </w:numPr>
        <w:tabs>
          <w:tab w:val="left" w:pos="1565"/>
        </w:tabs>
        <w:spacing w:after="80" w:line="372" w:lineRule="auto"/>
        <w:ind w:left="1560" w:hanging="420"/>
        <w:jc w:val="both"/>
      </w:pPr>
      <w:r>
        <w:rPr>
          <w:rStyle w:val="aa"/>
        </w:rPr>
        <w:t xml:space="preserve">perform actuarial valuations and relevant analyses on the GIECA basis at least </w:t>
      </w:r>
      <w:proofErr w:type="gramStart"/>
      <w:r>
        <w:rPr>
          <w:rStyle w:val="aa"/>
        </w:rPr>
        <w:t>semi</w:t>
      </w:r>
      <w:r>
        <w:rPr>
          <w:rStyle w:val="aa"/>
        </w:rPr>
        <w:softHyphen/>
        <w:t>annually;</w:t>
      </w:r>
      <w:proofErr w:type="gramEnd"/>
    </w:p>
    <w:p w14:paraId="0D5950BE" w14:textId="77777777" w:rsidR="006003AD" w:rsidRDefault="006003AD" w:rsidP="006003AD">
      <w:pPr>
        <w:pStyle w:val="ab"/>
        <w:numPr>
          <w:ilvl w:val="0"/>
          <w:numId w:val="14"/>
        </w:numPr>
        <w:tabs>
          <w:tab w:val="left" w:pos="1565"/>
        </w:tabs>
        <w:spacing w:after="80" w:line="360" w:lineRule="auto"/>
        <w:ind w:left="1560" w:hanging="420"/>
        <w:jc w:val="both"/>
      </w:pPr>
      <w:r>
        <w:rPr>
          <w:rStyle w:val="aa"/>
        </w:rPr>
        <w:t>perform capital adequacy testing (including projections and stress tests) on the GIECA basis at least annually; and</w:t>
      </w:r>
    </w:p>
    <w:p w14:paraId="367B37EE" w14:textId="77777777" w:rsidR="006003AD" w:rsidRDefault="006003AD" w:rsidP="006003AD">
      <w:pPr>
        <w:pStyle w:val="ab"/>
        <w:numPr>
          <w:ilvl w:val="0"/>
          <w:numId w:val="14"/>
        </w:numPr>
        <w:tabs>
          <w:tab w:val="left" w:pos="1565"/>
        </w:tabs>
        <w:spacing w:after="560" w:line="360" w:lineRule="auto"/>
        <w:ind w:left="1560" w:hanging="420"/>
        <w:jc w:val="both"/>
      </w:pPr>
      <w:r>
        <w:rPr>
          <w:rStyle w:val="aa"/>
        </w:rPr>
        <w:t>ensure that the GIECA is embedded in the risk management framework and key business processes.</w:t>
      </w:r>
    </w:p>
    <w:p w14:paraId="301D7410" w14:textId="77777777" w:rsidR="006003AD" w:rsidRDefault="006003AD" w:rsidP="006003AD">
      <w:pPr>
        <w:pStyle w:val="ab"/>
        <w:spacing w:after="340" w:line="372" w:lineRule="auto"/>
        <w:ind w:left="1000" w:firstLine="0"/>
      </w:pPr>
      <w:r>
        <w:rPr>
          <w:rStyle w:val="aa"/>
          <w:b/>
          <w:bCs/>
        </w:rPr>
        <w:t xml:space="preserve">Requirement #8: </w:t>
      </w:r>
      <w:r>
        <w:rPr>
          <w:rStyle w:val="aa"/>
        </w:rPr>
        <w:t>The actuarial control function should observe the GIECA framework described in the AIA Group Internal Economic Capital Assessment Policy.</w:t>
      </w:r>
    </w:p>
    <w:p w14:paraId="74FA520A" w14:textId="77777777" w:rsidR="006003AD" w:rsidRDefault="006003AD" w:rsidP="006003AD">
      <w:pPr>
        <w:pStyle w:val="27"/>
        <w:keepNext/>
        <w:keepLines/>
        <w:numPr>
          <w:ilvl w:val="1"/>
          <w:numId w:val="11"/>
        </w:numPr>
        <w:tabs>
          <w:tab w:val="left" w:pos="841"/>
        </w:tabs>
        <w:spacing w:after="240"/>
        <w:jc w:val="both"/>
      </w:pPr>
      <w:bookmarkStart w:id="19" w:name="bookmark38"/>
      <w:r>
        <w:rPr>
          <w:rStyle w:val="26"/>
        </w:rPr>
        <w:t>Reporting to the Board of Directors and Relevant Management Committees</w:t>
      </w:r>
      <w:bookmarkEnd w:id="19"/>
    </w:p>
    <w:p w14:paraId="422A4DBB" w14:textId="77777777" w:rsidR="006003AD" w:rsidRDefault="006003AD" w:rsidP="006003AD">
      <w:pPr>
        <w:pStyle w:val="ab"/>
        <w:spacing w:after="440" w:line="391" w:lineRule="auto"/>
        <w:ind w:left="840" w:firstLine="0"/>
        <w:jc w:val="both"/>
      </w:pPr>
      <w:r>
        <w:rPr>
          <w:rStyle w:val="aa"/>
        </w:rPr>
        <w:t>Timely reporting enables the Board of Directors and relevant Management Committees to take effective and informed decisions.</w:t>
      </w:r>
    </w:p>
    <w:p w14:paraId="6BF4E1C3" w14:textId="77777777" w:rsidR="006003AD" w:rsidRDefault="006003AD" w:rsidP="006003AD">
      <w:pPr>
        <w:pStyle w:val="ab"/>
        <w:spacing w:after="40"/>
        <w:ind w:left="840" w:firstLine="0"/>
        <w:jc w:val="both"/>
      </w:pPr>
      <w:r>
        <w:rPr>
          <w:rStyle w:val="aa"/>
        </w:rPr>
        <w:t>To facilitate regular review of actuarial-related risk management, the actuarial control function should at least annually:</w:t>
      </w:r>
    </w:p>
    <w:p w14:paraId="2C85E615" w14:textId="77777777" w:rsidR="006003AD" w:rsidRDefault="006003AD" w:rsidP="006003AD">
      <w:pPr>
        <w:pStyle w:val="ab"/>
        <w:numPr>
          <w:ilvl w:val="0"/>
          <w:numId w:val="15"/>
        </w:numPr>
        <w:tabs>
          <w:tab w:val="left" w:pos="1548"/>
        </w:tabs>
        <w:spacing w:after="40" w:line="382" w:lineRule="auto"/>
        <w:ind w:left="1560" w:hanging="440"/>
        <w:jc w:val="both"/>
      </w:pPr>
      <w:r>
        <w:rPr>
          <w:rStyle w:val="aa"/>
        </w:rPr>
        <w:t xml:space="preserve">evaluate and advise the Board of Directors and relevant Management Committees about the financial soundness and condition of the company, actuarial-related items under the ORSA and other actuarial matters per the statutory requirements as </w:t>
      </w:r>
      <w:proofErr w:type="gramStart"/>
      <w:r>
        <w:rPr>
          <w:rStyle w:val="aa"/>
        </w:rPr>
        <w:t>appropriate;</w:t>
      </w:r>
      <w:proofErr w:type="gramEnd"/>
    </w:p>
    <w:p w14:paraId="27D8915E" w14:textId="77777777" w:rsidR="006003AD" w:rsidRDefault="006003AD" w:rsidP="006003AD">
      <w:pPr>
        <w:pStyle w:val="ab"/>
        <w:numPr>
          <w:ilvl w:val="0"/>
          <w:numId w:val="15"/>
        </w:numPr>
        <w:tabs>
          <w:tab w:val="left" w:pos="1548"/>
        </w:tabs>
        <w:spacing w:after="40" w:line="394" w:lineRule="auto"/>
        <w:ind w:left="1560" w:hanging="440"/>
        <w:jc w:val="both"/>
      </w:pPr>
      <w:r>
        <w:rPr>
          <w:rStyle w:val="aa"/>
        </w:rPr>
        <w:t>issue an actuarial opinion, report, advice or review on the current and future financial conditions of the company; and</w:t>
      </w:r>
    </w:p>
    <w:p w14:paraId="3A4D7F8B" w14:textId="77777777" w:rsidR="006003AD" w:rsidRDefault="006003AD" w:rsidP="006003AD">
      <w:pPr>
        <w:pStyle w:val="ab"/>
        <w:numPr>
          <w:ilvl w:val="0"/>
          <w:numId w:val="15"/>
        </w:numPr>
        <w:tabs>
          <w:tab w:val="left" w:pos="1548"/>
        </w:tabs>
        <w:spacing w:after="440"/>
        <w:ind w:left="1560" w:hanging="440"/>
        <w:jc w:val="both"/>
      </w:pPr>
      <w:r>
        <w:rPr>
          <w:rStyle w:val="aa"/>
        </w:rPr>
        <w:t xml:space="preserve">report to the Board of Directors and relevant Management Committees any matter that has, or is likely to have, a materially adverse effect on the solvency position, technical provisions </w:t>
      </w:r>
      <w:r>
        <w:rPr>
          <w:rStyle w:val="aa"/>
        </w:rPr>
        <w:lastRenderedPageBreak/>
        <w:t>or financial condition.</w:t>
      </w:r>
    </w:p>
    <w:p w14:paraId="4A22BA68" w14:textId="77777777" w:rsidR="006003AD" w:rsidRDefault="006003AD" w:rsidP="006003AD">
      <w:pPr>
        <w:pStyle w:val="ab"/>
        <w:spacing w:after="520" w:line="374" w:lineRule="auto"/>
        <w:ind w:left="840" w:firstLine="0"/>
        <w:jc w:val="both"/>
      </w:pPr>
      <w:r>
        <w:rPr>
          <w:rStyle w:val="aa"/>
        </w:rPr>
        <w:t>AIA Group’s Risk Tolerances and Risk Limits, as defined in the AIA Group Risk Management Policy, govern the monitoring, reporting and triggering higher levels of management interaction on material risks.</w:t>
      </w:r>
    </w:p>
    <w:p w14:paraId="3156097D" w14:textId="77777777" w:rsidR="006003AD" w:rsidRDefault="006003AD" w:rsidP="006003AD">
      <w:pPr>
        <w:pStyle w:val="ab"/>
        <w:spacing w:after="340" w:line="372" w:lineRule="auto"/>
        <w:ind w:left="940" w:firstLine="0"/>
        <w:jc w:val="both"/>
        <w:sectPr w:rsidR="006003AD" w:rsidSect="006003AD">
          <w:pgSz w:w="11900" w:h="16840"/>
          <w:pgMar w:top="1445" w:right="1397" w:bottom="1158" w:left="1404" w:header="0" w:footer="3" w:gutter="0"/>
          <w:cols w:space="720"/>
          <w:noEndnote/>
          <w:docGrid w:linePitch="360"/>
        </w:sectPr>
      </w:pPr>
      <w:r>
        <w:rPr>
          <w:rStyle w:val="aa"/>
          <w:b/>
          <w:bCs/>
        </w:rPr>
        <w:t xml:space="preserve">Requirement #9: </w:t>
      </w:r>
      <w:r>
        <w:rPr>
          <w:rStyle w:val="aa"/>
        </w:rPr>
        <w:t>The actuarial control function should at least annually evaluate and advise the Board of Directors and relevant Management Committees the financial conditions of the company and other actuarial matters.</w:t>
      </w:r>
    </w:p>
    <w:p w14:paraId="4CB6D4DB" w14:textId="77777777" w:rsidR="006003AD" w:rsidRDefault="006003AD" w:rsidP="006003AD">
      <w:pPr>
        <w:pStyle w:val="ab"/>
        <w:numPr>
          <w:ilvl w:val="1"/>
          <w:numId w:val="11"/>
        </w:numPr>
        <w:tabs>
          <w:tab w:val="left" w:pos="819"/>
        </w:tabs>
        <w:spacing w:after="120" w:line="382" w:lineRule="auto"/>
        <w:ind w:firstLine="0"/>
        <w:jc w:val="both"/>
      </w:pPr>
      <w:r>
        <w:rPr>
          <w:rStyle w:val="aa"/>
        </w:rPr>
        <w:lastRenderedPageBreak/>
        <w:t>Exceptions</w:t>
      </w:r>
    </w:p>
    <w:p w14:paraId="1D10A43C" w14:textId="77777777" w:rsidR="006003AD" w:rsidRDefault="006003AD" w:rsidP="006003AD">
      <w:pPr>
        <w:pStyle w:val="ab"/>
        <w:spacing w:after="520" w:line="382" w:lineRule="auto"/>
        <w:ind w:left="820"/>
        <w:jc w:val="both"/>
      </w:pPr>
      <w:r>
        <w:rPr>
          <w:rStyle w:val="aa"/>
        </w:rPr>
        <w:t xml:space="preserve">Exceptions to this Policy, in whole or in part, should be escalated to the Group Chief Actuary and be supported by a rationale from the BU Chief Actuary. Approval for any proposed exception should be received explicitly from the Group Chief Actuary before the exception is treated as </w:t>
      </w:r>
      <w:proofErr w:type="spellStart"/>
      <w:r>
        <w:rPr>
          <w:rStyle w:val="aa"/>
        </w:rPr>
        <w:t>authorised</w:t>
      </w:r>
      <w:proofErr w:type="spellEnd"/>
      <w:r>
        <w:rPr>
          <w:rStyle w:val="aa"/>
        </w:rPr>
        <w:t>.</w:t>
      </w:r>
    </w:p>
    <w:p w14:paraId="22796100" w14:textId="77777777" w:rsidR="006003AD" w:rsidRDefault="006003AD" w:rsidP="006003AD">
      <w:pPr>
        <w:pStyle w:val="ab"/>
        <w:numPr>
          <w:ilvl w:val="1"/>
          <w:numId w:val="11"/>
        </w:numPr>
        <w:tabs>
          <w:tab w:val="left" w:pos="819"/>
        </w:tabs>
        <w:spacing w:after="120" w:line="382" w:lineRule="auto"/>
        <w:ind w:firstLine="0"/>
        <w:jc w:val="both"/>
      </w:pPr>
      <w:r>
        <w:rPr>
          <w:rStyle w:val="aa"/>
        </w:rPr>
        <w:t>Breach Management and Escalation</w:t>
      </w:r>
    </w:p>
    <w:p w14:paraId="258AF041" w14:textId="77777777" w:rsidR="006003AD" w:rsidRDefault="006003AD" w:rsidP="006003AD">
      <w:pPr>
        <w:pStyle w:val="ab"/>
        <w:spacing w:after="520" w:line="384" w:lineRule="auto"/>
        <w:ind w:left="820"/>
        <w:jc w:val="both"/>
      </w:pPr>
      <w:r>
        <w:rPr>
          <w:rStyle w:val="aa"/>
        </w:rPr>
        <w:t>The BU Chief Actuary should report any breaches or instances of non-compliance with this Policy to the Group Chief Actuary so that consultation and/or appropriate corrective actions, if any, can be taken promptly. The Group Chief Actuary should report instances of material breaches and exceptions to the AIA Group Board.</w:t>
      </w:r>
    </w:p>
    <w:p w14:paraId="5E2FAA61" w14:textId="77777777" w:rsidR="006003AD" w:rsidRDefault="006003AD" w:rsidP="006003AD">
      <w:pPr>
        <w:pStyle w:val="ab"/>
        <w:numPr>
          <w:ilvl w:val="1"/>
          <w:numId w:val="11"/>
        </w:numPr>
        <w:tabs>
          <w:tab w:val="left" w:pos="819"/>
        </w:tabs>
        <w:spacing w:after="120" w:line="382" w:lineRule="auto"/>
        <w:ind w:firstLine="0"/>
        <w:jc w:val="both"/>
      </w:pPr>
      <w:r>
        <w:rPr>
          <w:rStyle w:val="aa"/>
        </w:rPr>
        <w:t>Monitoring, Review and Amendments</w:t>
      </w:r>
    </w:p>
    <w:p w14:paraId="65A830FD" w14:textId="77777777" w:rsidR="006003AD" w:rsidRDefault="006003AD" w:rsidP="006003AD">
      <w:pPr>
        <w:pStyle w:val="ab"/>
        <w:spacing w:after="520" w:line="382" w:lineRule="auto"/>
        <w:ind w:firstLine="820"/>
        <w:jc w:val="both"/>
      </w:pPr>
      <w:r>
        <w:rPr>
          <w:rStyle w:val="aa"/>
        </w:rPr>
        <w:t>This Policy should be reviewed at least every three years as per the AIA Group CPG Standard.</w:t>
      </w:r>
    </w:p>
    <w:p w14:paraId="006C4D61" w14:textId="77777777" w:rsidR="006003AD" w:rsidRDefault="006003AD" w:rsidP="006003AD">
      <w:pPr>
        <w:pStyle w:val="ab"/>
        <w:numPr>
          <w:ilvl w:val="1"/>
          <w:numId w:val="11"/>
        </w:numPr>
        <w:tabs>
          <w:tab w:val="left" w:pos="819"/>
        </w:tabs>
        <w:spacing w:after="120" w:line="382" w:lineRule="auto"/>
        <w:ind w:firstLine="0"/>
        <w:jc w:val="both"/>
      </w:pPr>
      <w:r>
        <w:rPr>
          <w:rStyle w:val="aa"/>
        </w:rPr>
        <w:t>Delegation of Authority</w:t>
      </w:r>
    </w:p>
    <w:p w14:paraId="55E13231" w14:textId="77777777" w:rsidR="006003AD" w:rsidRDefault="006003AD" w:rsidP="006003AD">
      <w:pPr>
        <w:pStyle w:val="ab"/>
        <w:spacing w:after="520" w:line="382" w:lineRule="auto"/>
        <w:ind w:firstLine="820"/>
      </w:pPr>
      <w:r>
        <w:rPr>
          <w:rStyle w:val="aa"/>
        </w:rPr>
        <w:t>Not applicable.</w:t>
      </w:r>
    </w:p>
    <w:p w14:paraId="3B4F653B" w14:textId="77777777" w:rsidR="006003AD" w:rsidRDefault="006003AD" w:rsidP="006003AD">
      <w:pPr>
        <w:pStyle w:val="27"/>
        <w:keepNext/>
        <w:keepLines/>
        <w:tabs>
          <w:tab w:val="left" w:pos="819"/>
        </w:tabs>
        <w:spacing w:after="280"/>
      </w:pPr>
      <w:bookmarkStart w:id="20" w:name="bookmark41"/>
      <w:r>
        <w:rPr>
          <w:rStyle w:val="26"/>
        </w:rPr>
        <w:t>4.</w:t>
      </w:r>
      <w:r>
        <w:rPr>
          <w:rStyle w:val="26"/>
        </w:rPr>
        <w:tab/>
        <w:t>Approvals</w:t>
      </w:r>
      <w:bookmarkEnd w:id="20"/>
    </w:p>
    <w:p w14:paraId="6FEB6F28" w14:textId="77777777" w:rsidR="006003AD" w:rsidRDefault="006003AD" w:rsidP="006003AD">
      <w:pPr>
        <w:pStyle w:val="ab"/>
        <w:spacing w:line="377" w:lineRule="auto"/>
        <w:ind w:left="820"/>
        <w:jc w:val="both"/>
      </w:pPr>
      <w:r>
        <w:rPr>
          <w:rStyle w:val="aa"/>
        </w:rPr>
        <w:t>In line with the endorsement and approval procedures outlined by the AIA Group CPG Standard, material changes must be endorsed by the Group Chief Financial Officer and approved by the AIA Group Board before implementation.</w:t>
      </w:r>
    </w:p>
    <w:p w14:paraId="361452DC" w14:textId="77777777" w:rsidR="006003AD" w:rsidRDefault="006003AD" w:rsidP="006003AD">
      <w:pPr>
        <w:pStyle w:val="ab"/>
        <w:spacing w:line="377" w:lineRule="auto"/>
        <w:ind w:left="820"/>
        <w:jc w:val="both"/>
      </w:pPr>
      <w:r>
        <w:rPr>
          <w:rStyle w:val="aa"/>
        </w:rPr>
        <w:t>Administrative changes to this Policy (e.g. editorial and minor wording changes which are not considered material) may be approved and implemented immediately by the Group Chief Actuary.</w:t>
      </w:r>
    </w:p>
    <w:p w14:paraId="44BB892E" w14:textId="77777777" w:rsidR="006003AD" w:rsidRDefault="006003AD" w:rsidP="006003AD">
      <w:pPr>
        <w:pStyle w:val="ab"/>
        <w:spacing w:after="0" w:line="382" w:lineRule="auto"/>
        <w:ind w:left="820"/>
        <w:jc w:val="both"/>
      </w:pPr>
      <w:r>
        <w:rPr>
          <w:rStyle w:val="aa"/>
        </w:rPr>
        <w:t>Termination of this Policy must be approved by the AIA Group Board.</w:t>
      </w:r>
      <w:r>
        <w:br w:type="page"/>
      </w:r>
    </w:p>
    <w:p w14:paraId="698A7995" w14:textId="77777777" w:rsidR="006003AD" w:rsidRDefault="006003AD" w:rsidP="006003AD">
      <w:pPr>
        <w:spacing w:line="1" w:lineRule="exact"/>
      </w:pPr>
      <w:r>
        <w:rPr>
          <w:noProof/>
        </w:rPr>
        <w:lastRenderedPageBreak/>
        <mc:AlternateContent>
          <mc:Choice Requires="wps">
            <w:drawing>
              <wp:anchor distT="0" distB="118110" distL="0" distR="0" simplePos="0" relativeHeight="251667456" behindDoc="0" locked="0" layoutInCell="1" allowOverlap="1" wp14:anchorId="1F689718" wp14:editId="0A7928B2">
                <wp:simplePos x="0" y="0"/>
                <wp:positionH relativeFrom="page">
                  <wp:posOffset>942975</wp:posOffset>
                </wp:positionH>
                <wp:positionV relativeFrom="paragraph">
                  <wp:posOffset>0</wp:posOffset>
                </wp:positionV>
                <wp:extent cx="140335" cy="172085"/>
                <wp:effectExtent l="0" t="0" r="0" b="0"/>
                <wp:wrapTopAndBottom/>
                <wp:docPr id="28" name="Shape 28"/>
                <wp:cNvGraphicFramePr/>
                <a:graphic xmlns:a="http://schemas.openxmlformats.org/drawingml/2006/main">
                  <a:graphicData uri="http://schemas.microsoft.com/office/word/2010/wordprocessingShape">
                    <wps:wsp>
                      <wps:cNvSpPr txBox="1"/>
                      <wps:spPr>
                        <a:xfrm>
                          <a:off x="0" y="0"/>
                          <a:ext cx="140335" cy="172085"/>
                        </a:xfrm>
                        <a:prstGeom prst="rect">
                          <a:avLst/>
                        </a:prstGeom>
                        <a:noFill/>
                      </wps:spPr>
                      <wps:txbx>
                        <w:txbxContent>
                          <w:p w14:paraId="38D77D3D" w14:textId="77777777" w:rsidR="006003AD" w:rsidRDefault="006003AD" w:rsidP="006003AD">
                            <w:pPr>
                              <w:pStyle w:val="25"/>
                              <w:keepNext/>
                              <w:keepLines/>
                            </w:pPr>
                            <w:r>
                              <w:rPr>
                                <w:rStyle w:val="24"/>
                              </w:rPr>
                              <w:t>5.</w:t>
                            </w:r>
                          </w:p>
                        </w:txbxContent>
                      </wps:txbx>
                      <wps:bodyPr wrap="none" lIns="0" tIns="0" rIns="0" bIns="0"/>
                    </wps:wsp>
                  </a:graphicData>
                </a:graphic>
              </wp:anchor>
            </w:drawing>
          </mc:Choice>
          <mc:Fallback>
            <w:pict>
              <v:shape w14:anchorId="1F689718" id="Shape 28" o:spid="_x0000_s1032" type="#_x0000_t202" style="position:absolute;margin-left:74.25pt;margin-top:0;width:11.05pt;height:13.55pt;z-index:251667456;visibility:visible;mso-wrap-style:none;mso-wrap-distance-left:0;mso-wrap-distance-top:0;mso-wrap-distance-right:0;mso-wrap-distance-bottom:9.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" filled="f" stroked="f">
                <v:textbox inset="0,0,0,0">
                  <w:txbxContent>
                    <w:p w14:paraId="38D77D3D" w14:textId="77777777" w:rsidR="006003AD" w:rsidRDefault="006003AD" w:rsidP="006003AD">
                      <w:pPr>
                        <w:pStyle w:val="25"/>
                        <w:keepNext/>
                        <w:keepLines/>
                      </w:pPr>
                      <w:r>
                        <w:rPr>
                          <w:rStyle w:val="24"/>
                        </w:rPr>
                        <w:t>5.</w:t>
                      </w:r>
                    </w:p>
                  </w:txbxContent>
                </v:textbox>
                <w10:wrap type="topAndBottom" anchorx="page"/>
              </v:shape>
            </w:pict>
          </mc:Fallback>
        </mc:AlternateContent>
      </w:r>
      <w:r>
        <w:rPr>
          <w:noProof/>
        </w:rPr>
        <mc:AlternateContent>
          <mc:Choice Requires="wps">
            <w:drawing>
              <wp:anchor distT="0" distB="114300" distL="0" distR="0" simplePos="0" relativeHeight="251668480" behindDoc="0" locked="0" layoutInCell="1" allowOverlap="1" wp14:anchorId="651AF83F" wp14:editId="56B282F2">
                <wp:simplePos x="0" y="0"/>
                <wp:positionH relativeFrom="page">
                  <wp:posOffset>1466850</wp:posOffset>
                </wp:positionH>
                <wp:positionV relativeFrom="paragraph">
                  <wp:posOffset>0</wp:posOffset>
                </wp:positionV>
                <wp:extent cx="661035" cy="175895"/>
                <wp:effectExtent l="0" t="0" r="0" b="0"/>
                <wp:wrapTopAndBottom/>
                <wp:docPr id="30" name="Shape 30"/>
                <wp:cNvGraphicFramePr/>
                <a:graphic xmlns:a="http://schemas.openxmlformats.org/drawingml/2006/main">
                  <a:graphicData uri="http://schemas.microsoft.com/office/word/2010/wordprocessingShape">
                    <wps:wsp>
                      <wps:cNvSpPr txBox="1"/>
                      <wps:spPr>
                        <a:xfrm>
                          <a:off x="0" y="0"/>
                          <a:ext cx="661035" cy="175895"/>
                        </a:xfrm>
                        <a:prstGeom prst="rect">
                          <a:avLst/>
                        </a:prstGeom>
                        <a:noFill/>
                      </wps:spPr>
                      <wps:txbx>
                        <w:txbxContent>
                          <w:p w14:paraId="2FD6AC95" w14:textId="77777777" w:rsidR="006003AD" w:rsidRDefault="006003AD" w:rsidP="006003AD">
                            <w:pPr>
                              <w:pStyle w:val="25"/>
                              <w:keepNext/>
                              <w:keepLines/>
                            </w:pPr>
                            <w:r>
                              <w:rPr>
                                <w:rStyle w:val="24"/>
                              </w:rPr>
                              <w:t>Appendix</w:t>
                            </w:r>
                          </w:p>
                        </w:txbxContent>
                      </wps:txbx>
                      <wps:bodyPr wrap="none" lIns="0" tIns="0" rIns="0" bIns="0"/>
                    </wps:wsp>
                  </a:graphicData>
                </a:graphic>
              </wp:anchor>
            </w:drawing>
          </mc:Choice>
          <mc:Fallback>
            <w:pict>
              <v:shape w14:anchorId="651AF83F" id="Shape 30" o:spid="_x0000_s1033" type="#_x0000_t202" style="position:absolute;margin-left:115.5pt;margin-top:0;width:52.05pt;height:13.85pt;z-index:251668480;visibility:visible;mso-wrap-style:none;mso-wrap-distance-left:0;mso-wrap-distance-top:0;mso-wrap-distance-right:0;mso-wrap-distance-bottom:9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" filled="f" stroked="f">
                <v:textbox inset="0,0,0,0">
                  <w:txbxContent>
                    <w:p w14:paraId="2FD6AC95" w14:textId="77777777" w:rsidR="006003AD" w:rsidRDefault="006003AD" w:rsidP="006003AD">
                      <w:pPr>
                        <w:pStyle w:val="25"/>
                        <w:keepNext/>
                        <w:keepLines/>
                      </w:pPr>
                      <w:r>
                        <w:rPr>
                          <w:rStyle w:val="24"/>
                        </w:rPr>
                        <w:t>Appendix</w:t>
                      </w:r>
                    </w:p>
                  </w:txbxContent>
                </v:textbox>
                <w10:wrap type="topAndBottom" anchorx="page"/>
              </v:shape>
            </w:pict>
          </mc:Fallback>
        </mc:AlternateContent>
      </w:r>
    </w:p>
    <w:p w14:paraId="00673B19" w14:textId="77777777" w:rsidR="006003AD" w:rsidRDefault="006003AD" w:rsidP="006003AD">
      <w:pPr>
        <w:pStyle w:val="27"/>
        <w:keepNext/>
        <w:keepLines/>
        <w:spacing w:after="200"/>
      </w:pPr>
      <w:bookmarkStart w:id="21" w:name="bookmark43"/>
      <w:r>
        <w:rPr>
          <w:rStyle w:val="26"/>
        </w:rPr>
        <w:t>5.1. Appendix A - Relevant Policies, Standards and Guidance Notes</w:t>
      </w:r>
      <w:bookmarkEnd w:id="21"/>
    </w:p>
    <w:tbl>
      <w:tblPr>
        <w:tblOverlap w:val="never"/>
        <w:tblW w:w="0" w:type="auto"/>
        <w:jc w:val="right"/>
        <w:tblLayout w:type="fixed"/>
        <w:tblCellMar>
          <w:left w:w="10" w:type="dxa"/>
          <w:right w:w="10" w:type="dxa"/>
        </w:tblCellMar>
        <w:tblLook w:val="04A0" w:firstRow="1" w:lastRow="0" w:firstColumn="1" w:lastColumn="0" w:noHBand="0" w:noVBand="1"/>
      </w:tblPr>
      <w:tblGrid>
        <w:gridCol w:w="1545"/>
        <w:gridCol w:w="6519"/>
      </w:tblGrid>
      <w:tr w:rsidR="006003AD" w14:paraId="03E79A1B" w14:textId="77777777" w:rsidTr="00AA681A">
        <w:tblPrEx>
          <w:tblCellMar>
            <w:top w:w="0" w:type="dxa"/>
            <w:bottom w:w="0" w:type="dxa"/>
          </w:tblCellMar>
        </w:tblPrEx>
        <w:trPr>
          <w:trHeight w:hRule="exact" w:val="515"/>
          <w:jc w:val="right"/>
        </w:trPr>
        <w:tc>
          <w:tcPr>
            <w:tcW w:w="1545" w:type="dxa"/>
            <w:tcBorders>
              <w:top w:val="single" w:sz="4" w:space="0" w:color="auto"/>
              <w:left w:val="single" w:sz="4" w:space="0" w:color="auto"/>
            </w:tcBorders>
            <w:shd w:val="clear" w:color="auto" w:fill="auto"/>
            <w:vAlign w:val="center"/>
          </w:tcPr>
          <w:p w14:paraId="1352EC20" w14:textId="77777777" w:rsidR="006003AD" w:rsidRDefault="006003AD" w:rsidP="00AA681A">
            <w:pPr>
              <w:pStyle w:val="af"/>
              <w:spacing w:after="0" w:line="240" w:lineRule="auto"/>
              <w:ind w:firstLine="0"/>
            </w:pPr>
            <w:r>
              <w:rPr>
                <w:rStyle w:val="ae"/>
                <w:b/>
                <w:bCs/>
              </w:rPr>
              <w:t>Section</w:t>
            </w:r>
          </w:p>
        </w:tc>
        <w:tc>
          <w:tcPr>
            <w:tcW w:w="6519" w:type="dxa"/>
            <w:tcBorders>
              <w:top w:val="single" w:sz="4" w:space="0" w:color="auto"/>
              <w:left w:val="single" w:sz="4" w:space="0" w:color="auto"/>
              <w:right w:val="single" w:sz="4" w:space="0" w:color="auto"/>
            </w:tcBorders>
            <w:shd w:val="clear" w:color="auto" w:fill="auto"/>
            <w:vAlign w:val="center"/>
          </w:tcPr>
          <w:p w14:paraId="6F394A63" w14:textId="77777777" w:rsidR="006003AD" w:rsidRDefault="006003AD" w:rsidP="00AA681A">
            <w:pPr>
              <w:pStyle w:val="af"/>
              <w:spacing w:after="0" w:line="240" w:lineRule="auto"/>
              <w:ind w:firstLine="0"/>
              <w:jc w:val="both"/>
            </w:pPr>
            <w:r>
              <w:rPr>
                <w:rStyle w:val="ae"/>
                <w:b/>
                <w:bCs/>
              </w:rPr>
              <w:t>Relevant Policies, Standards and Guidance Notes</w:t>
            </w:r>
          </w:p>
        </w:tc>
      </w:tr>
      <w:tr w:rsidR="006003AD" w14:paraId="2F00CA40" w14:textId="77777777" w:rsidTr="00AA681A">
        <w:tblPrEx>
          <w:tblCellMar>
            <w:top w:w="0" w:type="dxa"/>
            <w:bottom w:w="0" w:type="dxa"/>
          </w:tblCellMar>
        </w:tblPrEx>
        <w:trPr>
          <w:trHeight w:hRule="exact" w:val="1246"/>
          <w:jc w:val="right"/>
        </w:trPr>
        <w:tc>
          <w:tcPr>
            <w:tcW w:w="1545" w:type="dxa"/>
            <w:tcBorders>
              <w:top w:val="single" w:sz="4" w:space="0" w:color="auto"/>
              <w:left w:val="single" w:sz="4" w:space="0" w:color="auto"/>
            </w:tcBorders>
            <w:shd w:val="clear" w:color="auto" w:fill="auto"/>
          </w:tcPr>
          <w:p w14:paraId="670FB747" w14:textId="77777777" w:rsidR="006003AD" w:rsidRDefault="006003AD" w:rsidP="00AA681A">
            <w:pPr>
              <w:pStyle w:val="af"/>
              <w:spacing w:before="80" w:after="0" w:line="240" w:lineRule="auto"/>
              <w:ind w:firstLine="0"/>
            </w:pPr>
            <w:r>
              <w:rPr>
                <w:rStyle w:val="ae"/>
              </w:rPr>
              <w:t>2.4, 3.13 and 4</w:t>
            </w:r>
          </w:p>
        </w:tc>
        <w:tc>
          <w:tcPr>
            <w:tcW w:w="6519" w:type="dxa"/>
            <w:tcBorders>
              <w:top w:val="single" w:sz="4" w:space="0" w:color="auto"/>
              <w:left w:val="single" w:sz="4" w:space="0" w:color="auto"/>
              <w:right w:val="single" w:sz="4" w:space="0" w:color="auto"/>
            </w:tcBorders>
            <w:shd w:val="clear" w:color="auto" w:fill="auto"/>
            <w:vAlign w:val="center"/>
          </w:tcPr>
          <w:p w14:paraId="60F704D8" w14:textId="77777777" w:rsidR="006003AD" w:rsidRDefault="006003AD" w:rsidP="00AA681A">
            <w:pPr>
              <w:pStyle w:val="af"/>
              <w:spacing w:after="60" w:line="384" w:lineRule="auto"/>
              <w:ind w:firstLine="0"/>
              <w:jc w:val="both"/>
            </w:pPr>
            <w:r>
              <w:rPr>
                <w:rStyle w:val="ae"/>
                <w:b/>
                <w:bCs/>
              </w:rPr>
              <w:t>Standard</w:t>
            </w:r>
          </w:p>
          <w:p w14:paraId="7F81BB71" w14:textId="77777777" w:rsidR="006003AD" w:rsidRDefault="006003AD" w:rsidP="00AA681A">
            <w:pPr>
              <w:pStyle w:val="af"/>
              <w:spacing w:after="0" w:line="384" w:lineRule="auto"/>
              <w:ind w:left="420" w:hanging="420"/>
              <w:jc w:val="both"/>
            </w:pPr>
            <w:r>
              <w:rPr>
                <w:rStyle w:val="ae"/>
              </w:rPr>
              <w:t>• AIA Group CPG Standard (issued by Group Risk &amp; Compliance governing policy lifecycle management)</w:t>
            </w:r>
          </w:p>
        </w:tc>
      </w:tr>
      <w:tr w:rsidR="006003AD" w14:paraId="3E347263" w14:textId="77777777" w:rsidTr="00AA681A">
        <w:tblPrEx>
          <w:tblCellMar>
            <w:top w:w="0" w:type="dxa"/>
            <w:bottom w:w="0" w:type="dxa"/>
          </w:tblCellMar>
        </w:tblPrEx>
        <w:trPr>
          <w:trHeight w:hRule="exact" w:val="5062"/>
          <w:jc w:val="right"/>
        </w:trPr>
        <w:tc>
          <w:tcPr>
            <w:tcW w:w="1545" w:type="dxa"/>
            <w:tcBorders>
              <w:top w:val="single" w:sz="4" w:space="0" w:color="auto"/>
              <w:left w:val="single" w:sz="4" w:space="0" w:color="auto"/>
            </w:tcBorders>
            <w:shd w:val="clear" w:color="auto" w:fill="auto"/>
          </w:tcPr>
          <w:p w14:paraId="4C5BB7D1" w14:textId="77777777" w:rsidR="006003AD" w:rsidRDefault="006003AD" w:rsidP="00AA681A">
            <w:pPr>
              <w:pStyle w:val="af"/>
              <w:spacing w:before="80" w:after="0" w:line="240" w:lineRule="auto"/>
              <w:ind w:firstLine="0"/>
            </w:pPr>
            <w:r>
              <w:rPr>
                <w:rStyle w:val="ae"/>
              </w:rPr>
              <w:t>3.2</w:t>
            </w:r>
          </w:p>
        </w:tc>
        <w:tc>
          <w:tcPr>
            <w:tcW w:w="6519" w:type="dxa"/>
            <w:tcBorders>
              <w:top w:val="single" w:sz="4" w:space="0" w:color="auto"/>
              <w:left w:val="single" w:sz="4" w:space="0" w:color="auto"/>
              <w:right w:val="single" w:sz="4" w:space="0" w:color="auto"/>
            </w:tcBorders>
            <w:shd w:val="clear" w:color="auto" w:fill="auto"/>
            <w:vAlign w:val="center"/>
          </w:tcPr>
          <w:p w14:paraId="75A79A19" w14:textId="77777777" w:rsidR="006003AD" w:rsidRDefault="006003AD" w:rsidP="00AA681A">
            <w:pPr>
              <w:pStyle w:val="af"/>
              <w:spacing w:after="60" w:line="384" w:lineRule="auto"/>
              <w:ind w:firstLine="0"/>
              <w:jc w:val="both"/>
            </w:pPr>
            <w:r>
              <w:rPr>
                <w:rStyle w:val="ae"/>
                <w:b/>
                <w:bCs/>
              </w:rPr>
              <w:t>Standard</w:t>
            </w:r>
          </w:p>
          <w:p w14:paraId="39CFB4BB" w14:textId="77777777" w:rsidR="006003AD" w:rsidRDefault="006003AD" w:rsidP="00AA681A">
            <w:pPr>
              <w:pStyle w:val="af"/>
              <w:numPr>
                <w:ilvl w:val="0"/>
                <w:numId w:val="16"/>
              </w:numPr>
              <w:tabs>
                <w:tab w:val="left" w:pos="349"/>
              </w:tabs>
              <w:spacing w:after="60" w:line="389" w:lineRule="auto"/>
              <w:ind w:left="420" w:hanging="420"/>
              <w:jc w:val="both"/>
            </w:pPr>
            <w:r>
              <w:rPr>
                <w:rStyle w:val="ae"/>
              </w:rPr>
              <w:t>AIA Group Actuarial Model Risk Standard (providing further guidance on underlying models)</w:t>
            </w:r>
          </w:p>
          <w:p w14:paraId="70554951" w14:textId="77777777" w:rsidR="006003AD" w:rsidRDefault="006003AD" w:rsidP="00AA681A">
            <w:pPr>
              <w:pStyle w:val="af"/>
              <w:numPr>
                <w:ilvl w:val="0"/>
                <w:numId w:val="16"/>
              </w:numPr>
              <w:tabs>
                <w:tab w:val="left" w:pos="349"/>
              </w:tabs>
              <w:spacing w:after="60" w:line="384" w:lineRule="auto"/>
              <w:ind w:left="420" w:hanging="420"/>
              <w:jc w:val="both"/>
            </w:pPr>
            <w:r>
              <w:rPr>
                <w:rStyle w:val="ae"/>
              </w:rPr>
              <w:t>AIA Group Experience Analysis and Assumption Setting Standard (providing further guidance on assumptions)</w:t>
            </w:r>
          </w:p>
          <w:p w14:paraId="12EA8B09" w14:textId="77777777" w:rsidR="006003AD" w:rsidRDefault="006003AD" w:rsidP="00AA681A">
            <w:pPr>
              <w:pStyle w:val="af"/>
              <w:spacing w:after="60" w:line="384" w:lineRule="auto"/>
              <w:ind w:firstLine="0"/>
            </w:pPr>
            <w:r>
              <w:rPr>
                <w:rStyle w:val="ae"/>
                <w:b/>
                <w:bCs/>
              </w:rPr>
              <w:t>Guidance Note</w:t>
            </w:r>
          </w:p>
          <w:p w14:paraId="4AE48D3E" w14:textId="77777777" w:rsidR="006003AD" w:rsidRDefault="006003AD" w:rsidP="00AA681A">
            <w:pPr>
              <w:pStyle w:val="af"/>
              <w:numPr>
                <w:ilvl w:val="0"/>
                <w:numId w:val="16"/>
              </w:numPr>
              <w:tabs>
                <w:tab w:val="left" w:pos="349"/>
              </w:tabs>
              <w:spacing w:after="60" w:line="389" w:lineRule="auto"/>
              <w:ind w:left="420" w:hanging="420"/>
              <w:jc w:val="both"/>
            </w:pPr>
            <w:r>
              <w:rPr>
                <w:rStyle w:val="ae"/>
              </w:rPr>
              <w:t>Best Estimate Assumption Setting Guideline (providing further guidance on assumptions)</w:t>
            </w:r>
          </w:p>
          <w:p w14:paraId="3D0B6D79" w14:textId="77777777" w:rsidR="006003AD" w:rsidRDefault="006003AD" w:rsidP="00AA681A">
            <w:pPr>
              <w:pStyle w:val="af"/>
              <w:numPr>
                <w:ilvl w:val="0"/>
                <w:numId w:val="16"/>
              </w:numPr>
              <w:tabs>
                <w:tab w:val="left" w:pos="349"/>
              </w:tabs>
              <w:spacing w:after="60" w:line="377" w:lineRule="auto"/>
              <w:ind w:left="420" w:hanging="420"/>
              <w:jc w:val="both"/>
            </w:pPr>
            <w:r>
              <w:rPr>
                <w:rStyle w:val="ae"/>
              </w:rPr>
              <w:t>Business Process Manual for Prophet Model Change Management (providing further guidance on underlying models)</w:t>
            </w:r>
          </w:p>
          <w:p w14:paraId="7A738EA6" w14:textId="77777777" w:rsidR="006003AD" w:rsidRDefault="006003AD" w:rsidP="00AA681A">
            <w:pPr>
              <w:pStyle w:val="af"/>
              <w:numPr>
                <w:ilvl w:val="0"/>
                <w:numId w:val="16"/>
              </w:numPr>
              <w:tabs>
                <w:tab w:val="left" w:pos="349"/>
              </w:tabs>
              <w:spacing w:after="60" w:line="382" w:lineRule="auto"/>
              <w:ind w:left="420" w:hanging="420"/>
              <w:jc w:val="both"/>
            </w:pPr>
            <w:r>
              <w:rPr>
                <w:rStyle w:val="ae"/>
              </w:rPr>
              <w:t>Risk and Control Library on Actuarial Valuation (providing further guidance on data, methodologies, underlying models and assumptions)</w:t>
            </w:r>
          </w:p>
        </w:tc>
      </w:tr>
      <w:tr w:rsidR="006003AD" w14:paraId="611FF450" w14:textId="77777777" w:rsidTr="00AA681A">
        <w:tblPrEx>
          <w:tblCellMar>
            <w:top w:w="0" w:type="dxa"/>
            <w:bottom w:w="0" w:type="dxa"/>
          </w:tblCellMar>
        </w:tblPrEx>
        <w:trPr>
          <w:trHeight w:hRule="exact" w:val="3329"/>
          <w:jc w:val="right"/>
        </w:trPr>
        <w:tc>
          <w:tcPr>
            <w:tcW w:w="1545" w:type="dxa"/>
            <w:tcBorders>
              <w:top w:val="single" w:sz="4" w:space="0" w:color="auto"/>
              <w:left w:val="single" w:sz="4" w:space="0" w:color="auto"/>
            </w:tcBorders>
            <w:shd w:val="clear" w:color="auto" w:fill="auto"/>
          </w:tcPr>
          <w:p w14:paraId="7D151202" w14:textId="77777777" w:rsidR="006003AD" w:rsidRDefault="006003AD" w:rsidP="00AA681A">
            <w:pPr>
              <w:pStyle w:val="af"/>
              <w:spacing w:after="0" w:line="240" w:lineRule="auto"/>
              <w:ind w:firstLine="0"/>
            </w:pPr>
            <w:r>
              <w:rPr>
                <w:rStyle w:val="ae"/>
              </w:rPr>
              <w:t>3.3</w:t>
            </w:r>
          </w:p>
        </w:tc>
        <w:tc>
          <w:tcPr>
            <w:tcW w:w="6519" w:type="dxa"/>
            <w:tcBorders>
              <w:top w:val="single" w:sz="4" w:space="0" w:color="auto"/>
              <w:left w:val="single" w:sz="4" w:space="0" w:color="auto"/>
              <w:right w:val="single" w:sz="4" w:space="0" w:color="auto"/>
            </w:tcBorders>
            <w:shd w:val="clear" w:color="auto" w:fill="auto"/>
          </w:tcPr>
          <w:p w14:paraId="2C60D2F6" w14:textId="77777777" w:rsidR="006003AD" w:rsidRDefault="006003AD" w:rsidP="00AA681A">
            <w:pPr>
              <w:pStyle w:val="af"/>
              <w:spacing w:after="60" w:line="377" w:lineRule="auto"/>
              <w:ind w:firstLine="0"/>
              <w:jc w:val="both"/>
            </w:pPr>
            <w:r>
              <w:rPr>
                <w:rStyle w:val="ae"/>
                <w:b/>
                <w:bCs/>
              </w:rPr>
              <w:t>Standard</w:t>
            </w:r>
          </w:p>
          <w:p w14:paraId="1989E124" w14:textId="77777777" w:rsidR="006003AD" w:rsidRDefault="006003AD" w:rsidP="00AA681A">
            <w:pPr>
              <w:pStyle w:val="af"/>
              <w:numPr>
                <w:ilvl w:val="0"/>
                <w:numId w:val="17"/>
              </w:numPr>
              <w:tabs>
                <w:tab w:val="left" w:pos="338"/>
              </w:tabs>
              <w:spacing w:after="60" w:line="377" w:lineRule="auto"/>
              <w:ind w:firstLine="0"/>
              <w:jc w:val="both"/>
            </w:pPr>
            <w:r>
              <w:rPr>
                <w:rStyle w:val="ae"/>
              </w:rPr>
              <w:t>AIA Group Bermuda Technical Provisions Standard</w:t>
            </w:r>
          </w:p>
          <w:p w14:paraId="598ED747" w14:textId="77777777" w:rsidR="006003AD" w:rsidRDefault="006003AD" w:rsidP="00AA681A">
            <w:pPr>
              <w:pStyle w:val="af"/>
              <w:numPr>
                <w:ilvl w:val="0"/>
                <w:numId w:val="17"/>
              </w:numPr>
              <w:tabs>
                <w:tab w:val="left" w:pos="338"/>
              </w:tabs>
              <w:spacing w:after="60" w:line="377" w:lineRule="auto"/>
              <w:ind w:left="420" w:hanging="420"/>
              <w:jc w:val="both"/>
            </w:pPr>
            <w:r>
              <w:rPr>
                <w:rStyle w:val="ae"/>
              </w:rPr>
              <w:t>AIA Group Hong Kong Statutory Reserving and Solvency Margin Standard</w:t>
            </w:r>
          </w:p>
          <w:p w14:paraId="57E59748" w14:textId="77777777" w:rsidR="006003AD" w:rsidRDefault="006003AD" w:rsidP="00AA681A">
            <w:pPr>
              <w:pStyle w:val="af"/>
              <w:spacing w:after="60" w:line="377" w:lineRule="auto"/>
              <w:ind w:firstLine="0"/>
            </w:pPr>
            <w:r>
              <w:rPr>
                <w:rStyle w:val="ae"/>
                <w:b/>
                <w:bCs/>
              </w:rPr>
              <w:t>Guidance Note</w:t>
            </w:r>
          </w:p>
          <w:p w14:paraId="1DE992DB" w14:textId="77777777" w:rsidR="006003AD" w:rsidRDefault="006003AD" w:rsidP="00AA681A">
            <w:pPr>
              <w:pStyle w:val="af"/>
              <w:numPr>
                <w:ilvl w:val="0"/>
                <w:numId w:val="17"/>
              </w:numPr>
              <w:tabs>
                <w:tab w:val="left" w:pos="338"/>
              </w:tabs>
              <w:spacing w:after="60" w:line="377" w:lineRule="auto"/>
              <w:ind w:firstLine="0"/>
              <w:jc w:val="both"/>
            </w:pPr>
            <w:r>
              <w:rPr>
                <w:rStyle w:val="ae"/>
              </w:rPr>
              <w:t>HKIO Reserve / Solvency Margin Submission Procedure Manual</w:t>
            </w:r>
          </w:p>
          <w:p w14:paraId="24B38C0A" w14:textId="77777777" w:rsidR="006003AD" w:rsidRDefault="006003AD" w:rsidP="00AA681A">
            <w:pPr>
              <w:pStyle w:val="af"/>
              <w:numPr>
                <w:ilvl w:val="0"/>
                <w:numId w:val="17"/>
              </w:numPr>
              <w:tabs>
                <w:tab w:val="left" w:pos="338"/>
              </w:tabs>
              <w:spacing w:after="60" w:line="377" w:lineRule="auto"/>
              <w:ind w:firstLine="0"/>
              <w:jc w:val="both"/>
            </w:pPr>
            <w:r>
              <w:rPr>
                <w:rStyle w:val="ae"/>
              </w:rPr>
              <w:t>Product Classification Guidelines - Hong Kong Return Basis</w:t>
            </w:r>
          </w:p>
          <w:p w14:paraId="1710231E" w14:textId="77777777" w:rsidR="006003AD" w:rsidRDefault="006003AD" w:rsidP="00AA681A">
            <w:pPr>
              <w:pStyle w:val="af"/>
              <w:numPr>
                <w:ilvl w:val="0"/>
                <w:numId w:val="17"/>
              </w:numPr>
              <w:tabs>
                <w:tab w:val="left" w:pos="338"/>
              </w:tabs>
              <w:spacing w:after="60" w:line="377" w:lineRule="auto"/>
              <w:ind w:firstLine="0"/>
              <w:jc w:val="both"/>
            </w:pPr>
            <w:r>
              <w:rPr>
                <w:rStyle w:val="ae"/>
              </w:rPr>
              <w:t>Risk and Control Library on Actuarial Valuation</w:t>
            </w:r>
          </w:p>
        </w:tc>
      </w:tr>
      <w:tr w:rsidR="006003AD" w14:paraId="660249F2" w14:textId="77777777" w:rsidTr="00AA681A">
        <w:tblPrEx>
          <w:tblCellMar>
            <w:top w:w="0" w:type="dxa"/>
            <w:bottom w:w="0" w:type="dxa"/>
          </w:tblCellMar>
        </w:tblPrEx>
        <w:trPr>
          <w:trHeight w:hRule="exact" w:val="886"/>
          <w:jc w:val="right"/>
        </w:trPr>
        <w:tc>
          <w:tcPr>
            <w:tcW w:w="1545" w:type="dxa"/>
            <w:tcBorders>
              <w:top w:val="single" w:sz="4" w:space="0" w:color="auto"/>
              <w:left w:val="single" w:sz="4" w:space="0" w:color="auto"/>
            </w:tcBorders>
            <w:shd w:val="clear" w:color="auto" w:fill="auto"/>
          </w:tcPr>
          <w:p w14:paraId="21EC86AB" w14:textId="77777777" w:rsidR="006003AD" w:rsidRDefault="006003AD" w:rsidP="00AA681A">
            <w:pPr>
              <w:pStyle w:val="af"/>
              <w:spacing w:after="0" w:line="240" w:lineRule="auto"/>
              <w:ind w:firstLine="0"/>
            </w:pPr>
            <w:r>
              <w:rPr>
                <w:rStyle w:val="ae"/>
              </w:rPr>
              <w:t>3.4</w:t>
            </w:r>
          </w:p>
        </w:tc>
        <w:tc>
          <w:tcPr>
            <w:tcW w:w="6519" w:type="dxa"/>
            <w:tcBorders>
              <w:top w:val="single" w:sz="4" w:space="0" w:color="auto"/>
              <w:left w:val="single" w:sz="4" w:space="0" w:color="auto"/>
              <w:right w:val="single" w:sz="4" w:space="0" w:color="auto"/>
            </w:tcBorders>
            <w:shd w:val="clear" w:color="auto" w:fill="auto"/>
          </w:tcPr>
          <w:p w14:paraId="09F70D4A" w14:textId="77777777" w:rsidR="006003AD" w:rsidRDefault="006003AD" w:rsidP="00AA681A">
            <w:pPr>
              <w:pStyle w:val="af"/>
              <w:spacing w:after="180" w:line="240" w:lineRule="auto"/>
              <w:ind w:firstLine="0"/>
              <w:jc w:val="both"/>
            </w:pPr>
            <w:r>
              <w:rPr>
                <w:rStyle w:val="ae"/>
                <w:b/>
                <w:bCs/>
              </w:rPr>
              <w:t>Standard</w:t>
            </w:r>
          </w:p>
          <w:p w14:paraId="65C58814" w14:textId="77777777" w:rsidR="006003AD" w:rsidRDefault="006003AD" w:rsidP="00AA681A">
            <w:pPr>
              <w:pStyle w:val="af"/>
              <w:spacing w:after="0" w:line="240" w:lineRule="auto"/>
              <w:ind w:firstLine="0"/>
              <w:jc w:val="both"/>
            </w:pPr>
            <w:r>
              <w:rPr>
                <w:rStyle w:val="ae"/>
              </w:rPr>
              <w:t>• AIA Group ORSA Standard*</w:t>
            </w:r>
          </w:p>
        </w:tc>
      </w:tr>
      <w:tr w:rsidR="006003AD" w14:paraId="21DD2BB3" w14:textId="77777777" w:rsidTr="00AA681A">
        <w:tblPrEx>
          <w:tblCellMar>
            <w:top w:w="0" w:type="dxa"/>
            <w:bottom w:w="0" w:type="dxa"/>
          </w:tblCellMar>
        </w:tblPrEx>
        <w:trPr>
          <w:trHeight w:hRule="exact" w:val="1739"/>
          <w:jc w:val="right"/>
        </w:trPr>
        <w:tc>
          <w:tcPr>
            <w:tcW w:w="1545" w:type="dxa"/>
            <w:tcBorders>
              <w:top w:val="single" w:sz="4" w:space="0" w:color="auto"/>
              <w:left w:val="single" w:sz="4" w:space="0" w:color="auto"/>
              <w:bottom w:val="single" w:sz="4" w:space="0" w:color="auto"/>
            </w:tcBorders>
            <w:shd w:val="clear" w:color="auto" w:fill="auto"/>
          </w:tcPr>
          <w:p w14:paraId="00DBAB39" w14:textId="77777777" w:rsidR="006003AD" w:rsidRDefault="006003AD" w:rsidP="00AA681A">
            <w:pPr>
              <w:pStyle w:val="af"/>
              <w:spacing w:after="0" w:line="240" w:lineRule="auto"/>
              <w:ind w:firstLine="0"/>
            </w:pPr>
            <w:r>
              <w:rPr>
                <w:rStyle w:val="ae"/>
              </w:rPr>
              <w:t>3.5</w:t>
            </w:r>
          </w:p>
        </w:tc>
        <w:tc>
          <w:tcPr>
            <w:tcW w:w="6519" w:type="dxa"/>
            <w:tcBorders>
              <w:top w:val="single" w:sz="4" w:space="0" w:color="auto"/>
              <w:left w:val="single" w:sz="4" w:space="0" w:color="auto"/>
              <w:bottom w:val="single" w:sz="4" w:space="0" w:color="auto"/>
              <w:right w:val="single" w:sz="4" w:space="0" w:color="auto"/>
            </w:tcBorders>
            <w:shd w:val="clear" w:color="auto" w:fill="auto"/>
          </w:tcPr>
          <w:p w14:paraId="0644692D" w14:textId="77777777" w:rsidR="006003AD" w:rsidRDefault="006003AD" w:rsidP="00AA681A">
            <w:pPr>
              <w:pStyle w:val="af"/>
              <w:spacing w:after="180" w:line="240" w:lineRule="auto"/>
              <w:ind w:firstLine="0"/>
              <w:jc w:val="both"/>
            </w:pPr>
            <w:r>
              <w:rPr>
                <w:rStyle w:val="ae"/>
                <w:b/>
                <w:bCs/>
              </w:rPr>
              <w:t>Standard</w:t>
            </w:r>
          </w:p>
          <w:p w14:paraId="0983910F" w14:textId="77777777" w:rsidR="006003AD" w:rsidRDefault="006003AD" w:rsidP="00AA681A">
            <w:pPr>
              <w:pStyle w:val="af"/>
              <w:numPr>
                <w:ilvl w:val="0"/>
                <w:numId w:val="18"/>
              </w:numPr>
              <w:tabs>
                <w:tab w:val="left" w:pos="343"/>
              </w:tabs>
              <w:spacing w:after="180" w:line="240" w:lineRule="auto"/>
              <w:ind w:firstLine="0"/>
              <w:jc w:val="both"/>
            </w:pPr>
            <w:r>
              <w:rPr>
                <w:rStyle w:val="ae"/>
              </w:rPr>
              <w:t>AIA Group Pricing Standard</w:t>
            </w:r>
          </w:p>
          <w:p w14:paraId="1760A3C8" w14:textId="77777777" w:rsidR="006003AD" w:rsidRDefault="006003AD" w:rsidP="00AA681A">
            <w:pPr>
              <w:pStyle w:val="af"/>
              <w:spacing w:after="180" w:line="240" w:lineRule="auto"/>
              <w:ind w:firstLine="0"/>
            </w:pPr>
            <w:r>
              <w:rPr>
                <w:rStyle w:val="ae"/>
                <w:b/>
                <w:bCs/>
              </w:rPr>
              <w:t>Guidance Note</w:t>
            </w:r>
          </w:p>
          <w:p w14:paraId="7177F41F" w14:textId="77777777" w:rsidR="006003AD" w:rsidRDefault="006003AD" w:rsidP="00AA681A">
            <w:pPr>
              <w:pStyle w:val="af"/>
              <w:numPr>
                <w:ilvl w:val="0"/>
                <w:numId w:val="18"/>
              </w:numPr>
              <w:tabs>
                <w:tab w:val="left" w:pos="343"/>
              </w:tabs>
              <w:spacing w:after="180" w:line="240" w:lineRule="auto"/>
              <w:ind w:firstLine="0"/>
              <w:jc w:val="both"/>
            </w:pPr>
            <w:r>
              <w:rPr>
                <w:rStyle w:val="ae"/>
              </w:rPr>
              <w:t>Product Development Handbook</w:t>
            </w:r>
          </w:p>
        </w:tc>
      </w:tr>
    </w:tbl>
    <w:p w14:paraId="3CE2475F" w14:textId="77777777" w:rsidR="006003AD" w:rsidRDefault="006003AD" w:rsidP="006003AD">
      <w:pPr>
        <w:sectPr w:rsidR="006003AD" w:rsidSect="006003AD">
          <w:pgSz w:w="11900" w:h="16840"/>
          <w:pgMar w:top="1527" w:right="1498" w:bottom="1334" w:left="1490" w:header="0" w:footer="3" w:gutter="0"/>
          <w:cols w:space="720"/>
          <w:noEndnote/>
          <w:docGrid w:linePitch="360"/>
        </w:sectPr>
      </w:pPr>
    </w:p>
    <w:tbl>
      <w:tblPr>
        <w:tblOverlap w:val="never"/>
        <w:tblW w:w="0" w:type="auto"/>
        <w:jc w:val="right"/>
        <w:tblLayout w:type="fixed"/>
        <w:tblCellMar>
          <w:left w:w="10" w:type="dxa"/>
          <w:right w:w="10" w:type="dxa"/>
        </w:tblCellMar>
        <w:tblLook w:val="04A0" w:firstRow="1" w:lastRow="0" w:firstColumn="1" w:lastColumn="0" w:noHBand="0" w:noVBand="1"/>
      </w:tblPr>
      <w:tblGrid>
        <w:gridCol w:w="1568"/>
        <w:gridCol w:w="6566"/>
      </w:tblGrid>
      <w:tr w:rsidR="006003AD" w14:paraId="7BF55AC4" w14:textId="77777777" w:rsidTr="00AA681A">
        <w:tblPrEx>
          <w:tblCellMar>
            <w:top w:w="0" w:type="dxa"/>
            <w:bottom w:w="0" w:type="dxa"/>
          </w:tblCellMar>
        </w:tblPrEx>
        <w:trPr>
          <w:trHeight w:hRule="exact" w:val="512"/>
          <w:jc w:val="right"/>
        </w:trPr>
        <w:tc>
          <w:tcPr>
            <w:tcW w:w="1568" w:type="dxa"/>
            <w:tcBorders>
              <w:top w:val="single" w:sz="4" w:space="0" w:color="auto"/>
              <w:left w:val="single" w:sz="4" w:space="0" w:color="auto"/>
            </w:tcBorders>
            <w:shd w:val="clear" w:color="auto" w:fill="auto"/>
            <w:vAlign w:val="center"/>
          </w:tcPr>
          <w:p w14:paraId="4FD8DD14" w14:textId="77777777" w:rsidR="006003AD" w:rsidRDefault="006003AD" w:rsidP="00AA681A">
            <w:pPr>
              <w:pStyle w:val="af"/>
              <w:spacing w:after="0" w:line="240" w:lineRule="auto"/>
              <w:ind w:firstLine="0"/>
            </w:pPr>
            <w:r>
              <w:rPr>
                <w:rStyle w:val="ae"/>
                <w:b/>
                <w:bCs/>
              </w:rPr>
              <w:lastRenderedPageBreak/>
              <w:t>Section</w:t>
            </w:r>
          </w:p>
        </w:tc>
        <w:tc>
          <w:tcPr>
            <w:tcW w:w="6566" w:type="dxa"/>
            <w:tcBorders>
              <w:top w:val="single" w:sz="4" w:space="0" w:color="auto"/>
              <w:left w:val="single" w:sz="4" w:space="0" w:color="auto"/>
              <w:right w:val="single" w:sz="4" w:space="0" w:color="auto"/>
            </w:tcBorders>
            <w:shd w:val="clear" w:color="auto" w:fill="auto"/>
            <w:vAlign w:val="center"/>
          </w:tcPr>
          <w:p w14:paraId="4DA632BD" w14:textId="77777777" w:rsidR="006003AD" w:rsidRDefault="006003AD" w:rsidP="00AA681A">
            <w:pPr>
              <w:pStyle w:val="af"/>
              <w:spacing w:after="0" w:line="240" w:lineRule="auto"/>
              <w:ind w:firstLine="0"/>
              <w:jc w:val="both"/>
            </w:pPr>
            <w:r>
              <w:rPr>
                <w:rStyle w:val="ae"/>
                <w:b/>
                <w:bCs/>
              </w:rPr>
              <w:t>Relevant Policies, Standards and Guidance Notes</w:t>
            </w:r>
          </w:p>
        </w:tc>
      </w:tr>
      <w:tr w:rsidR="006003AD" w14:paraId="67EBFEC8" w14:textId="77777777" w:rsidTr="00AA681A">
        <w:tblPrEx>
          <w:tblCellMar>
            <w:top w:w="0" w:type="dxa"/>
            <w:bottom w:w="0" w:type="dxa"/>
          </w:tblCellMar>
        </w:tblPrEx>
        <w:trPr>
          <w:trHeight w:hRule="exact" w:val="2057"/>
          <w:jc w:val="right"/>
        </w:trPr>
        <w:tc>
          <w:tcPr>
            <w:tcW w:w="1568" w:type="dxa"/>
            <w:tcBorders>
              <w:top w:val="single" w:sz="4" w:space="0" w:color="auto"/>
              <w:left w:val="single" w:sz="4" w:space="0" w:color="auto"/>
            </w:tcBorders>
            <w:shd w:val="clear" w:color="auto" w:fill="auto"/>
          </w:tcPr>
          <w:p w14:paraId="0EA816CE" w14:textId="77777777" w:rsidR="006003AD" w:rsidRDefault="006003AD" w:rsidP="00AA681A">
            <w:pPr>
              <w:pStyle w:val="af"/>
              <w:spacing w:after="0" w:line="240" w:lineRule="auto"/>
              <w:ind w:firstLine="0"/>
            </w:pPr>
            <w:r>
              <w:rPr>
                <w:rStyle w:val="ae"/>
              </w:rPr>
              <w:t>3.6</w:t>
            </w:r>
          </w:p>
        </w:tc>
        <w:tc>
          <w:tcPr>
            <w:tcW w:w="6566" w:type="dxa"/>
            <w:tcBorders>
              <w:top w:val="single" w:sz="4" w:space="0" w:color="auto"/>
              <w:left w:val="single" w:sz="4" w:space="0" w:color="auto"/>
              <w:right w:val="single" w:sz="4" w:space="0" w:color="auto"/>
            </w:tcBorders>
            <w:shd w:val="clear" w:color="auto" w:fill="auto"/>
          </w:tcPr>
          <w:p w14:paraId="617F8B37" w14:textId="77777777" w:rsidR="006003AD" w:rsidRDefault="006003AD" w:rsidP="00AA681A">
            <w:pPr>
              <w:pStyle w:val="af"/>
              <w:spacing w:after="180" w:line="240" w:lineRule="auto"/>
              <w:ind w:firstLine="0"/>
            </w:pPr>
            <w:r>
              <w:rPr>
                <w:rStyle w:val="ae"/>
                <w:b/>
                <w:bCs/>
              </w:rPr>
              <w:t>Policy</w:t>
            </w:r>
          </w:p>
          <w:p w14:paraId="750CA787" w14:textId="77777777" w:rsidR="006003AD" w:rsidRDefault="006003AD" w:rsidP="00AA681A">
            <w:pPr>
              <w:pStyle w:val="af"/>
              <w:numPr>
                <w:ilvl w:val="0"/>
                <w:numId w:val="19"/>
              </w:numPr>
              <w:tabs>
                <w:tab w:val="left" w:pos="350"/>
              </w:tabs>
              <w:spacing w:after="180" w:line="240" w:lineRule="auto"/>
              <w:ind w:firstLine="0"/>
              <w:jc w:val="both"/>
            </w:pPr>
            <w:r>
              <w:rPr>
                <w:rStyle w:val="ae"/>
              </w:rPr>
              <w:t>AIA Group Policyholder Dividend Declaration Policy</w:t>
            </w:r>
          </w:p>
          <w:p w14:paraId="0183CB20" w14:textId="77777777" w:rsidR="006003AD" w:rsidRDefault="006003AD" w:rsidP="00AA681A">
            <w:pPr>
              <w:pStyle w:val="af"/>
              <w:spacing w:after="180" w:line="240" w:lineRule="auto"/>
              <w:ind w:firstLine="0"/>
              <w:jc w:val="both"/>
            </w:pPr>
            <w:r>
              <w:rPr>
                <w:rStyle w:val="ae"/>
                <w:b/>
                <w:bCs/>
              </w:rPr>
              <w:t>Standard</w:t>
            </w:r>
          </w:p>
          <w:p w14:paraId="38143F73" w14:textId="77777777" w:rsidR="006003AD" w:rsidRDefault="006003AD" w:rsidP="00AA681A">
            <w:pPr>
              <w:pStyle w:val="af"/>
              <w:numPr>
                <w:ilvl w:val="0"/>
                <w:numId w:val="19"/>
              </w:numPr>
              <w:tabs>
                <w:tab w:val="left" w:pos="350"/>
              </w:tabs>
              <w:spacing w:after="100" w:line="240" w:lineRule="auto"/>
              <w:ind w:firstLine="0"/>
              <w:jc w:val="both"/>
            </w:pPr>
            <w:r>
              <w:rPr>
                <w:rStyle w:val="ae"/>
              </w:rPr>
              <w:t>AIA Group Universal Life and Non-Participating Crediting Interest</w:t>
            </w:r>
          </w:p>
          <w:p w14:paraId="7BD2FACA" w14:textId="77777777" w:rsidR="006003AD" w:rsidRDefault="006003AD" w:rsidP="00AA681A">
            <w:pPr>
              <w:pStyle w:val="af"/>
              <w:spacing w:after="180" w:line="240" w:lineRule="auto"/>
              <w:ind w:firstLine="440"/>
              <w:jc w:val="both"/>
            </w:pPr>
            <w:r>
              <w:rPr>
                <w:rStyle w:val="ae"/>
              </w:rPr>
              <w:t>Rate Standard</w:t>
            </w:r>
          </w:p>
        </w:tc>
      </w:tr>
      <w:tr w:rsidR="006003AD" w14:paraId="33B45B7D" w14:textId="77777777" w:rsidTr="00AA681A">
        <w:tblPrEx>
          <w:tblCellMar>
            <w:top w:w="0" w:type="dxa"/>
            <w:bottom w:w="0" w:type="dxa"/>
          </w:tblCellMar>
        </w:tblPrEx>
        <w:trPr>
          <w:trHeight w:hRule="exact" w:val="2969"/>
          <w:jc w:val="right"/>
        </w:trPr>
        <w:tc>
          <w:tcPr>
            <w:tcW w:w="1568" w:type="dxa"/>
            <w:tcBorders>
              <w:top w:val="single" w:sz="4" w:space="0" w:color="auto"/>
              <w:left w:val="single" w:sz="4" w:space="0" w:color="auto"/>
            </w:tcBorders>
            <w:shd w:val="clear" w:color="auto" w:fill="auto"/>
          </w:tcPr>
          <w:p w14:paraId="639A31F8" w14:textId="77777777" w:rsidR="006003AD" w:rsidRDefault="006003AD" w:rsidP="00AA681A">
            <w:pPr>
              <w:pStyle w:val="af"/>
              <w:spacing w:after="0" w:line="240" w:lineRule="auto"/>
              <w:ind w:firstLine="0"/>
            </w:pPr>
            <w:r>
              <w:rPr>
                <w:rStyle w:val="ae"/>
              </w:rPr>
              <w:t>3.7</w:t>
            </w:r>
          </w:p>
        </w:tc>
        <w:tc>
          <w:tcPr>
            <w:tcW w:w="6566" w:type="dxa"/>
            <w:tcBorders>
              <w:top w:val="single" w:sz="4" w:space="0" w:color="auto"/>
              <w:left w:val="single" w:sz="4" w:space="0" w:color="auto"/>
              <w:right w:val="single" w:sz="4" w:space="0" w:color="auto"/>
            </w:tcBorders>
            <w:shd w:val="clear" w:color="auto" w:fill="auto"/>
          </w:tcPr>
          <w:p w14:paraId="2D7BE5D7" w14:textId="77777777" w:rsidR="006003AD" w:rsidRDefault="006003AD" w:rsidP="00AA681A">
            <w:pPr>
              <w:pStyle w:val="af"/>
              <w:spacing w:after="180" w:line="240" w:lineRule="auto"/>
              <w:ind w:firstLine="0"/>
            </w:pPr>
            <w:r>
              <w:rPr>
                <w:rStyle w:val="ae"/>
                <w:b/>
                <w:bCs/>
              </w:rPr>
              <w:t>Policy</w:t>
            </w:r>
          </w:p>
          <w:p w14:paraId="052D2E6B" w14:textId="77777777" w:rsidR="006003AD" w:rsidRDefault="006003AD" w:rsidP="00AA681A">
            <w:pPr>
              <w:pStyle w:val="af"/>
              <w:numPr>
                <w:ilvl w:val="0"/>
                <w:numId w:val="20"/>
              </w:numPr>
              <w:tabs>
                <w:tab w:val="left" w:pos="350"/>
              </w:tabs>
              <w:spacing w:after="180" w:line="240" w:lineRule="auto"/>
              <w:ind w:firstLine="0"/>
            </w:pPr>
            <w:r>
              <w:rPr>
                <w:rStyle w:val="ae"/>
              </w:rPr>
              <w:t>AIA Group Reinsurance Management Policy</w:t>
            </w:r>
          </w:p>
          <w:p w14:paraId="315A7306" w14:textId="77777777" w:rsidR="006003AD" w:rsidRDefault="006003AD" w:rsidP="00AA681A">
            <w:pPr>
              <w:pStyle w:val="af"/>
              <w:spacing w:after="180" w:line="240" w:lineRule="auto"/>
              <w:ind w:firstLine="0"/>
            </w:pPr>
            <w:r>
              <w:rPr>
                <w:rStyle w:val="ae"/>
                <w:b/>
                <w:bCs/>
              </w:rPr>
              <w:t>Standard</w:t>
            </w:r>
          </w:p>
          <w:p w14:paraId="75FB70D6" w14:textId="77777777" w:rsidR="006003AD" w:rsidRDefault="006003AD" w:rsidP="00AA681A">
            <w:pPr>
              <w:pStyle w:val="af"/>
              <w:numPr>
                <w:ilvl w:val="0"/>
                <w:numId w:val="20"/>
              </w:numPr>
              <w:tabs>
                <w:tab w:val="left" w:pos="350"/>
              </w:tabs>
              <w:spacing w:after="180" w:line="240" w:lineRule="auto"/>
              <w:ind w:firstLine="0"/>
            </w:pPr>
            <w:r>
              <w:rPr>
                <w:rStyle w:val="ae"/>
              </w:rPr>
              <w:t>AIA Group Reinsurance Pricing Standard</w:t>
            </w:r>
          </w:p>
          <w:p w14:paraId="4A24C2C5" w14:textId="77777777" w:rsidR="006003AD" w:rsidRDefault="006003AD" w:rsidP="00AA681A">
            <w:pPr>
              <w:pStyle w:val="af"/>
              <w:spacing w:after="180" w:line="240" w:lineRule="auto"/>
              <w:ind w:firstLine="0"/>
            </w:pPr>
            <w:r>
              <w:rPr>
                <w:rStyle w:val="ae"/>
                <w:b/>
                <w:bCs/>
              </w:rPr>
              <w:t>Guidance Note</w:t>
            </w:r>
          </w:p>
          <w:p w14:paraId="7F50D14F" w14:textId="77777777" w:rsidR="006003AD" w:rsidRDefault="006003AD" w:rsidP="00AA681A">
            <w:pPr>
              <w:pStyle w:val="af"/>
              <w:numPr>
                <w:ilvl w:val="0"/>
                <w:numId w:val="20"/>
              </w:numPr>
              <w:tabs>
                <w:tab w:val="left" w:pos="350"/>
              </w:tabs>
              <w:spacing w:after="180" w:line="240" w:lineRule="auto"/>
              <w:ind w:firstLine="0"/>
              <w:jc w:val="both"/>
            </w:pPr>
            <w:r>
              <w:rPr>
                <w:rStyle w:val="ae"/>
              </w:rPr>
              <w:t>Guidance Note on Determining Reinsurance Recapture Fee</w:t>
            </w:r>
          </w:p>
          <w:p w14:paraId="5A7ACA6B" w14:textId="77777777" w:rsidR="006003AD" w:rsidRDefault="006003AD" w:rsidP="00AA681A">
            <w:pPr>
              <w:pStyle w:val="af"/>
              <w:numPr>
                <w:ilvl w:val="0"/>
                <w:numId w:val="20"/>
              </w:numPr>
              <w:tabs>
                <w:tab w:val="left" w:pos="350"/>
              </w:tabs>
              <w:spacing w:after="180" w:line="240" w:lineRule="auto"/>
              <w:ind w:firstLine="0"/>
              <w:jc w:val="both"/>
            </w:pPr>
            <w:r>
              <w:rPr>
                <w:rStyle w:val="ae"/>
              </w:rPr>
              <w:t>Reinsurance Pricing Handbook</w:t>
            </w:r>
          </w:p>
        </w:tc>
      </w:tr>
      <w:tr w:rsidR="006003AD" w14:paraId="00D8AD0F" w14:textId="77777777" w:rsidTr="00AA681A">
        <w:tblPrEx>
          <w:tblCellMar>
            <w:top w:w="0" w:type="dxa"/>
            <w:bottom w:w="0" w:type="dxa"/>
          </w:tblCellMar>
        </w:tblPrEx>
        <w:trPr>
          <w:trHeight w:hRule="exact" w:val="1307"/>
          <w:jc w:val="right"/>
        </w:trPr>
        <w:tc>
          <w:tcPr>
            <w:tcW w:w="1568" w:type="dxa"/>
            <w:tcBorders>
              <w:top w:val="single" w:sz="4" w:space="0" w:color="auto"/>
              <w:left w:val="single" w:sz="4" w:space="0" w:color="auto"/>
            </w:tcBorders>
            <w:shd w:val="clear" w:color="auto" w:fill="auto"/>
          </w:tcPr>
          <w:p w14:paraId="2926A47A" w14:textId="77777777" w:rsidR="006003AD" w:rsidRDefault="006003AD" w:rsidP="00AA681A">
            <w:pPr>
              <w:pStyle w:val="af"/>
              <w:spacing w:after="0" w:line="240" w:lineRule="auto"/>
              <w:ind w:firstLine="0"/>
            </w:pPr>
            <w:r>
              <w:rPr>
                <w:rStyle w:val="ae"/>
              </w:rPr>
              <w:t>3.8</w:t>
            </w:r>
          </w:p>
        </w:tc>
        <w:tc>
          <w:tcPr>
            <w:tcW w:w="6566" w:type="dxa"/>
            <w:tcBorders>
              <w:top w:val="single" w:sz="4" w:space="0" w:color="auto"/>
              <w:left w:val="single" w:sz="4" w:space="0" w:color="auto"/>
              <w:right w:val="single" w:sz="4" w:space="0" w:color="auto"/>
            </w:tcBorders>
            <w:shd w:val="clear" w:color="auto" w:fill="auto"/>
          </w:tcPr>
          <w:p w14:paraId="4A809C89" w14:textId="77777777" w:rsidR="006003AD" w:rsidRDefault="006003AD" w:rsidP="00AA681A">
            <w:pPr>
              <w:pStyle w:val="af"/>
              <w:spacing w:after="180" w:line="240" w:lineRule="auto"/>
              <w:ind w:firstLine="0"/>
            </w:pPr>
            <w:r>
              <w:rPr>
                <w:rStyle w:val="ae"/>
                <w:b/>
                <w:bCs/>
              </w:rPr>
              <w:t>Standard</w:t>
            </w:r>
          </w:p>
          <w:p w14:paraId="430200CC" w14:textId="77777777" w:rsidR="006003AD" w:rsidRDefault="006003AD" w:rsidP="00AA681A">
            <w:pPr>
              <w:pStyle w:val="af"/>
              <w:numPr>
                <w:ilvl w:val="0"/>
                <w:numId w:val="21"/>
              </w:numPr>
              <w:tabs>
                <w:tab w:val="left" w:pos="345"/>
              </w:tabs>
              <w:spacing w:after="180" w:line="240" w:lineRule="auto"/>
              <w:ind w:firstLine="0"/>
            </w:pPr>
            <w:r>
              <w:rPr>
                <w:rStyle w:val="ae"/>
              </w:rPr>
              <w:t>AIA Group ALM Standard</w:t>
            </w:r>
          </w:p>
          <w:p w14:paraId="3EE56175" w14:textId="77777777" w:rsidR="006003AD" w:rsidRDefault="006003AD" w:rsidP="00AA681A">
            <w:pPr>
              <w:pStyle w:val="af"/>
              <w:numPr>
                <w:ilvl w:val="0"/>
                <w:numId w:val="21"/>
              </w:numPr>
              <w:tabs>
                <w:tab w:val="left" w:pos="345"/>
              </w:tabs>
              <w:spacing w:after="180" w:line="240" w:lineRule="auto"/>
              <w:ind w:firstLine="0"/>
            </w:pPr>
            <w:r>
              <w:rPr>
                <w:rStyle w:val="ae"/>
              </w:rPr>
              <w:t>AIA Group SAA Standard</w:t>
            </w:r>
          </w:p>
        </w:tc>
      </w:tr>
      <w:tr w:rsidR="006003AD" w14:paraId="0EFDFE42" w14:textId="77777777" w:rsidTr="00AA681A">
        <w:tblPrEx>
          <w:tblCellMar>
            <w:top w:w="0" w:type="dxa"/>
            <w:bottom w:w="0" w:type="dxa"/>
          </w:tblCellMar>
        </w:tblPrEx>
        <w:trPr>
          <w:trHeight w:hRule="exact" w:val="890"/>
          <w:jc w:val="right"/>
        </w:trPr>
        <w:tc>
          <w:tcPr>
            <w:tcW w:w="1568" w:type="dxa"/>
            <w:tcBorders>
              <w:top w:val="single" w:sz="4" w:space="0" w:color="auto"/>
              <w:left w:val="single" w:sz="4" w:space="0" w:color="auto"/>
            </w:tcBorders>
            <w:shd w:val="clear" w:color="auto" w:fill="auto"/>
          </w:tcPr>
          <w:p w14:paraId="1373CCFA" w14:textId="77777777" w:rsidR="006003AD" w:rsidRDefault="006003AD" w:rsidP="00AA681A">
            <w:pPr>
              <w:pStyle w:val="af"/>
              <w:spacing w:after="0" w:line="240" w:lineRule="auto"/>
              <w:ind w:firstLine="0"/>
            </w:pPr>
            <w:r>
              <w:rPr>
                <w:rStyle w:val="ae"/>
              </w:rPr>
              <w:t>3.9</w:t>
            </w:r>
          </w:p>
        </w:tc>
        <w:tc>
          <w:tcPr>
            <w:tcW w:w="6566" w:type="dxa"/>
            <w:tcBorders>
              <w:top w:val="single" w:sz="4" w:space="0" w:color="auto"/>
              <w:left w:val="single" w:sz="4" w:space="0" w:color="auto"/>
              <w:right w:val="single" w:sz="4" w:space="0" w:color="auto"/>
            </w:tcBorders>
            <w:shd w:val="clear" w:color="auto" w:fill="auto"/>
            <w:vAlign w:val="center"/>
          </w:tcPr>
          <w:p w14:paraId="5C8B52F5" w14:textId="77777777" w:rsidR="006003AD" w:rsidRDefault="006003AD" w:rsidP="00AA681A">
            <w:pPr>
              <w:pStyle w:val="af"/>
              <w:spacing w:after="180" w:line="240" w:lineRule="auto"/>
              <w:ind w:firstLine="0"/>
            </w:pPr>
            <w:r>
              <w:rPr>
                <w:rStyle w:val="ae"/>
                <w:b/>
                <w:bCs/>
              </w:rPr>
              <w:t>Policy</w:t>
            </w:r>
          </w:p>
          <w:p w14:paraId="67FA78ED" w14:textId="77777777" w:rsidR="006003AD" w:rsidRDefault="006003AD" w:rsidP="00AA681A">
            <w:pPr>
              <w:pStyle w:val="af"/>
              <w:spacing w:after="0" w:line="240" w:lineRule="auto"/>
              <w:ind w:firstLine="0"/>
            </w:pPr>
            <w:r>
              <w:rPr>
                <w:rStyle w:val="ae"/>
              </w:rPr>
              <w:t>• AIA Group Internal Economic Capital Assessment Policy</w:t>
            </w:r>
          </w:p>
        </w:tc>
      </w:tr>
      <w:tr w:rsidR="006003AD" w14:paraId="4A953453" w14:textId="77777777" w:rsidTr="00AA681A">
        <w:tblPrEx>
          <w:tblCellMar>
            <w:top w:w="0" w:type="dxa"/>
            <w:bottom w:w="0" w:type="dxa"/>
          </w:tblCellMar>
        </w:tblPrEx>
        <w:trPr>
          <w:trHeight w:hRule="exact" w:val="3931"/>
          <w:jc w:val="right"/>
        </w:trPr>
        <w:tc>
          <w:tcPr>
            <w:tcW w:w="1568" w:type="dxa"/>
            <w:tcBorders>
              <w:top w:val="single" w:sz="4" w:space="0" w:color="auto"/>
              <w:left w:val="single" w:sz="4" w:space="0" w:color="auto"/>
              <w:bottom w:val="single" w:sz="4" w:space="0" w:color="auto"/>
            </w:tcBorders>
            <w:shd w:val="clear" w:color="auto" w:fill="auto"/>
          </w:tcPr>
          <w:p w14:paraId="410FDB81" w14:textId="77777777" w:rsidR="006003AD" w:rsidRDefault="006003AD" w:rsidP="00AA681A">
            <w:pPr>
              <w:pStyle w:val="af"/>
              <w:spacing w:after="0" w:line="240" w:lineRule="auto"/>
              <w:ind w:firstLine="0"/>
            </w:pPr>
            <w:r>
              <w:rPr>
                <w:rStyle w:val="ae"/>
              </w:rPr>
              <w:t>3.10</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864C02D" w14:textId="77777777" w:rsidR="006003AD" w:rsidRDefault="006003AD" w:rsidP="00AA681A">
            <w:pPr>
              <w:pStyle w:val="af"/>
              <w:spacing w:after="60" w:line="374" w:lineRule="auto"/>
              <w:ind w:firstLine="0"/>
            </w:pPr>
            <w:r>
              <w:rPr>
                <w:rStyle w:val="ae"/>
                <w:b/>
                <w:bCs/>
              </w:rPr>
              <w:t>Policy</w:t>
            </w:r>
          </w:p>
          <w:p w14:paraId="6C2D4FCB" w14:textId="77777777" w:rsidR="006003AD" w:rsidRDefault="006003AD" w:rsidP="00AA681A">
            <w:pPr>
              <w:pStyle w:val="af"/>
              <w:numPr>
                <w:ilvl w:val="0"/>
                <w:numId w:val="22"/>
              </w:numPr>
              <w:tabs>
                <w:tab w:val="left" w:pos="345"/>
              </w:tabs>
              <w:spacing w:after="60" w:line="374" w:lineRule="auto"/>
              <w:ind w:left="440" w:hanging="440"/>
              <w:jc w:val="both"/>
            </w:pPr>
            <w:r>
              <w:rPr>
                <w:rStyle w:val="ae"/>
              </w:rPr>
              <w:t>AIA Group Risk Management Policy (issued by Group Risk &amp; Compliance providing guidance and setting principles in relation to the design and execution of AIA Group’s Risk Management Framework)</w:t>
            </w:r>
          </w:p>
          <w:p w14:paraId="215B0999" w14:textId="77777777" w:rsidR="006003AD" w:rsidRDefault="006003AD" w:rsidP="00AA681A">
            <w:pPr>
              <w:pStyle w:val="af"/>
              <w:spacing w:after="60" w:line="374" w:lineRule="auto"/>
              <w:ind w:firstLine="0"/>
            </w:pPr>
            <w:r>
              <w:rPr>
                <w:rStyle w:val="ae"/>
                <w:b/>
                <w:bCs/>
              </w:rPr>
              <w:t>Standard</w:t>
            </w:r>
          </w:p>
          <w:p w14:paraId="3C8BE6F5" w14:textId="77777777" w:rsidR="006003AD" w:rsidRDefault="006003AD" w:rsidP="00AA681A">
            <w:pPr>
              <w:pStyle w:val="af"/>
              <w:numPr>
                <w:ilvl w:val="0"/>
                <w:numId w:val="22"/>
              </w:numPr>
              <w:tabs>
                <w:tab w:val="left" w:pos="345"/>
              </w:tabs>
              <w:spacing w:after="60" w:line="384" w:lineRule="auto"/>
              <w:ind w:left="440" w:hanging="440"/>
              <w:jc w:val="both"/>
            </w:pPr>
            <w:r>
              <w:rPr>
                <w:rStyle w:val="ae"/>
              </w:rPr>
              <w:t xml:space="preserve">AIA Group ORSA Standard (embedded in the AIA Group Risk Management </w:t>
            </w:r>
            <w:proofErr w:type="gramStart"/>
            <w:r>
              <w:rPr>
                <w:rStyle w:val="ae"/>
              </w:rPr>
              <w:t>Policy)*</w:t>
            </w:r>
            <w:proofErr w:type="gramEnd"/>
          </w:p>
          <w:p w14:paraId="5E281D91" w14:textId="77777777" w:rsidR="006003AD" w:rsidRDefault="006003AD" w:rsidP="00AA681A">
            <w:pPr>
              <w:pStyle w:val="af"/>
              <w:spacing w:after="60" w:line="374" w:lineRule="auto"/>
              <w:ind w:firstLine="0"/>
              <w:jc w:val="both"/>
            </w:pPr>
            <w:r>
              <w:rPr>
                <w:rStyle w:val="ae"/>
                <w:b/>
                <w:bCs/>
              </w:rPr>
              <w:t>Guidance Note</w:t>
            </w:r>
          </w:p>
          <w:p w14:paraId="44033857" w14:textId="77777777" w:rsidR="006003AD" w:rsidRDefault="006003AD" w:rsidP="00AA681A">
            <w:pPr>
              <w:pStyle w:val="af"/>
              <w:numPr>
                <w:ilvl w:val="0"/>
                <w:numId w:val="22"/>
              </w:numPr>
              <w:tabs>
                <w:tab w:val="left" w:pos="345"/>
              </w:tabs>
              <w:spacing w:after="60" w:line="374" w:lineRule="auto"/>
              <w:ind w:firstLine="0"/>
              <w:jc w:val="both"/>
            </w:pPr>
            <w:r>
              <w:rPr>
                <w:rStyle w:val="ae"/>
              </w:rPr>
              <w:t>FCR Guideline</w:t>
            </w:r>
          </w:p>
        </w:tc>
      </w:tr>
    </w:tbl>
    <w:p w14:paraId="5905425F" w14:textId="77777777" w:rsidR="006003AD" w:rsidRDefault="006003AD" w:rsidP="006003AD">
      <w:pPr>
        <w:pStyle w:val="ad"/>
        <w:ind w:left="0" w:firstLine="0"/>
        <w:jc w:val="both"/>
        <w:sectPr w:rsidR="006003AD" w:rsidSect="006003AD">
          <w:pgSz w:w="11900" w:h="16840"/>
          <w:pgMar w:top="1473" w:right="1416" w:bottom="1473" w:left="1571" w:header="0" w:footer="3" w:gutter="0"/>
          <w:cols w:space="720"/>
          <w:noEndnote/>
          <w:docGrid w:linePitch="360"/>
        </w:sectPr>
      </w:pPr>
      <w:r>
        <w:rPr>
          <w:rStyle w:val="ac"/>
        </w:rPr>
        <w:t>* The AIA Group ORSA Standard issued by Group Risk &amp; Compliance specifies that the elements of “risk tolerance position monitoring", “interest rate risk and foreign exchange risk monitoring”, “capital planning (scenario and stress testing)" and “dynamic solvency testing (if applicable)” under the ORSA require inputs from the actuarial control function.</w:t>
      </w:r>
    </w:p>
    <w:p w14:paraId="39D017C5" w14:textId="77777777" w:rsidR="006003AD" w:rsidRDefault="006003AD" w:rsidP="006003AD">
      <w:pPr>
        <w:rPr>
          <w:sz w:val="2"/>
          <w:szCs w:val="2"/>
        </w:rPr>
      </w:pPr>
    </w:p>
    <w:p w14:paraId="45751CF9" w14:textId="77777777" w:rsidR="00A87DE5" w:rsidRDefault="00A87DE5"/>
    <w:sectPr w:rsidR="00A87DE5" w:rsidSect="006003AD">
      <w:footerReference w:type="default" r:id="rId10"/>
      <w:pgSz w:w="11900" w:h="16840"/>
      <w:pgMar w:top="18" w:right="391" w:bottom="0" w:left="21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AFA87" w14:textId="77777777" w:rsidR="001B338A" w:rsidRDefault="001B338A" w:rsidP="006003AD">
      <w:r>
        <w:separator/>
      </w:r>
    </w:p>
  </w:endnote>
  <w:endnote w:type="continuationSeparator" w:id="0">
    <w:p w14:paraId="27A33FE7" w14:textId="77777777" w:rsidR="001B338A" w:rsidRDefault="001B338A" w:rsidP="00600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3181E" w14:textId="77777777" w:rsidR="00000000" w:rsidRDefault="00000000">
    <w:pPr>
      <w:spacing w:line="1" w:lineRule="exact"/>
    </w:pPr>
    <w:r>
      <w:rPr>
        <w:noProof/>
      </w:rPr>
      <mc:AlternateContent>
        <mc:Choice Requires="wps">
          <w:drawing>
            <wp:anchor distT="0" distB="0" distL="0" distR="0" simplePos="0" relativeHeight="251661312" behindDoc="1" locked="0" layoutInCell="1" allowOverlap="1" wp14:anchorId="34C3CE7B" wp14:editId="56D50678">
              <wp:simplePos x="0" y="0"/>
              <wp:positionH relativeFrom="page">
                <wp:posOffset>5989955</wp:posOffset>
              </wp:positionH>
              <wp:positionV relativeFrom="page">
                <wp:posOffset>10048875</wp:posOffset>
              </wp:positionV>
              <wp:extent cx="637540" cy="121285"/>
              <wp:effectExtent l="0" t="0" r="0" b="0"/>
              <wp:wrapNone/>
              <wp:docPr id="22" name="Shape 22"/>
              <wp:cNvGraphicFramePr/>
              <a:graphic xmlns:a="http://schemas.openxmlformats.org/drawingml/2006/main">
                <a:graphicData uri="http://schemas.microsoft.com/office/word/2010/wordprocessingShape">
                  <wps:wsp>
                    <wps:cNvSpPr txBox="1"/>
                    <wps:spPr>
                      <a:xfrm>
                        <a:off x="0" y="0"/>
                        <a:ext cx="637540" cy="121285"/>
                      </a:xfrm>
                      <a:prstGeom prst="rect">
                        <a:avLst/>
                      </a:prstGeom>
                      <a:noFill/>
                    </wps:spPr>
                    <wps:txbx>
                      <w:txbxContent>
                        <w:p w14:paraId="113254F9" w14:textId="77777777" w:rsidR="00000000" w:rsidRDefault="00000000">
                          <w:pPr>
                            <w:pStyle w:val="23"/>
                          </w:pPr>
                          <w:r>
                            <w:fldChar w:fldCharType="begin"/>
                          </w:r>
                          <w:r>
                            <w:instrText xml:space="preserve"> PAGE \* MERGEFORMAT </w:instrText>
                          </w:r>
                          <w:r>
                            <w:fldChar w:fldCharType="separate"/>
                          </w:r>
                          <w:r>
                            <w:rPr>
                              <w:rStyle w:val="22"/>
                              <w:rFonts w:ascii="Arial" w:eastAsia="Arial" w:hAnsi="Arial" w:cs="Arial"/>
                            </w:rPr>
                            <w:t>#</w:t>
                          </w:r>
                          <w:r>
                            <w:rPr>
                              <w:rStyle w:val="22"/>
                              <w:rFonts w:ascii="Arial" w:eastAsia="Arial" w:hAnsi="Arial" w:cs="Arial"/>
                            </w:rPr>
                            <w:fldChar w:fldCharType="end"/>
                          </w:r>
                          <w:r>
                            <w:rPr>
                              <w:rStyle w:val="22"/>
                              <w:rFonts w:ascii="Arial" w:eastAsia="Arial" w:hAnsi="Arial" w:cs="Arial"/>
                            </w:rPr>
                            <w:t xml:space="preserve"> | P a g e</w:t>
                          </w:r>
                        </w:p>
                      </w:txbxContent>
                    </wps:txbx>
                    <wps:bodyPr wrap="none" lIns="0" tIns="0" rIns="0" bIns="0">
                      <a:spAutoFit/>
                    </wps:bodyPr>
                  </wps:wsp>
                </a:graphicData>
              </a:graphic>
            </wp:anchor>
          </w:drawing>
        </mc:Choice>
        <mc:Fallback>
          <w:pict>
            <v:shapetype w14:anchorId="34C3CE7B" id="_x0000_t202" coordsize="21600,21600" o:spt="202" path="m,l,21600r21600,l21600,xe">
              <v:stroke joinstyle="miter"/>
              <v:path gradientshapeok="t" o:connecttype="rect"/>
            </v:shapetype>
            <v:shape id="Shape 22" o:spid="_x0000_s1034" type="#_x0000_t202" style="position:absolute;margin-left:471.65pt;margin-top:791.25pt;width:50.2pt;height:9.55pt;z-index:-2516551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" filled="f" stroked="f">
              <v:textbox style="mso-fit-shape-to-text:t" inset="0,0,0,0">
                <w:txbxContent>
                  <w:p w14:paraId="113254F9" w14:textId="77777777" w:rsidR="00000000" w:rsidRDefault="00000000">
                    <w:pPr>
                      <w:pStyle w:val="23"/>
                    </w:pPr>
                    <w:r>
                      <w:fldChar w:fldCharType="begin"/>
                    </w:r>
                    <w:r>
                      <w:instrText xml:space="preserve"> PAGE \* MERGEFORMAT </w:instrText>
                    </w:r>
                    <w:r>
                      <w:fldChar w:fldCharType="separate"/>
                    </w:r>
                    <w:r>
                      <w:rPr>
                        <w:rStyle w:val="22"/>
                        <w:rFonts w:ascii="Arial" w:eastAsia="Arial" w:hAnsi="Arial" w:cs="Arial"/>
                      </w:rPr>
                      <w:t>#</w:t>
                    </w:r>
                    <w:r>
                      <w:rPr>
                        <w:rStyle w:val="22"/>
                        <w:rFonts w:ascii="Arial" w:eastAsia="Arial" w:hAnsi="Arial" w:cs="Arial"/>
                      </w:rPr>
                      <w:fldChar w:fldCharType="end"/>
                    </w:r>
                    <w:r>
                      <w:rPr>
                        <w:rStyle w:val="22"/>
                        <w:rFonts w:ascii="Arial" w:eastAsia="Arial" w:hAnsi="Arial" w:cs="Arial"/>
                      </w:rPr>
                      <w:t xml:space="preserve"> | P a g 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E7F14" w14:textId="77777777" w:rsidR="00000000" w:rsidRDefault="00000000">
    <w:pPr>
      <w:spacing w:line="1" w:lineRule="exact"/>
    </w:pPr>
    <w:r>
      <w:rPr>
        <w:noProof/>
      </w:rPr>
      <mc:AlternateContent>
        <mc:Choice Requires="wps">
          <w:drawing>
            <wp:anchor distT="0" distB="0" distL="0" distR="0" simplePos="0" relativeHeight="251662336" behindDoc="1" locked="0" layoutInCell="1" allowOverlap="1" wp14:anchorId="456615DD" wp14:editId="7861AB2E">
              <wp:simplePos x="0" y="0"/>
              <wp:positionH relativeFrom="page">
                <wp:posOffset>5989955</wp:posOffset>
              </wp:positionH>
              <wp:positionV relativeFrom="page">
                <wp:posOffset>10048875</wp:posOffset>
              </wp:positionV>
              <wp:extent cx="637540" cy="121285"/>
              <wp:effectExtent l="0" t="0" r="0" b="0"/>
              <wp:wrapNone/>
              <wp:docPr id="24" name="Shape 24"/>
              <wp:cNvGraphicFramePr/>
              <a:graphic xmlns:a="http://schemas.openxmlformats.org/drawingml/2006/main">
                <a:graphicData uri="http://schemas.microsoft.com/office/word/2010/wordprocessingShape">
                  <wps:wsp>
                    <wps:cNvSpPr txBox="1"/>
                    <wps:spPr>
                      <a:xfrm>
                        <a:off x="0" y="0"/>
                        <a:ext cx="637540" cy="121285"/>
                      </a:xfrm>
                      <a:prstGeom prst="rect">
                        <a:avLst/>
                      </a:prstGeom>
                      <a:noFill/>
                    </wps:spPr>
                    <wps:txbx>
                      <w:txbxContent>
                        <w:p w14:paraId="3E5E2199" w14:textId="77777777" w:rsidR="00000000" w:rsidRDefault="00000000">
                          <w:pPr>
                            <w:pStyle w:val="23"/>
                          </w:pPr>
                          <w:r>
                            <w:fldChar w:fldCharType="begin"/>
                          </w:r>
                          <w:r>
                            <w:instrText xml:space="preserve"> PAGE \* MERGEFORMAT </w:instrText>
                          </w:r>
                          <w:r>
                            <w:fldChar w:fldCharType="separate"/>
                          </w:r>
                          <w:r>
                            <w:rPr>
                              <w:rStyle w:val="22"/>
                              <w:rFonts w:ascii="Arial" w:eastAsia="Arial" w:hAnsi="Arial" w:cs="Arial"/>
                            </w:rPr>
                            <w:t>#</w:t>
                          </w:r>
                          <w:r>
                            <w:rPr>
                              <w:rStyle w:val="22"/>
                              <w:rFonts w:ascii="Arial" w:eastAsia="Arial" w:hAnsi="Arial" w:cs="Arial"/>
                            </w:rPr>
                            <w:fldChar w:fldCharType="end"/>
                          </w:r>
                          <w:r>
                            <w:rPr>
                              <w:rStyle w:val="22"/>
                              <w:rFonts w:ascii="Arial" w:eastAsia="Arial" w:hAnsi="Arial" w:cs="Arial"/>
                            </w:rPr>
                            <w:t xml:space="preserve"> | P a g e</w:t>
                          </w:r>
                        </w:p>
                      </w:txbxContent>
                    </wps:txbx>
                    <wps:bodyPr wrap="none" lIns="0" tIns="0" rIns="0" bIns="0">
                      <a:spAutoFit/>
                    </wps:bodyPr>
                  </wps:wsp>
                </a:graphicData>
              </a:graphic>
            </wp:anchor>
          </w:drawing>
        </mc:Choice>
        <mc:Fallback>
          <w:pict>
            <v:shapetype w14:anchorId="456615DD" id="_x0000_t202" coordsize="21600,21600" o:spt="202" path="m,l,21600r21600,l21600,xe">
              <v:stroke joinstyle="miter"/>
              <v:path gradientshapeok="t" o:connecttype="rect"/>
            </v:shapetype>
            <v:shape id="Shape 24" o:spid="_x0000_s1035" type="#_x0000_t202" style="position:absolute;margin-left:471.65pt;margin-top:791.25pt;width:50.2pt;height:9.55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" filled="f" stroked="f">
              <v:textbox style="mso-fit-shape-to-text:t" inset="0,0,0,0">
                <w:txbxContent>
                  <w:p w14:paraId="3E5E2199" w14:textId="77777777" w:rsidR="00000000" w:rsidRDefault="00000000">
                    <w:pPr>
                      <w:pStyle w:val="23"/>
                    </w:pPr>
                    <w:r>
                      <w:fldChar w:fldCharType="begin"/>
                    </w:r>
                    <w:r>
                      <w:instrText xml:space="preserve"> PAGE \* MERGEFORMAT </w:instrText>
                    </w:r>
                    <w:r>
                      <w:fldChar w:fldCharType="separate"/>
                    </w:r>
                    <w:r>
                      <w:rPr>
                        <w:rStyle w:val="22"/>
                        <w:rFonts w:ascii="Arial" w:eastAsia="Arial" w:hAnsi="Arial" w:cs="Arial"/>
                      </w:rPr>
                      <w:t>#</w:t>
                    </w:r>
                    <w:r>
                      <w:rPr>
                        <w:rStyle w:val="22"/>
                        <w:rFonts w:ascii="Arial" w:eastAsia="Arial" w:hAnsi="Arial" w:cs="Arial"/>
                      </w:rPr>
                      <w:fldChar w:fldCharType="end"/>
                    </w:r>
                    <w:r>
                      <w:rPr>
                        <w:rStyle w:val="22"/>
                        <w:rFonts w:ascii="Arial" w:eastAsia="Arial" w:hAnsi="Arial" w:cs="Arial"/>
                      </w:rPr>
                      <w:t xml:space="preserve"> | P a g 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0222C" w14:textId="77777777" w:rsidR="00000000" w:rsidRDefault="00000000">
    <w:pPr>
      <w:spacing w:line="1" w:lineRule="exact"/>
    </w:pPr>
    <w:r>
      <w:rPr>
        <w:noProof/>
      </w:rPr>
      <mc:AlternateContent>
        <mc:Choice Requires="wps">
          <w:drawing>
            <wp:anchor distT="0" distB="0" distL="0" distR="0" simplePos="0" relativeHeight="251663360" behindDoc="1" locked="0" layoutInCell="1" allowOverlap="1" wp14:anchorId="55F0F321" wp14:editId="17AC16BA">
              <wp:simplePos x="0" y="0"/>
              <wp:positionH relativeFrom="page">
                <wp:posOffset>5976620</wp:posOffset>
              </wp:positionH>
              <wp:positionV relativeFrom="page">
                <wp:posOffset>10030460</wp:posOffset>
              </wp:positionV>
              <wp:extent cx="644525" cy="122555"/>
              <wp:effectExtent l="0" t="0" r="0" b="0"/>
              <wp:wrapNone/>
              <wp:docPr id="26" name="Shape 26"/>
              <wp:cNvGraphicFramePr/>
              <a:graphic xmlns:a="http://schemas.openxmlformats.org/drawingml/2006/main">
                <a:graphicData uri="http://schemas.microsoft.com/office/word/2010/wordprocessingShape">
                  <wps:wsp>
                    <wps:cNvSpPr txBox="1"/>
                    <wps:spPr>
                      <a:xfrm>
                        <a:off x="0" y="0"/>
                        <a:ext cx="644525" cy="122555"/>
                      </a:xfrm>
                      <a:prstGeom prst="rect">
                        <a:avLst/>
                      </a:prstGeom>
                      <a:noFill/>
                    </wps:spPr>
                    <wps:txbx>
                      <w:txbxContent>
                        <w:p w14:paraId="5C866DEC" w14:textId="77777777" w:rsidR="00000000" w:rsidRDefault="00000000">
                          <w:pPr>
                            <w:pStyle w:val="23"/>
                          </w:pPr>
                          <w:r>
                            <w:fldChar w:fldCharType="begin"/>
                          </w:r>
                          <w:r>
                            <w:instrText xml:space="preserve"> PAGE \* MERGEFORMAT </w:instrText>
                          </w:r>
                          <w:r>
                            <w:fldChar w:fldCharType="separate"/>
                          </w:r>
                          <w:r>
                            <w:rPr>
                              <w:rStyle w:val="22"/>
                              <w:rFonts w:ascii="Arial" w:eastAsia="Arial" w:hAnsi="Arial" w:cs="Arial"/>
                            </w:rPr>
                            <w:t>#</w:t>
                          </w:r>
                          <w:r>
                            <w:rPr>
                              <w:rStyle w:val="22"/>
                              <w:rFonts w:ascii="Arial" w:eastAsia="Arial" w:hAnsi="Arial" w:cs="Arial"/>
                            </w:rPr>
                            <w:fldChar w:fldCharType="end"/>
                          </w:r>
                          <w:r>
                            <w:rPr>
                              <w:rStyle w:val="22"/>
                              <w:rFonts w:ascii="Arial" w:eastAsia="Arial" w:hAnsi="Arial" w:cs="Arial"/>
                            </w:rPr>
                            <w:t xml:space="preserve"> |Page</w:t>
                          </w:r>
                        </w:p>
                      </w:txbxContent>
                    </wps:txbx>
                    <wps:bodyPr wrap="none" lIns="0" tIns="0" rIns="0" bIns="0">
                      <a:spAutoFit/>
                    </wps:bodyPr>
                  </wps:wsp>
                </a:graphicData>
              </a:graphic>
            </wp:anchor>
          </w:drawing>
        </mc:Choice>
        <mc:Fallback>
          <w:pict>
            <v:shapetype w14:anchorId="55F0F321" id="_x0000_t202" coordsize="21600,21600" o:spt="202" path="m,l,21600r21600,l21600,xe">
              <v:stroke joinstyle="miter"/>
              <v:path gradientshapeok="t" o:connecttype="rect"/>
            </v:shapetype>
            <v:shape id="Shape 26" o:spid="_x0000_s1036" type="#_x0000_t202" style="position:absolute;margin-left:470.6pt;margin-top:789.8pt;width:50.75pt;height:9.65pt;z-index:-2516531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" filled="f" stroked="f">
              <v:textbox style="mso-fit-shape-to-text:t" inset="0,0,0,0">
                <w:txbxContent>
                  <w:p w14:paraId="5C866DEC" w14:textId="77777777" w:rsidR="00000000" w:rsidRDefault="00000000">
                    <w:pPr>
                      <w:pStyle w:val="23"/>
                    </w:pPr>
                    <w:r>
                      <w:fldChar w:fldCharType="begin"/>
                    </w:r>
                    <w:r>
                      <w:instrText xml:space="preserve"> PAGE \* MERGEFORMAT </w:instrText>
                    </w:r>
                    <w:r>
                      <w:fldChar w:fldCharType="separate"/>
                    </w:r>
                    <w:r>
                      <w:rPr>
                        <w:rStyle w:val="22"/>
                        <w:rFonts w:ascii="Arial" w:eastAsia="Arial" w:hAnsi="Arial" w:cs="Arial"/>
                      </w:rPr>
                      <w:t>#</w:t>
                    </w:r>
                    <w:r>
                      <w:rPr>
                        <w:rStyle w:val="22"/>
                        <w:rFonts w:ascii="Arial" w:eastAsia="Arial" w:hAnsi="Arial" w:cs="Arial"/>
                      </w:rPr>
                      <w:fldChar w:fldCharType="end"/>
                    </w:r>
                    <w:r>
                      <w:rPr>
                        <w:rStyle w:val="22"/>
                        <w:rFonts w:ascii="Arial" w:eastAsia="Arial" w:hAnsi="Arial" w:cs="Arial"/>
                      </w:rPr>
                      <w:t xml:space="preserve"> |Page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099F6" w14:textId="77777777" w:rsidR="00000000" w:rsidRDefault="00000000">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9B89C" w14:textId="77777777" w:rsidR="001B338A" w:rsidRDefault="001B338A" w:rsidP="006003AD">
      <w:r>
        <w:separator/>
      </w:r>
    </w:p>
  </w:footnote>
  <w:footnote w:type="continuationSeparator" w:id="0">
    <w:p w14:paraId="08911437" w14:textId="77777777" w:rsidR="001B338A" w:rsidRDefault="001B338A" w:rsidP="00600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3B5"/>
    <w:multiLevelType w:val="multilevel"/>
    <w:tmpl w:val="10D8766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D005C0"/>
    <w:multiLevelType w:val="multilevel"/>
    <w:tmpl w:val="9ED6E49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083CD2"/>
    <w:multiLevelType w:val="multilevel"/>
    <w:tmpl w:val="0DCA51F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C81305"/>
    <w:multiLevelType w:val="multilevel"/>
    <w:tmpl w:val="C0224912"/>
    <w:lvl w:ilvl="0">
      <w:start w:val="1"/>
      <w:numFmt w:val="decimal"/>
      <w:lvlText w:val="%1."/>
      <w:lvlJc w:val="left"/>
      <w:rPr>
        <w:rFonts w:ascii="Arial" w:eastAsia="Arial" w:hAnsi="Arial" w:cs="Arial"/>
        <w:b/>
        <w:bCs/>
        <w:i w:val="0"/>
        <w:iCs w:val="0"/>
        <w:smallCaps w:val="0"/>
        <w:strike w:val="0"/>
        <w:color w:val="000000"/>
        <w:spacing w:val="0"/>
        <w:w w:val="100"/>
        <w:position w:val="0"/>
        <w:sz w:val="19"/>
        <w:szCs w:val="19"/>
        <w:u w:val="none"/>
        <w:shd w:val="clear" w:color="auto" w:fill="auto"/>
        <w:lang w:val="en-US" w:eastAsia="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581F56"/>
    <w:multiLevelType w:val="multilevel"/>
    <w:tmpl w:val="C02A952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B701C8"/>
    <w:multiLevelType w:val="multilevel"/>
    <w:tmpl w:val="EEFA8B4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C86BE1"/>
    <w:multiLevelType w:val="multilevel"/>
    <w:tmpl w:val="BBC62EC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AC469E"/>
    <w:multiLevelType w:val="multilevel"/>
    <w:tmpl w:val="C550011E"/>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9A4DAC"/>
    <w:multiLevelType w:val="multilevel"/>
    <w:tmpl w:val="F3DE219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C514F3"/>
    <w:multiLevelType w:val="multilevel"/>
    <w:tmpl w:val="C8FE4B7C"/>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E413BE"/>
    <w:multiLevelType w:val="multilevel"/>
    <w:tmpl w:val="35101BF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5C75800"/>
    <w:multiLevelType w:val="multilevel"/>
    <w:tmpl w:val="5E182B9C"/>
    <w:lvl w:ilvl="0">
      <w:start w:val="3"/>
      <w:numFmt w:val="decimal"/>
      <w:lvlText w:val="%1."/>
      <w:lvlJc w:val="left"/>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BE32C2E"/>
    <w:multiLevelType w:val="multilevel"/>
    <w:tmpl w:val="4A3E8C52"/>
    <w:lvl w:ilvl="0">
      <w:start w:val="1"/>
      <w:numFmt w:val="bullet"/>
      <w:lvlText w:val="•"/>
      <w:lvlJc w:val="left"/>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8332EB"/>
    <w:multiLevelType w:val="multilevel"/>
    <w:tmpl w:val="188C17F8"/>
    <w:lvl w:ilvl="0">
      <w:start w:val="2"/>
      <w:numFmt w:val="decimal"/>
      <w:lvlText w:val="%1."/>
      <w:lvlJc w:val="left"/>
    </w:lvl>
    <w:lvl w:ilvl="1">
      <w:start w:val="3"/>
      <w:numFmt w:val="decimal"/>
      <w:lvlText w:val="%1.%2."/>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5B035E9"/>
    <w:multiLevelType w:val="multilevel"/>
    <w:tmpl w:val="E28239E6"/>
    <w:lvl w:ilvl="0">
      <w:start w:val="2"/>
      <w:numFmt w:val="decimal"/>
      <w:lvlText w:val="%1."/>
      <w:lvlJc w:val="left"/>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2F599A"/>
    <w:multiLevelType w:val="multilevel"/>
    <w:tmpl w:val="6CD475FE"/>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5912990"/>
    <w:multiLevelType w:val="multilevel"/>
    <w:tmpl w:val="473C387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046694"/>
    <w:multiLevelType w:val="multilevel"/>
    <w:tmpl w:val="EF0E860E"/>
    <w:lvl w:ilvl="0">
      <w:start w:val="1"/>
      <w:numFmt w:val="decimal"/>
      <w:lvlText w:val="%1."/>
      <w:lvlJc w:val="left"/>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2E63594"/>
    <w:multiLevelType w:val="multilevel"/>
    <w:tmpl w:val="4B72CB0A"/>
    <w:lvl w:ilvl="0">
      <w:start w:val="1"/>
      <w:numFmt w:val="decimal"/>
      <w:lvlText w:val="%1"/>
      <w:lvlJc w:val="left"/>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17"/>
        <w:szCs w:val="17"/>
        <w:u w:val="none"/>
        <w:shd w:val="clear" w:color="auto" w:fill="auto"/>
        <w:lang w:val="en-US" w:eastAsia="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853477E"/>
    <w:multiLevelType w:val="multilevel"/>
    <w:tmpl w:val="DEF2731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A6B2D03"/>
    <w:multiLevelType w:val="multilevel"/>
    <w:tmpl w:val="F8C8AC0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8D68D1"/>
    <w:multiLevelType w:val="multilevel"/>
    <w:tmpl w:val="AF5038B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13081639">
    <w:abstractNumId w:val="18"/>
  </w:num>
  <w:num w:numId="2" w16cid:durableId="16204361">
    <w:abstractNumId w:val="12"/>
  </w:num>
  <w:num w:numId="3" w16cid:durableId="846944597">
    <w:abstractNumId w:val="3"/>
  </w:num>
  <w:num w:numId="4" w16cid:durableId="1451588279">
    <w:abstractNumId w:val="17"/>
  </w:num>
  <w:num w:numId="5" w16cid:durableId="663552952">
    <w:abstractNumId w:val="10"/>
  </w:num>
  <w:num w:numId="6" w16cid:durableId="849682658">
    <w:abstractNumId w:val="14"/>
  </w:num>
  <w:num w:numId="7" w16cid:durableId="913514237">
    <w:abstractNumId w:val="1"/>
  </w:num>
  <w:num w:numId="8" w16cid:durableId="136724411">
    <w:abstractNumId w:val="13"/>
  </w:num>
  <w:num w:numId="9" w16cid:durableId="1752578234">
    <w:abstractNumId w:val="2"/>
  </w:num>
  <w:num w:numId="10" w16cid:durableId="198783566">
    <w:abstractNumId w:val="20"/>
  </w:num>
  <w:num w:numId="11" w16cid:durableId="2016371387">
    <w:abstractNumId w:val="11"/>
  </w:num>
  <w:num w:numId="12" w16cid:durableId="1388529668">
    <w:abstractNumId w:val="15"/>
  </w:num>
  <w:num w:numId="13" w16cid:durableId="224996550">
    <w:abstractNumId w:val="7"/>
  </w:num>
  <w:num w:numId="14" w16cid:durableId="692262839">
    <w:abstractNumId w:val="6"/>
  </w:num>
  <w:num w:numId="15" w16cid:durableId="312830100">
    <w:abstractNumId w:val="9"/>
  </w:num>
  <w:num w:numId="16" w16cid:durableId="1211115161">
    <w:abstractNumId w:val="19"/>
  </w:num>
  <w:num w:numId="17" w16cid:durableId="1026246668">
    <w:abstractNumId w:val="0"/>
  </w:num>
  <w:num w:numId="18" w16cid:durableId="1842155091">
    <w:abstractNumId w:val="16"/>
  </w:num>
  <w:num w:numId="19" w16cid:durableId="1262837044">
    <w:abstractNumId w:val="5"/>
  </w:num>
  <w:num w:numId="20" w16cid:durableId="2059354918">
    <w:abstractNumId w:val="4"/>
  </w:num>
  <w:num w:numId="21" w16cid:durableId="1392970805">
    <w:abstractNumId w:val="8"/>
  </w:num>
  <w:num w:numId="22" w16cid:durableId="2810353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AD"/>
    <w:rsid w:val="001B338A"/>
    <w:rsid w:val="006003AD"/>
    <w:rsid w:val="009238DB"/>
    <w:rsid w:val="00A87DE5"/>
    <w:rsid w:val="00B55741"/>
    <w:rsid w:val="00C04D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0D910"/>
  <w15:chartTrackingRefBased/>
  <w15:docId w15:val="{4A6FA8DA-B52D-4050-A8D9-1D0AE3A6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3AD"/>
    <w:pPr>
      <w:widowControl w:val="0"/>
      <w:spacing w:after="0" w:line="240" w:lineRule="auto"/>
      <w:jc w:val="left"/>
    </w:pPr>
    <w:rPr>
      <w:rFonts w:ascii="새굴림" w:eastAsia="새굴림" w:hAnsi="새굴림" w:cs="새굴림"/>
      <w:color w:val="000000"/>
      <w:kern w:val="0"/>
      <w:sz w:val="24"/>
      <w:szCs w:val="24"/>
      <w:lang w:eastAsia="en-US"/>
    </w:rPr>
  </w:style>
  <w:style w:type="paragraph" w:styleId="1">
    <w:name w:val="heading 1"/>
    <w:basedOn w:val="a"/>
    <w:next w:val="a"/>
    <w:link w:val="1Char"/>
    <w:uiPriority w:val="9"/>
    <w:qFormat/>
    <w:rsid w:val="006003A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003A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003AD"/>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Char"/>
    <w:uiPriority w:val="9"/>
    <w:semiHidden/>
    <w:unhideWhenUsed/>
    <w:qFormat/>
    <w:rsid w:val="006003A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003A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003A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003A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003A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003A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003A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003A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003AD"/>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003A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003A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003A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003A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003A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003A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003A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003A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003A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003A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003AD"/>
    <w:pPr>
      <w:spacing w:before="160"/>
      <w:jc w:val="center"/>
    </w:pPr>
    <w:rPr>
      <w:i/>
      <w:iCs/>
      <w:color w:val="404040" w:themeColor="text1" w:themeTint="BF"/>
    </w:rPr>
  </w:style>
  <w:style w:type="character" w:customStyle="1" w:styleId="Char1">
    <w:name w:val="인용 Char"/>
    <w:basedOn w:val="a0"/>
    <w:link w:val="a5"/>
    <w:uiPriority w:val="29"/>
    <w:rsid w:val="006003AD"/>
    <w:rPr>
      <w:i/>
      <w:iCs/>
      <w:color w:val="404040" w:themeColor="text1" w:themeTint="BF"/>
    </w:rPr>
  </w:style>
  <w:style w:type="paragraph" w:styleId="a6">
    <w:name w:val="List Paragraph"/>
    <w:basedOn w:val="a"/>
    <w:uiPriority w:val="34"/>
    <w:qFormat/>
    <w:rsid w:val="006003AD"/>
    <w:pPr>
      <w:ind w:left="720"/>
      <w:contextualSpacing/>
    </w:pPr>
  </w:style>
  <w:style w:type="character" w:styleId="a7">
    <w:name w:val="Intense Emphasis"/>
    <w:basedOn w:val="a0"/>
    <w:uiPriority w:val="21"/>
    <w:qFormat/>
    <w:rsid w:val="006003AD"/>
    <w:rPr>
      <w:i/>
      <w:iCs/>
      <w:color w:val="0F4761" w:themeColor="accent1" w:themeShade="BF"/>
    </w:rPr>
  </w:style>
  <w:style w:type="paragraph" w:styleId="a8">
    <w:name w:val="Intense Quote"/>
    <w:basedOn w:val="a"/>
    <w:next w:val="a"/>
    <w:link w:val="Char2"/>
    <w:uiPriority w:val="30"/>
    <w:qFormat/>
    <w:rsid w:val="00600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003AD"/>
    <w:rPr>
      <w:i/>
      <w:iCs/>
      <w:color w:val="0F4761" w:themeColor="accent1" w:themeShade="BF"/>
    </w:rPr>
  </w:style>
  <w:style w:type="character" w:styleId="a9">
    <w:name w:val="Intense Reference"/>
    <w:basedOn w:val="a0"/>
    <w:uiPriority w:val="32"/>
    <w:qFormat/>
    <w:rsid w:val="006003AD"/>
    <w:rPr>
      <w:b/>
      <w:bCs/>
      <w:smallCaps/>
      <w:color w:val="0F4761" w:themeColor="accent1" w:themeShade="BF"/>
      <w:spacing w:val="5"/>
    </w:rPr>
  </w:style>
  <w:style w:type="character" w:customStyle="1" w:styleId="40">
    <w:name w:val="본문 텍스트 (4)_"/>
    <w:basedOn w:val="a0"/>
    <w:link w:val="41"/>
    <w:rsid w:val="006003AD"/>
    <w:rPr>
      <w:rFonts w:ascii="Arial" w:eastAsia="Arial" w:hAnsi="Arial" w:cs="Arial"/>
      <w:b/>
      <w:bCs/>
      <w:sz w:val="38"/>
      <w:szCs w:val="38"/>
    </w:rPr>
  </w:style>
  <w:style w:type="character" w:customStyle="1" w:styleId="aa">
    <w:name w:val="본문 텍스트_"/>
    <w:basedOn w:val="a0"/>
    <w:link w:val="ab"/>
    <w:rsid w:val="006003AD"/>
    <w:rPr>
      <w:rFonts w:ascii="Arial" w:eastAsia="Arial" w:hAnsi="Arial" w:cs="Arial"/>
      <w:sz w:val="19"/>
      <w:szCs w:val="19"/>
    </w:rPr>
  </w:style>
  <w:style w:type="character" w:customStyle="1" w:styleId="20">
    <w:name w:val="본문 텍스트 (2)_"/>
    <w:basedOn w:val="a0"/>
    <w:link w:val="21"/>
    <w:rsid w:val="006003AD"/>
    <w:rPr>
      <w:rFonts w:ascii="Arial" w:eastAsia="Arial" w:hAnsi="Arial" w:cs="Arial"/>
      <w:sz w:val="17"/>
      <w:szCs w:val="17"/>
    </w:rPr>
  </w:style>
  <w:style w:type="character" w:customStyle="1" w:styleId="30">
    <w:name w:val="본문 텍스트 (3)_"/>
    <w:basedOn w:val="a0"/>
    <w:link w:val="31"/>
    <w:rsid w:val="006003AD"/>
    <w:rPr>
      <w:rFonts w:ascii="Arial" w:eastAsia="Arial" w:hAnsi="Arial" w:cs="Arial"/>
      <w:i/>
      <w:iCs/>
      <w:color w:val="EBEBEB"/>
      <w:sz w:val="15"/>
      <w:szCs w:val="15"/>
    </w:rPr>
  </w:style>
  <w:style w:type="character" w:customStyle="1" w:styleId="10">
    <w:name w:val="머리글 #1_"/>
    <w:basedOn w:val="a0"/>
    <w:link w:val="11"/>
    <w:rsid w:val="006003AD"/>
    <w:rPr>
      <w:rFonts w:ascii="Arial" w:eastAsia="Arial" w:hAnsi="Arial" w:cs="Arial"/>
      <w:sz w:val="46"/>
      <w:szCs w:val="46"/>
    </w:rPr>
  </w:style>
  <w:style w:type="character" w:customStyle="1" w:styleId="22">
    <w:name w:val="머리글 또는 바닥글 (2)_"/>
    <w:basedOn w:val="a0"/>
    <w:link w:val="23"/>
    <w:rsid w:val="006003AD"/>
    <w:rPr>
      <w:rFonts w:ascii="Times New Roman" w:eastAsia="Times New Roman" w:hAnsi="Times New Roman" w:cs="Times New Roman"/>
      <w:szCs w:val="20"/>
    </w:rPr>
  </w:style>
  <w:style w:type="character" w:customStyle="1" w:styleId="ac">
    <w:name w:val="표 캡션_"/>
    <w:basedOn w:val="a0"/>
    <w:link w:val="ad"/>
    <w:rsid w:val="006003AD"/>
    <w:rPr>
      <w:rFonts w:ascii="Arial" w:eastAsia="Arial" w:hAnsi="Arial" w:cs="Arial"/>
      <w:sz w:val="19"/>
      <w:szCs w:val="19"/>
    </w:rPr>
  </w:style>
  <w:style w:type="character" w:customStyle="1" w:styleId="ae">
    <w:name w:val="기타_"/>
    <w:basedOn w:val="a0"/>
    <w:link w:val="af"/>
    <w:rsid w:val="006003AD"/>
    <w:rPr>
      <w:rFonts w:ascii="Arial" w:eastAsia="Arial" w:hAnsi="Arial" w:cs="Arial"/>
      <w:sz w:val="19"/>
      <w:szCs w:val="19"/>
    </w:rPr>
  </w:style>
  <w:style w:type="character" w:customStyle="1" w:styleId="af0">
    <w:name w:val="목차_"/>
    <w:basedOn w:val="a0"/>
    <w:link w:val="af1"/>
    <w:rsid w:val="006003AD"/>
    <w:rPr>
      <w:rFonts w:ascii="Arial" w:eastAsia="Arial" w:hAnsi="Arial" w:cs="Arial"/>
      <w:smallCaps/>
      <w:sz w:val="19"/>
      <w:szCs w:val="19"/>
    </w:rPr>
  </w:style>
  <w:style w:type="character" w:customStyle="1" w:styleId="24">
    <w:name w:val="머리글 번호 #2_"/>
    <w:basedOn w:val="a0"/>
    <w:link w:val="25"/>
    <w:rsid w:val="006003AD"/>
    <w:rPr>
      <w:rFonts w:ascii="Arial" w:eastAsia="Arial" w:hAnsi="Arial" w:cs="Arial"/>
      <w:sz w:val="22"/>
    </w:rPr>
  </w:style>
  <w:style w:type="character" w:customStyle="1" w:styleId="26">
    <w:name w:val="머리글 #2_"/>
    <w:basedOn w:val="a0"/>
    <w:link w:val="27"/>
    <w:rsid w:val="006003AD"/>
    <w:rPr>
      <w:rFonts w:ascii="Arial" w:eastAsia="Arial" w:hAnsi="Arial" w:cs="Arial"/>
      <w:sz w:val="22"/>
    </w:rPr>
  </w:style>
  <w:style w:type="paragraph" w:customStyle="1" w:styleId="41">
    <w:name w:val="본문 텍스트 (4)"/>
    <w:basedOn w:val="a"/>
    <w:link w:val="40"/>
    <w:rsid w:val="006003AD"/>
    <w:pPr>
      <w:spacing w:after="380"/>
      <w:ind w:firstLine="160"/>
    </w:pPr>
    <w:rPr>
      <w:rFonts w:ascii="Arial" w:eastAsia="Arial" w:hAnsi="Arial" w:cs="Arial"/>
      <w:b/>
      <w:bCs/>
      <w:color w:val="auto"/>
      <w:kern w:val="2"/>
      <w:sz w:val="38"/>
      <w:szCs w:val="38"/>
      <w:lang w:eastAsia="ko-KR"/>
    </w:rPr>
  </w:style>
  <w:style w:type="paragraph" w:customStyle="1" w:styleId="ab">
    <w:name w:val="본문 텍스트"/>
    <w:basedOn w:val="a"/>
    <w:link w:val="aa"/>
    <w:rsid w:val="006003AD"/>
    <w:pPr>
      <w:spacing w:after="460" w:line="379" w:lineRule="auto"/>
      <w:ind w:firstLine="20"/>
    </w:pPr>
    <w:rPr>
      <w:rFonts w:ascii="Arial" w:eastAsia="Arial" w:hAnsi="Arial" w:cs="Arial"/>
      <w:color w:val="auto"/>
      <w:kern w:val="2"/>
      <w:sz w:val="19"/>
      <w:szCs w:val="19"/>
      <w:lang w:eastAsia="ko-KR"/>
    </w:rPr>
  </w:style>
  <w:style w:type="paragraph" w:customStyle="1" w:styleId="21">
    <w:name w:val="본문 텍스트 (2)"/>
    <w:basedOn w:val="a"/>
    <w:link w:val="20"/>
    <w:rsid w:val="006003AD"/>
    <w:pPr>
      <w:spacing w:after="60" w:line="326" w:lineRule="auto"/>
    </w:pPr>
    <w:rPr>
      <w:rFonts w:ascii="Arial" w:eastAsia="Arial" w:hAnsi="Arial" w:cs="Arial"/>
      <w:color w:val="auto"/>
      <w:kern w:val="2"/>
      <w:sz w:val="17"/>
      <w:szCs w:val="17"/>
      <w:lang w:eastAsia="ko-KR"/>
    </w:rPr>
  </w:style>
  <w:style w:type="paragraph" w:customStyle="1" w:styleId="31">
    <w:name w:val="본문 텍스트 (3)"/>
    <w:basedOn w:val="a"/>
    <w:link w:val="30"/>
    <w:rsid w:val="006003AD"/>
    <w:pPr>
      <w:spacing w:after="60"/>
    </w:pPr>
    <w:rPr>
      <w:rFonts w:ascii="Arial" w:eastAsia="Arial" w:hAnsi="Arial" w:cs="Arial"/>
      <w:i/>
      <w:iCs/>
      <w:color w:val="EBEBEB"/>
      <w:kern w:val="2"/>
      <w:sz w:val="15"/>
      <w:szCs w:val="15"/>
      <w:lang w:eastAsia="ko-KR"/>
    </w:rPr>
  </w:style>
  <w:style w:type="paragraph" w:customStyle="1" w:styleId="11">
    <w:name w:val="머리글 #1"/>
    <w:basedOn w:val="a"/>
    <w:link w:val="10"/>
    <w:rsid w:val="006003AD"/>
    <w:pPr>
      <w:spacing w:after="290"/>
      <w:outlineLvl w:val="0"/>
    </w:pPr>
    <w:rPr>
      <w:rFonts w:ascii="Arial" w:eastAsia="Arial" w:hAnsi="Arial" w:cs="Arial"/>
      <w:color w:val="auto"/>
      <w:kern w:val="2"/>
      <w:sz w:val="46"/>
      <w:szCs w:val="46"/>
      <w:lang w:eastAsia="ko-KR"/>
    </w:rPr>
  </w:style>
  <w:style w:type="paragraph" w:customStyle="1" w:styleId="23">
    <w:name w:val="머리글 또는 바닥글 (2)"/>
    <w:basedOn w:val="a"/>
    <w:link w:val="22"/>
    <w:rsid w:val="006003AD"/>
    <w:rPr>
      <w:rFonts w:ascii="Times New Roman" w:eastAsia="Times New Roman" w:hAnsi="Times New Roman" w:cs="Times New Roman"/>
      <w:color w:val="auto"/>
      <w:kern w:val="2"/>
      <w:sz w:val="20"/>
      <w:szCs w:val="20"/>
      <w:lang w:eastAsia="ko-KR"/>
    </w:rPr>
  </w:style>
  <w:style w:type="paragraph" w:customStyle="1" w:styleId="ad">
    <w:name w:val="표 캡션"/>
    <w:basedOn w:val="a"/>
    <w:link w:val="ac"/>
    <w:rsid w:val="006003AD"/>
    <w:pPr>
      <w:spacing w:line="377" w:lineRule="auto"/>
      <w:ind w:left="140" w:hanging="140"/>
    </w:pPr>
    <w:rPr>
      <w:rFonts w:ascii="Arial" w:eastAsia="Arial" w:hAnsi="Arial" w:cs="Arial"/>
      <w:color w:val="auto"/>
      <w:kern w:val="2"/>
      <w:sz w:val="19"/>
      <w:szCs w:val="19"/>
      <w:lang w:eastAsia="ko-KR"/>
    </w:rPr>
  </w:style>
  <w:style w:type="paragraph" w:customStyle="1" w:styleId="af">
    <w:name w:val="기타"/>
    <w:basedOn w:val="a"/>
    <w:link w:val="ae"/>
    <w:rsid w:val="006003AD"/>
    <w:pPr>
      <w:spacing w:after="460" w:line="379" w:lineRule="auto"/>
      <w:ind w:firstLine="20"/>
    </w:pPr>
    <w:rPr>
      <w:rFonts w:ascii="Arial" w:eastAsia="Arial" w:hAnsi="Arial" w:cs="Arial"/>
      <w:color w:val="auto"/>
      <w:kern w:val="2"/>
      <w:sz w:val="19"/>
      <w:szCs w:val="19"/>
      <w:lang w:eastAsia="ko-KR"/>
    </w:rPr>
  </w:style>
  <w:style w:type="paragraph" w:customStyle="1" w:styleId="af1">
    <w:name w:val="목차"/>
    <w:basedOn w:val="a"/>
    <w:link w:val="af0"/>
    <w:rsid w:val="006003AD"/>
    <w:pPr>
      <w:ind w:firstLine="220"/>
    </w:pPr>
    <w:rPr>
      <w:rFonts w:ascii="Arial" w:eastAsia="Arial" w:hAnsi="Arial" w:cs="Arial"/>
      <w:smallCaps/>
      <w:color w:val="auto"/>
      <w:kern w:val="2"/>
      <w:sz w:val="19"/>
      <w:szCs w:val="19"/>
      <w:lang w:eastAsia="ko-KR"/>
    </w:rPr>
  </w:style>
  <w:style w:type="paragraph" w:customStyle="1" w:styleId="25">
    <w:name w:val="머리글 번호 #2"/>
    <w:basedOn w:val="a"/>
    <w:link w:val="24"/>
    <w:rsid w:val="006003AD"/>
    <w:pPr>
      <w:outlineLvl w:val="1"/>
    </w:pPr>
    <w:rPr>
      <w:rFonts w:ascii="Arial" w:eastAsia="Arial" w:hAnsi="Arial" w:cs="Arial"/>
      <w:color w:val="auto"/>
      <w:kern w:val="2"/>
      <w:sz w:val="22"/>
      <w:szCs w:val="22"/>
      <w:lang w:eastAsia="ko-KR"/>
    </w:rPr>
  </w:style>
  <w:style w:type="paragraph" w:customStyle="1" w:styleId="27">
    <w:name w:val="머리글 #2"/>
    <w:basedOn w:val="a"/>
    <w:link w:val="26"/>
    <w:rsid w:val="006003AD"/>
    <w:pPr>
      <w:spacing w:after="260"/>
      <w:outlineLvl w:val="1"/>
    </w:pPr>
    <w:rPr>
      <w:rFonts w:ascii="Arial" w:eastAsia="Arial" w:hAnsi="Arial" w:cs="Arial"/>
      <w:color w:val="auto"/>
      <w:kern w:val="2"/>
      <w:sz w:val="22"/>
      <w:szCs w:val="22"/>
      <w:lang w:eastAsia="ko-KR"/>
    </w:rPr>
  </w:style>
  <w:style w:type="paragraph" w:styleId="af2">
    <w:name w:val="header"/>
    <w:basedOn w:val="a"/>
    <w:link w:val="Char3"/>
    <w:uiPriority w:val="99"/>
    <w:unhideWhenUsed/>
    <w:rsid w:val="006003AD"/>
    <w:pPr>
      <w:tabs>
        <w:tab w:val="center" w:pos="4513"/>
        <w:tab w:val="right" w:pos="9026"/>
      </w:tabs>
      <w:snapToGrid w:val="0"/>
    </w:pPr>
  </w:style>
  <w:style w:type="character" w:customStyle="1" w:styleId="Char3">
    <w:name w:val="머리글 Char"/>
    <w:basedOn w:val="a0"/>
    <w:link w:val="af2"/>
    <w:uiPriority w:val="99"/>
    <w:rsid w:val="006003AD"/>
    <w:rPr>
      <w:rFonts w:ascii="새굴림" w:eastAsia="새굴림" w:hAnsi="새굴림" w:cs="새굴림"/>
      <w:color w:val="000000"/>
      <w:kern w:val="0"/>
      <w:sz w:val="24"/>
      <w:szCs w:val="24"/>
      <w:lang w:eastAsia="en-US"/>
    </w:rPr>
  </w:style>
  <w:style w:type="paragraph" w:styleId="af3">
    <w:name w:val="footer"/>
    <w:basedOn w:val="a"/>
    <w:link w:val="Char4"/>
    <w:uiPriority w:val="99"/>
    <w:unhideWhenUsed/>
    <w:rsid w:val="006003AD"/>
    <w:pPr>
      <w:tabs>
        <w:tab w:val="center" w:pos="4513"/>
        <w:tab w:val="right" w:pos="9026"/>
      </w:tabs>
      <w:snapToGrid w:val="0"/>
    </w:pPr>
  </w:style>
  <w:style w:type="character" w:customStyle="1" w:styleId="Char4">
    <w:name w:val="바닥글 Char"/>
    <w:basedOn w:val="a0"/>
    <w:link w:val="af3"/>
    <w:uiPriority w:val="99"/>
    <w:rsid w:val="006003AD"/>
    <w:rPr>
      <w:rFonts w:ascii="새굴림" w:eastAsia="새굴림" w:hAnsi="새굴림" w:cs="새굴림"/>
      <w:color w:val="000000"/>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3468</Words>
  <Characters>19772</Characters>
  <Application>Microsoft Office Word</Application>
  <DocSecurity>0</DocSecurity>
  <Lines>164</Lines>
  <Paragraphs>46</Paragraphs>
  <ScaleCrop>false</ScaleCrop>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SeungYeon Kim</dc:creator>
  <cp:keywords/>
  <dc:description/>
  <cp:lastModifiedBy>SeungYeon Kim</cp:lastModifiedBy>
  <cp:revision>1</cp:revision>
  <dcterms:created xsi:type="dcterms:W3CDTF">2024-05-23T01:45:00Z</dcterms:created>
  <dcterms:modified xsi:type="dcterms:W3CDTF">2024-05-23T01:47:00Z</dcterms:modified>
</cp:coreProperties>
</file>