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59A9C"/>
          <w:sz w:val="26"/>
        </w:rPr>
        <w:t>HISABDO WEB APP AI</w:t>
      </w:r>
    </w:p>
    <w:p>
      <w:pPr>
        <w:spacing w:before="160"/>
        <w:jc w:val="center"/>
      </w:pPr>
      <w:r>
        <w:rPr>
          <w:b/>
          <w:color w:val="17324D"/>
          <w:sz w:val="56"/>
        </w:rPr>
        <w:t>FastAPI AI Integration Blueprint</w:t>
      </w:r>
    </w:p>
    <w:p>
      <w:pPr>
        <w:jc w:val="center"/>
      </w:pPr>
      <w:r>
        <w:rPr>
          <w:color w:val="1F6E8C"/>
          <w:sz w:val="26"/>
        </w:rPr>
        <w:t>Implementation-ready service boundaries, contracts, controls and test plan</w:t>
      </w:r>
    </w:p>
    <w:p>
      <w:pPr>
        <w:spacing w:before="600"/>
        <w:jc w:val="center"/>
      </w:pPr>
      <w:r>
        <w:rPr>
          <w:sz w:val="20"/>
        </w:rPr>
        <w:t>Research cut-off: 20 August 2026</w:t>
        <w:br/>
        <w:t>Prepared for technical team / supervisor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SCOPE</w:t>
              <w:br/>
              <w:t>LLM • RAG • categorization</w:t>
            </w:r>
          </w:p>
        </w:tc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DECISION</w:t>
              <w:br/>
              <w:t>Capstone-first, production-aware</w:t>
            </w:r>
          </w:p>
        </w:tc>
        <w:tc>
          <w:tcPr>
            <w:tcW w:type="dxa" w:w="3408"/>
            <w:shd w:fill="EAF3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7324D"/>
              </w:rPr>
              <w:t>EVIDENCE</w:t>
              <w:br/>
              <w:t>Official sources preferred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1–2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Executive decision and HisabDo requirements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Major LLM/API comparison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RAG and embedding decision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Expense categorization decision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FastAPI architecture and contracts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7–10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7"/>
              </w:rPr>
              <w:t>Recommendations, cost, risk, stack and team actions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Appendices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Evaluation gates, decision record and references</w:t>
            </w:r>
          </w:p>
        </w:tc>
      </w:tr>
    </w:tbl>
    <w:p>
      <w:r>
        <w:t>Note: Microsoft Word can generate a live table of contents from the built-in Heading styles (References → Table of Contents).</w:t>
      </w:r>
    </w:p>
    <w:p>
      <w:pPr>
        <w:pStyle w:val="Heading1"/>
      </w:pPr>
      <w:r>
        <w:t>1. Target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7324D"/>
              </w:rPr>
              <w:t xml:space="preserve">Request path — </w:t>
            </w:r>
            <w:r>
              <w:t>Frontend → /v1 FastAPI router → authentication/rate limit → orchestrator → RAG/tool/classifier/provider adapter → semantic validation → typed response → redacted telemetry.</w:t>
            </w:r>
          </w:p>
        </w:tc>
      </w:tr>
    </w:tbl>
    <w:p>
      <w:pPr>
        <w:spacing w:after="0"/>
      </w:pPr>
    </w:p>
    <w:p>
      <w:pPr>
        <w:pStyle w:val="Heading2"/>
      </w:pPr>
      <w:r>
        <w:t>1.1 Suggested project structure</w:t>
      </w:r>
    </w:p>
    <w:p>
      <w:pPr>
        <w:pStyle w:val="IntenseQuote"/>
      </w:pPr>
      <w:r>
        <w:rPr>
          <w:rFonts w:ascii="Consolas" w:hAnsi="Consolas"/>
          <w:sz w:val="17"/>
        </w:rPr>
        <w:t>app/</w:t>
        <w:br/>
        <w:t xml:space="preserve">  main.py</w:t>
        <w:br/>
        <w:t xml:space="preserve">  api/v1/{assistant.py, expenses.py, feedback.py, health.py}</w:t>
        <w:br/>
        <w:t xml:space="preserve">  core/{config.py, security.py, errors.py, telemetry.py}</w:t>
        <w:br/>
        <w:t xml:space="preserve">  schemas/{assistant.py, expense.py, errors.py}</w:t>
        <w:br/>
        <w:t xml:space="preserve">  services/{assistant.py, rag.py, expense.py, validation.py}</w:t>
        <w:br/>
        <w:t xml:space="preserve">  providers/{base.py, openai_provider.py, gemini_provider.py, local_provider.py}</w:t>
        <w:br/>
        <w:t xml:space="preserve">  tools/{registry.py, balances.py, budgets.py, transactions.py}</w:t>
        <w:br/>
        <w:t xml:space="preserve">  repositories/{qdrant.py, knowledge.py}</w:t>
        <w:br/>
        <w:t xml:space="preserve">  ml/{pipeline.joblib, taxonomy.json, metadata.json}</w:t>
        <w:br/>
        <w:t xml:space="preserve">  tests/{contracts, unit, integration, safety, evals}/</w:t>
      </w:r>
    </w:p>
    <w:p>
      <w:pPr>
        <w:pStyle w:val="Heading1"/>
      </w:pPr>
      <w:r>
        <w:t>2.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Request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POST /v1/assistant/chat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message ≤ 4,000 chars; conversation_id?; locale; idempotency/request id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AssistantResponse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Authenticated; no provider fields exposed unless useful for audit.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POST /v1/assistant/chat/stream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Same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SSE events: meta, token, citation, final, error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Stream only after risk policy; final event contains validated object [S32].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POST /v1/expenses/categorize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description, merchant?, amount?, currency, channel?, debit_credit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ExpensePrediction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Batch endpoint may be added for imports.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POST /v1/feedback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request_id, rating, correction?, reason?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Accepted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No full transcript required by default.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GET /health/live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status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Process health only.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GET /health/ready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component readiness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5"/>
              </w:rPr>
              <w:t>Check loaded classifier and required dependencies without expensive provider generation.</w:t>
            </w:r>
          </w:p>
        </w:tc>
      </w:tr>
    </w:tbl>
    <w:p>
      <w:pPr>
        <w:pStyle w:val="Heading2"/>
      </w:pPr>
      <w:r>
        <w:t>2.1 Pydantic model sketch</w:t>
      </w:r>
    </w:p>
    <w:p>
      <w:pPr>
        <w:pStyle w:val="IntenseQuote"/>
      </w:pPr>
      <w:r>
        <w:rPr>
          <w:rFonts w:ascii="Consolas" w:hAnsi="Consolas"/>
          <w:sz w:val="14"/>
        </w:rPr>
        <w:t>from enum import Enum</w:t>
        <w:br/>
        <w:t>from pydantic import BaseModel, ConfigDict, Field</w:t>
        <w:br/>
        <w:br/>
        <w:t>class Intent(str, Enum):</w:t>
        <w:br/>
        <w:t xml:space="preserve">    app_help = "app_help"</w:t>
        <w:br/>
        <w:t xml:space="preserve">    education = "education"</w:t>
        <w:br/>
        <w:t xml:space="preserve">    account_query = "account_query"</w:t>
        <w:br/>
        <w:t xml:space="preserve">    high_risk = "high_risk"</w:t>
        <w:br/>
        <w:t xml:space="preserve">    unsupported = "unsupported"</w:t>
        <w:br/>
        <w:br/>
        <w:t>class Citation(BaseModel):</w:t>
        <w:br/>
        <w:t xml:space="preserve">    model_config = ConfigDict(extra="forbid")</w:t>
        <w:br/>
        <w:t xml:space="preserve">    document_id: str = Field(min_length=1, max_length=128)</w:t>
        <w:br/>
        <w:t xml:space="preserve">    chunk_id: str = Field(min_length=1, max_length=128)</w:t>
        <w:br/>
        <w:t xml:space="preserve">    title: str = Field(max_length=300)</w:t>
        <w:br/>
        <w:br/>
        <w:t>class AssistantResponse(BaseModel):</w:t>
        <w:br/>
        <w:t xml:space="preserve">    model_config = ConfigDict(extra="forbid")</w:t>
        <w:br/>
        <w:t xml:space="preserve">    answer: str = Field(min_length=1, max_length=8000)</w:t>
        <w:br/>
        <w:t xml:space="preserve">    intent: Intent</w:t>
        <w:br/>
        <w:t xml:space="preserve">    citations: list[Citation] = Field(max_length=12)</w:t>
        <w:br/>
        <w:t xml:space="preserve">    tool_results_used: list[str] = Field(max_length=10)</w:t>
        <w:br/>
        <w:t xml:space="preserve">    confidence: float = Field(ge=0, le=1)</w:t>
        <w:br/>
        <w:t xml:space="preserve">    needs_human_review: bool</w:t>
        <w:br/>
        <w:t xml:space="preserve">    disclaimer: str | None = Field(default=None, max_length=1000)</w:t>
        <w:br/>
        <w:t xml:space="preserve">    request_id: str</w:t>
      </w:r>
    </w:p>
    <w:p>
      <w:r>
        <w:t>Generate provider structured-output JSON Schema from the Pydantic model, then validate the returned object again. Pydantic can validate JSON and generate JSON Schema [S34]; provider schema compliance does not validate citations or financial meaning.</w:t>
      </w:r>
    </w:p>
    <w:p>
      <w:pPr>
        <w:pStyle w:val="Heading1"/>
      </w:pPr>
      <w:r>
        <w:t>3. Provider Adapter</w:t>
      </w:r>
    </w:p>
    <w:p>
      <w:pPr>
        <w:pStyle w:val="IntenseQuote"/>
      </w:pPr>
      <w:r>
        <w:rPr>
          <w:rFonts w:ascii="Consolas" w:hAnsi="Consolas"/>
          <w:sz w:val="16"/>
        </w:rPr>
        <w:t>class ChatProvider(Protocol):</w:t>
        <w:br/>
        <w:t xml:space="preserve">    async def generate(</w:t>
        <w:br/>
        <w:t xml:space="preserve">        self, *, messages, tools, output_schema, timeout_s, request_id</w:t>
        <w:br/>
        <w:t xml:space="preserve">    ) -&gt; ProviderResult: ...</w:t>
        <w:br/>
        <w:br/>
        <w:t>class ProviderResult(BaseModel):</w:t>
        <w:br/>
        <w:t xml:space="preserve">    parsed: dict</w:t>
        <w:br/>
        <w:t xml:space="preserve">    model: str</w:t>
        <w:br/>
        <w:t xml:space="preserve">    input_tokens: int | None</w:t>
        <w:br/>
        <w:t xml:space="preserve">    output_tokens: int | None</w:t>
        <w:br/>
        <w:t xml:space="preserve">    latency_ms: int</w:t>
        <w:br/>
        <w:t xml:space="preserve">    finish_reason: str | None</w:t>
        <w:br/>
        <w:t xml:space="preserve">    raw_request_id: str | None</w:t>
      </w:r>
    </w:p>
    <w:p>
      <w:pPr>
        <w:pStyle w:val="ListBullet"/>
      </w:pPr>
      <w:r>
        <w:t>Keep provider prompts and parsing inside each adapter; expose only internal messages, tools and schemas.</w:t>
      </w:r>
    </w:p>
    <w:p>
      <w:pPr>
        <w:pStyle w:val="ListBullet"/>
      </w:pPr>
      <w:r>
        <w:t>Normalize provider errors into timeout, rate_limited, unavailable, invalid_output, safety_refusal and authentication_error.</w:t>
      </w:r>
    </w:p>
    <w:p>
      <w:pPr>
        <w:pStyle w:val="ListBullet"/>
      </w:pPr>
      <w:r>
        <w:t>Configuration: PRIMARY_CHAT_PROVIDER, PRIMARY_CHAT_MODEL, SECONDARY_CHAT_PROVIDER, MAX_OUTPUT_TOKENS, TIMEOUT_SECONDS and monthly budget.</w:t>
      </w:r>
    </w:p>
    <w:p>
      <w:pPr>
        <w:pStyle w:val="ListBullet"/>
      </w:pPr>
      <w:r>
        <w:t>Use model aliases only in configuration. Record the actual returned model/version when the provider exposes it.</w:t>
      </w:r>
    </w:p>
    <w:p>
      <w:pPr>
        <w:pStyle w:val="ListBullet"/>
      </w:pPr>
      <w:r>
        <w:t>Do not automatically fail over after a provider may have executed a write tool. Recommended v1 tools are read-only.</w:t>
      </w:r>
    </w:p>
    <w:p>
      <w:pPr>
        <w:pStyle w:val="Heading1"/>
      </w:pPr>
      <w:r>
        <w:t>4. Assistant Orchestration</w:t>
      </w:r>
    </w:p>
    <w:p>
      <w:pPr>
        <w:pStyle w:val="ListNumber"/>
      </w:pPr>
      <w:r>
        <w:t>Validate input and authenticate user/tenant.</w:t>
      </w:r>
    </w:p>
    <w:p>
      <w:pPr>
        <w:pStyle w:val="ListNumber"/>
      </w:pPr>
      <w:r>
        <w:t>Redact or tokenize unnecessary identifiers; assign request_id.</w:t>
      </w:r>
    </w:p>
    <w:p>
      <w:pPr>
        <w:pStyle w:val="ListNumber"/>
      </w:pPr>
      <w:r>
        <w:t>Classify risk/intent with deterministic patterns plus small model/LLM only when needed.</w:t>
      </w:r>
    </w:p>
    <w:p>
      <w:pPr>
        <w:pStyle w:val="ListNumber"/>
      </w:pPr>
      <w:r>
        <w:t>For knowledge questions, retrieve from Qdrant with tenant, language, document status and version filters.</w:t>
      </w:r>
    </w:p>
    <w:p>
      <w:pPr>
        <w:pStyle w:val="ListNumber"/>
      </w:pPr>
      <w:r>
        <w:t>For account questions, expose narrowly scoped read-only functions such as get_budget_summary(start,end), list_recent_transactions(limit,filters) and calculate_spend_by_category(period).</w:t>
      </w:r>
    </w:p>
    <w:p>
      <w:pPr>
        <w:pStyle w:val="ListNumber"/>
      </w:pPr>
      <w:r>
        <w:t>Call the provider with a strict system policy, retrieved evidence, tool schema and AssistantResponse JSON Schema.</w:t>
      </w:r>
    </w:p>
    <w:p>
      <w:pPr>
        <w:pStyle w:val="ListNumber"/>
      </w:pPr>
      <w:r>
        <w:t>Validate tool arguments before execution; cap rows/date range and authorize every call independently.</w:t>
      </w:r>
    </w:p>
    <w:p>
      <w:pPr>
        <w:pStyle w:val="ListNumber"/>
      </w:pPr>
      <w:r>
        <w:t>Validate parsed output, citations, number provenance, disclaimer and risk policy. Retry repair once only if safe.</w:t>
      </w:r>
    </w:p>
    <w:p>
      <w:pPr>
        <w:pStyle w:val="ListNumber"/>
      </w:pPr>
      <w:r>
        <w:t>On failure, return retrieved excerpts/tool result in a deterministic template and a stable degraded flag.</w:t>
      </w:r>
    </w:p>
    <w:p>
      <w:pPr>
        <w:pStyle w:val="ListNumber"/>
      </w:pPr>
      <w:r>
        <w:t>Emit content-minimized telemetry and cost estimate; never log API keys, authorization headers or full account data.</w:t>
      </w:r>
    </w:p>
    <w:p>
      <w:pPr>
        <w:pStyle w:val="Heading1"/>
      </w:pPr>
      <w:r>
        <w:t>5. RAG Implementation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Implementation choice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Ingestion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Background job; approved document registry; heading-aware chunks; immutable document version.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Checksum, source, effective date, language, sensitivity.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Embedding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BGE-M3 local; batch encoding; fixed normalized vector configuration.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Model/hash/dimension stored in collection metadata.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Index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Qdrant collection alias knowledge_active; payload indexes for tenant/status/language.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Dimension/distance check; no cross-tenant query.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Retrieve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Dense top 20, optional sparse/BM25 fusion, rerank to 6.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Frozen relevance set; Recall@5/MRR.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Prompt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Quote chunk boundaries and IDs; state that documents are untrusted data.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Token budget; remove unsupported metadata.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Output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Citations must be subset of retrieved chunk IDs.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Citation precision and claim support review.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No-answer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Threshold + model abstention.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Measure false-answer rate separately.</w:t>
            </w:r>
          </w:p>
        </w:tc>
      </w:tr>
    </w:tbl>
    <w:p>
      <w:pPr>
        <w:pStyle w:val="Heading1"/>
      </w:pPr>
      <w:r>
        <w:t>6. Expense Service</w:t>
      </w:r>
    </w:p>
    <w:p>
      <w:pPr>
        <w:pStyle w:val="IntenseQuote"/>
      </w:pPr>
      <w:r>
        <w:rPr>
          <w:rFonts w:ascii="Consolas" w:hAnsi="Consolas"/>
          <w:sz w:val="15"/>
        </w:rPr>
        <w:t>def categorize(tx: ExpenseRequest) -&gt; ExpensePrediction:</w:t>
        <w:br/>
        <w:t xml:space="preserve">    # 1. user override / merchant rules</w:t>
        <w:br/>
        <w:t xml:space="preserve">    if rule_hit := rules.match(tx):</w:t>
        <w:br/>
        <w:t xml:space="preserve">        return prediction(rule_hit.category, 1.0, source="rule")</w:t>
        <w:br/>
        <w:t xml:space="preserve">    # 2. local pipeline: preprocessing + TF-IDF + LogisticRegression</w:t>
        <w:br/>
        <w:t xml:space="preserve">    probabilities = pipeline.predict_proba([feature_text(tx)])[0]</w:t>
        <w:br/>
        <w:t xml:space="preserve">    top = top_k(probabilities, k=3)</w:t>
        <w:br/>
        <w:t xml:space="preserve">    # 3. selective prediction</w:t>
        <w:br/>
        <w:t xml:space="preserve">    return ExpensePrediction(</w:t>
        <w:br/>
        <w:t xml:space="preserve">        category_id=top[0].label if top[0].score &gt;= threshold else "needs_review",</w:t>
        <w:br/>
        <w:t xml:space="preserve">        confidence=top[0].score, alternatives=top,</w:t>
        <w:br/>
        <w:t xml:space="preserve">        source="model", model_version=MODEL_VERSION,</w:t>
        <w:br/>
        <w:t xml:space="preserve">        needs_review=top[0].score &lt; threshold,</w:t>
        <w:br/>
        <w:t xml:space="preserve">    )</w:t>
      </w:r>
    </w:p>
    <w:p>
      <w:pPr>
        <w:pStyle w:val="ListBullet"/>
      </w:pPr>
      <w:r>
        <w:t>Load joblib artifact once during application lifespan; never unpickle an untrusted artifact.</w:t>
      </w:r>
    </w:p>
    <w:p>
      <w:pPr>
        <w:pStyle w:val="ListBullet"/>
      </w:pPr>
      <w:r>
        <w:t>Store taxonomy version, training data window/hash, package versions, threshold and metrics beside the artifact.</w:t>
      </w:r>
    </w:p>
    <w:p>
      <w:pPr>
        <w:pStyle w:val="ListBullet"/>
      </w:pPr>
      <w:r>
        <w:t>Return 503 readiness failure if the artifact cannot load; do not silently switch to random/LLM classification.</w:t>
      </w:r>
    </w:p>
    <w:p>
      <w:pPr>
        <w:pStyle w:val="ListBullet"/>
      </w:pPr>
      <w:r>
        <w:t>Corrections are events, not direct model mutations. Review and retrain offline; promote through a model registry or signed artifact process.</w:t>
      </w:r>
    </w:p>
    <w:p>
      <w:pPr>
        <w:pStyle w:val="Heading1"/>
      </w:pPr>
      <w:r>
        <w:t>7. Error and Fallback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Failure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API behavior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User-safe response</w:t>
            </w:r>
          </w:p>
        </w:tc>
        <w:tc>
          <w:tcPr>
            <w:tcW w:type="dxa" w:w="255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Operational action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Invalid input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422 structured validation error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Ask to correct the specific field.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Count only; no upstream call [S31].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Provider timeout/5xx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Retry once if safe, then degraded 200 or 503 by endpoint contract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Show retrieved/tool-backed answer or service-unavailable message.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Circuit breaker, alert on rate.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Provider 429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 retry storm; respect retry hint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Try later; optional configured secondary.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Quota/budget alert.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Malformed/schema-invalid output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One bounded repair; then fallback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Do not show raw model output.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Capture redacted failure category.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RAG unavailable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Skip KB claims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Account tools/FAQ link only; disclose temporary limitation.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Vector readiness alert.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Low retrieval evidence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No generation of KB claim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“I could not find this in the approved knowledge base.”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Add query to evaluation backlog.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Expense confidence low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Return needs_review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Ask user to select among top categories.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Store correction after consent.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Classifier missing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503 categorize endpoint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Categorization temporarily unavailable.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Fail readiness; rollback artifact.</w:t>
            </w:r>
          </w:p>
        </w:tc>
      </w:tr>
    </w:tbl>
    <w:p>
      <w:pPr>
        <w:pStyle w:val="Heading1"/>
      </w:pPr>
      <w:r>
        <w:t>8. Security and Privacy Checklist</w:t>
      </w:r>
    </w:p>
    <w:p>
      <w:pPr>
        <w:pStyle w:val="ListBullet"/>
      </w:pPr>
      <w:r>
        <w:t>Keys only on server; secret manager/environment injection; rotate and scope; egress allow-list to selected providers.</w:t>
      </w:r>
    </w:p>
    <w:p>
      <w:pPr>
        <w:pStyle w:val="ListBullet"/>
      </w:pPr>
      <w:r>
        <w:t>JWT/OAuth2 scopes and independent authorization at every tool/repository call; FastAPI documents scope validation [S33].</w:t>
      </w:r>
    </w:p>
    <w:p>
      <w:pPr>
        <w:pStyle w:val="ListBullet"/>
      </w:pPr>
      <w:r>
        <w:t>Per-tenant filters are mandatory server-side parameters, never model-supplied values.</w:t>
      </w:r>
    </w:p>
    <w:p>
      <w:pPr>
        <w:pStyle w:val="ListBullet"/>
      </w:pPr>
      <w:r>
        <w:t>Prompt injection tests for user text and retrieved documents; tool names/arguments allow-listed; no arbitrary SQL or URLs.</w:t>
      </w:r>
    </w:p>
    <w:p>
      <w:pPr>
        <w:pStyle w:val="ListBullet"/>
      </w:pPr>
      <w:r>
        <w:t>Maximum body, message, history, retrieval, tool-result and output sizes; MIME allow-list and malware scan for future uploads.</w:t>
      </w:r>
    </w:p>
    <w:p>
      <w:pPr>
        <w:pStyle w:val="ListBullet"/>
      </w:pPr>
      <w:r>
        <w:t>Use paid/commercial API terms for personal data; document provider region, retention and ZDR eligibility [S3,S10,S11,S15].</w:t>
      </w:r>
    </w:p>
    <w:p>
      <w:pPr>
        <w:pStyle w:val="ListBullet"/>
      </w:pPr>
      <w:r>
        <w:t>Log request metadata, not raw financial content. Hash stable identifiers with a rotated secret if correlation is needed.</w:t>
      </w:r>
    </w:p>
    <w:p>
      <w:pPr>
        <w:pStyle w:val="ListBullet"/>
      </w:pPr>
      <w:r>
        <w:t>Encrypt in transit and at rest; define deletion, backup and incident-response procedures; perform dependency/SBOM scans.</w:t>
      </w:r>
    </w:p>
    <w:p>
      <w:pPr>
        <w:pStyle w:val="Heading1"/>
      </w:pPr>
      <w:r>
        <w:t>9. Test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Test class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Pass condition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Unit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Pydantic bounds, rules, normalization, confidence threshold, citation subset.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Deterministic; branch coverage on critical validators.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Contract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Each provider adapter against recorded/sandbox responses; OpenAPI snapshot.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Same internal result/error types.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Integration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FastAPI + Qdrant + mock provider + model artifact.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End-to-end IDs, filters, fallbacks and statuses.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Safety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Prompt injection, high-risk advice, unauthorized tool, fabricated citation.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No dangerous action/claim; correct escalation.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Log inspection, headers, exception paths, feedback.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No secret/financial content outside approved storage.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Load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Assistant concurrency, categorize batch, Qdrant search.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p95 SLO and bounded resources; no retry amplification.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Evaluation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Frozen assistant/RAG/expense datasets.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Meets release gates; report archived with model/prompt/index versions.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Chaos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Provider timeout/429/5xx, Qdrant down, bad artifact.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Stable fallback/error contract and readiness behavior.</w:t>
            </w:r>
          </w:p>
        </w:tc>
      </w:tr>
    </w:tbl>
    <w:p>
      <w:pPr>
        <w:pStyle w:val="Heading1"/>
      </w:pPr>
      <w:r>
        <w:t>10. Delivery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34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4"/>
              </w:rPr>
              <w:t>Exit evidence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Contracts, taxonomy, policies, evaluation sets, local stack.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Reviewed schemas and frozen test assets.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Expense baseline + feedback endpoint.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Metrics, confusion matrix, threshold/coverage report.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BGE-M3/Qdrant ingestion and retrieval.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Recall@k/MRR and multilingual slice report.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GPT-5.6 Luna adapter, read-only tools, validators, fallback.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Assistant safety/quality/latency/cost report.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Gemini/Mistral challenger evaluation; hardening.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Paired comparison, security checklist, ADR.</w:t>
            </w:r>
          </w:p>
        </w:tc>
      </w:tr>
      <w:t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Pilot deployment and supervisor demo.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20"/>
            </w:pPr>
            <w:r>
              <w:rPr>
                <w:sz w:val="14"/>
              </w:rPr>
              <w:t>Runbook, architecture diagram, monitored demo and rollback.</w:t>
            </w:r>
          </w:p>
        </w:tc>
      </w:tr>
    </w:tbl>
    <w:p>
      <w:pPr>
        <w:pStyle w:val="Heading1"/>
      </w:pPr>
      <w:r>
        <w:t>Recommendation for HisabDo Team</w:t>
      </w:r>
    </w:p>
    <w:p>
      <w:r>
        <w:t>Implement one well-tested primary path first: GPT-5.6 Luna through a ChatProvider adapter, local BGE-M3/Qdrant retrieval, and an in-process TF-IDF Logistic Regression categorizer. Keep all account truth in deterministic, authorized tools. Add paid Gemini 3.1 Flash-Lite only after contract and evaluation tests pass; preserve a deterministic no-LLM fallback.</w:t>
      </w:r>
    </w:p>
    <w:p>
      <w:pPr>
        <w:pStyle w:val="Heading1"/>
      </w:pPr>
      <w:r>
        <w:t>References</w:t>
      </w:r>
    </w:p>
    <w:p>
      <w:pPr>
        <w:ind w:left="216" w:hanging="216"/>
      </w:pPr>
      <w:r>
        <w:rPr>
          <w:b/>
        </w:rPr>
        <w:t xml:space="preserve">[S1] OpenAI — Models overview (GPT-5.6 family, context, tools, prices). </w:t>
      </w:r>
      <w:r>
        <w:t>https://platform.openai.com/docs/models</w:t>
      </w:r>
    </w:p>
    <w:p>
      <w:pPr>
        <w:ind w:left="216" w:hanging="216"/>
      </w:pPr>
      <w:r>
        <w:rPr>
          <w:b/>
        </w:rPr>
        <w:t xml:space="preserve">[S2] OpenAI — Structured model outputs. </w:t>
      </w:r>
      <w:r>
        <w:t>https://platform.openai.com/docs/guides/structured-outputs</w:t>
      </w:r>
    </w:p>
    <w:p>
      <w:pPr>
        <w:ind w:left="216" w:hanging="216"/>
      </w:pPr>
      <w:r>
        <w:rPr>
          <w:b/>
        </w:rPr>
        <w:t xml:space="preserve">[S3] OpenAI — API data controls and retention. </w:t>
      </w:r>
      <w:r>
        <w:t>https://platform.openai.com/docs/guides/your-data</w:t>
      </w:r>
    </w:p>
    <w:p>
      <w:pPr>
        <w:ind w:left="216" w:hanging="216"/>
      </w:pPr>
      <w:r>
        <w:rPr>
          <w:b/>
        </w:rPr>
        <w:t xml:space="preserve">[S6] Google — Gemini Developer API pricing. </w:t>
      </w:r>
      <w:r>
        <w:t>https://ai.google.dev/gemini-api/docs/pricing</w:t>
      </w:r>
    </w:p>
    <w:p>
      <w:pPr>
        <w:ind w:left="216" w:hanging="216"/>
      </w:pPr>
      <w:r>
        <w:rPr>
          <w:b/>
        </w:rPr>
        <w:t xml:space="preserve">[S7] Google — Gemini 3.1 Flash-Lite model page. </w:t>
      </w:r>
      <w:r>
        <w:t>https://ai.google.dev/gemini-api/docs/models/gemini-3.1-flash-lite</w:t>
      </w:r>
    </w:p>
    <w:p>
      <w:pPr>
        <w:ind w:left="216" w:hanging="216"/>
      </w:pPr>
      <w:r>
        <w:rPr>
          <w:b/>
        </w:rPr>
        <w:t xml:space="preserve">[S10] Google — Gemini API Additional Terms (data use). </w:t>
      </w:r>
      <w:r>
        <w:t>https://ai.google.dev/gemini-api/terms</w:t>
      </w:r>
    </w:p>
    <w:p>
      <w:pPr>
        <w:ind w:left="216" w:hanging="216"/>
      </w:pPr>
      <w:r>
        <w:rPr>
          <w:b/>
        </w:rPr>
        <w:t xml:space="preserve">[S11] Google — Gemini Developer API zero data retention. </w:t>
      </w:r>
      <w:r>
        <w:t>https://ai.google.dev/gemini-api/docs/zdr</w:t>
      </w:r>
    </w:p>
    <w:p>
      <w:pPr>
        <w:ind w:left="216" w:hanging="216"/>
      </w:pPr>
      <w:r>
        <w:rPr>
          <w:b/>
        </w:rPr>
        <w:t xml:space="preserve">[S15] Anthropic — API and data retention. </w:t>
      </w:r>
      <w:r>
        <w:t>https://docs.anthropic.com/en/docs/build-with-claude/zero-data-retention</w:t>
      </w:r>
    </w:p>
    <w:p>
      <w:pPr>
        <w:ind w:left="216" w:hanging="216"/>
      </w:pPr>
      <w:r>
        <w:rPr>
          <w:b/>
        </w:rPr>
        <w:t xml:space="preserve">[S19] Qwen — Function calling documentation. </w:t>
      </w:r>
      <w:r>
        <w:t>https://qwen.readthedocs.io/en/latest/framework/function_call.html</w:t>
      </w:r>
    </w:p>
    <w:p>
      <w:pPr>
        <w:ind w:left="216" w:hanging="216"/>
      </w:pPr>
      <w:r>
        <w:rPr>
          <w:b/>
        </w:rPr>
        <w:t xml:space="preserve">[S20] Qwen — Qwen3 quickstart and OpenAI-compatible serving. </w:t>
      </w:r>
      <w:r>
        <w:t>https://qwen.readthedocs.io/en/latest/getting_started/quickstart.html</w:t>
      </w:r>
    </w:p>
    <w:p>
      <w:pPr>
        <w:ind w:left="216" w:hanging="216"/>
      </w:pPr>
      <w:r>
        <w:rPr>
          <w:b/>
        </w:rPr>
        <w:t xml:space="preserve">[S26] BAAI — BGE-M3 model card. </w:t>
      </w:r>
      <w:r>
        <w:t>https://huggingface.co/BAAI/bge-m3</w:t>
      </w:r>
    </w:p>
    <w:p>
      <w:pPr>
        <w:ind w:left="216" w:hanging="216"/>
      </w:pPr>
      <w:r>
        <w:rPr>
          <w:b/>
        </w:rPr>
        <w:t xml:space="preserve">[S30] Qdrant — Managed Cloud and free-tier details. </w:t>
      </w:r>
      <w:r>
        <w:t>https://qdrant.tech/cloud/</w:t>
      </w:r>
    </w:p>
    <w:p>
      <w:pPr>
        <w:ind w:left="216" w:hanging="216"/>
      </w:pPr>
      <w:r>
        <w:rPr>
          <w:b/>
        </w:rPr>
        <w:t xml:space="preserve">[S31] FastAPI — Handling errors. </w:t>
      </w:r>
      <w:r>
        <w:t>https://fastapi.tiangolo.com/tutorial/handling-errors/</w:t>
      </w:r>
    </w:p>
    <w:p>
      <w:pPr>
        <w:ind w:left="216" w:hanging="216"/>
      </w:pPr>
      <w:r>
        <w:rPr>
          <w:b/>
        </w:rPr>
        <w:t xml:space="preserve">[S32] FastAPI — Server-Sent Events. </w:t>
      </w:r>
      <w:r>
        <w:t>https://fastapi.tiangolo.com/tutorial/server-sent-events/</w:t>
      </w:r>
    </w:p>
    <w:p>
      <w:pPr>
        <w:ind w:left="216" w:hanging="216"/>
      </w:pPr>
      <w:r>
        <w:rPr>
          <w:b/>
        </w:rPr>
        <w:t xml:space="preserve">[S33] FastAPI — OAuth2 scopes. </w:t>
      </w:r>
      <w:r>
        <w:t>https://fastapi.tiangolo.com/advanced/security/oauth2-scopes/</w:t>
      </w:r>
    </w:p>
    <w:p>
      <w:pPr>
        <w:ind w:left="216" w:hanging="216"/>
      </w:pPr>
      <w:r>
        <w:rPr>
          <w:b/>
        </w:rPr>
        <w:t xml:space="preserve">[S34] Pydantic — TypeAdapter validation and JSON schema. </w:t>
      </w:r>
      <w:r>
        <w:t>https://docs.pydantic.dev/latest/api/type_adapter/</w:t>
      </w:r>
    </w:p>
    <w:p>
      <w:pPr>
        <w:ind w:left="216" w:hanging="216"/>
      </w:pPr>
      <w:r>
        <w:rPr>
          <w:b/>
        </w:rPr>
        <w:t xml:space="preserve">[S35] scikit-learn — Working with text data and evaluation. </w:t>
      </w:r>
      <w:r>
        <w:t>https://scikit-learn.org/stable/tutorial/text_analytics/working_with_text_data.html</w:t>
      </w:r>
    </w:p>
    <w:p>
      <w:pPr>
        <w:ind w:left="216" w:hanging="216"/>
      </w:pPr>
      <w:r>
        <w:rPr>
          <w:b/>
        </w:rPr>
        <w:t xml:space="preserve">[S36] scikit-learn — F1 score. </w:t>
      </w:r>
      <w:r>
        <w:t>https://scikit-learn.org/stable/modules/generated/sklearn.metrics.f1_score.html</w:t>
      </w:r>
    </w:p>
    <w:p>
      <w:pPr>
        <w:pStyle w:val="Callout"/>
      </w:pPr>
      <w:r>
        <w:t>All web sources were checked for this report on 20 August 2026. Prices, model aliases, previews, quotas, regional availability and retention terms can change; verify official pages immediately before implementation or procurement.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6E8C"/>
        <w:sz w:val="16"/>
      </w:rPr>
      <w:t xml:space="preserve">HisabDo • Research cut-off 20 August 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6E8C"/>
        <w:sz w:val="16"/>
      </w:rPr>
      <w:t>HisabDo AI — Technical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9A9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9" w:right="259"/>
    </w:pPr>
    <w:rPr>
      <w:rFonts w:ascii="Aptos" w:hAnsi="Aptos"/>
      <w:b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