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Calibri" w:cs="Calibri" w:eastAsia="Calibri" w:hAnsi="Calibri"/>
          <w:b/>
          <w:bCs/>
          <w:color w:val="1A3C5E"/>
          <w:sz w:val="64"/>
          <w:szCs w:val="64"/>
        </w:rPr>
        <w:t xml:space="preserve">neooverse</w:t>
      </w:r>
    </w:p>
    <w:p>
      <w:pPr>
        <w:pBdr>
          <w:bottom w:val="single" w:color="2E86C1" w:sz="8"/>
        </w:pBdr>
        <w:spacing w:after="80" w:before="0"/>
      </w:pPr>
      <w:r>
        <w:rPr>
          <w:rFonts w:ascii="Calibri" w:cs="Calibri" w:eastAsia="Calibri" w:hAnsi="Calibri"/>
          <w:color w:val="2E86C1"/>
          <w:sz w:val="24"/>
          <w:szCs w:val="24"/>
        </w:rPr>
        <w:t xml:space="preserve">Platform Terms &amp; Conditions — RAG-Optimized Policy Reference</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Document Type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Terms &amp; Conditions / Platform Usage Policy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Platform Name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neooverse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Target Audience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B2B Clients and their end-users (age 18+)</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Governing Law</w:t>
            </w:r>
          </w:p>
        </w:tc>
        <w:tc>
          <w:tcPr>
            <w:tcW w:type="dxa" w:w="656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Laws of the United Arab Emirates (UAE)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Jurisdiction</w:t>
            </w:r>
          </w:p>
        </w:tc>
        <w:tc>
          <w:tcPr>
            <w:tcW w:type="dxa" w:w="656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Courts of the UAE (exclusive)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Service Model</w:t>
            </w:r>
          </w:p>
        </w:tc>
        <w:tc>
          <w:tcPr>
            <w:tcW w:type="dxa" w:w="656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As-Is / As-Available — no SLA or uptime guarantee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AI Component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neooAI Persona — for informational use only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Data Residency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Recordings saved locally; neooverse holds no access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Liability Cap</w:t>
            </w:r>
          </w:p>
        </w:tc>
        <w:tc>
          <w:tcPr>
            <w:tcW w:type="dxa" w:w="656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No indirect, incidental, or consequential damages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Refund Policy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No refunds upon termination for cause</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1 — Eligibility</w:t>
      </w:r>
    </w:p>
    <w:p>
      <w:pPr>
        <w:spacing w:after="80" w:before="80"/>
      </w:pPr>
      <w:r>
        <w:rPr>
          <w:rFonts w:ascii="Calibri" w:cs="Calibri" w:eastAsia="Calibri" w:hAnsi="Calibri"/>
          <w:color w:val="1C2833"/>
          <w:sz w:val="20"/>
          <w:szCs w:val="20"/>
        </w:rPr>
        <w:t xml:space="preserve">neooverse is a professional, business-to-business (B2B) platform. Access is restricted to individuals who satisfy both of the following conditions.</w:t>
      </w:r>
    </w:p>
    <w:p>
      <w:pPr>
        <w:spacing w:after="60" w:before="0"/>
      </w:pPr>
      <w:r>
        <w:rPr>
          <w:rFonts w:ascii="Calibri" w:cs="Calibri" w:eastAsia="Calibri" w:hAnsi="Calibri"/>
        </w:rPr>
        <w:t xml:space="preserve"/>
      </w:r>
    </w:p>
    <w:p>
      <w:pPr>
        <w:pStyle w:val="ListParagraph"/>
        <w:numPr>
          <w:ilvl w:val="0"/>
          <w:numId w:val="2"/>
        </w:numPr>
        <w:spacing w:after="60" w:before="60"/>
      </w:pPr>
      <w:r>
        <w:rPr>
          <w:rFonts w:ascii="Calibri" w:cs="Calibri" w:eastAsia="Calibri" w:hAnsi="Calibri"/>
          <w:b/>
          <w:bCs/>
          <w:color w:val="1A3C5E"/>
          <w:sz w:val="20"/>
          <w:szCs w:val="20"/>
        </w:rPr>
        <w:t xml:space="preserve">Age Requirement:</w:t>
      </w:r>
      <w:r>
        <w:rPr>
          <w:rFonts w:ascii="Calibri" w:cs="Calibri" w:eastAsia="Calibri" w:hAnsi="Calibri"/>
          <w:sz w:val="20"/>
          <w:szCs w:val="20"/>
        </w:rPr>
        <w:t xml:space="preserve">  </w:t>
      </w:r>
      <w:r>
        <w:rPr>
          <w:rFonts w:ascii="Calibri" w:cs="Calibri" w:eastAsia="Calibri" w:hAnsi="Calibri"/>
          <w:color w:val="1C2833"/>
          <w:sz w:val="20"/>
          <w:szCs w:val="20"/>
        </w:rPr>
        <w:t xml:space="preserve">The user must be at least 18 years of age at the time of account creation and throughout the period of use.</w:t>
      </w:r>
      <w:r>
        <w:rPr>
          <w:rFonts w:ascii="Calibri" w:cs="Calibri" w:eastAsia="Calibri" w:hAnsi="Calibri"/>
          <w:i/>
          <w:iCs/>
          <w:color w:val="5D6D7E"/>
          <w:sz w:val="18"/>
          <w:szCs w:val="18"/>
        </w:rPr>
        <w:t xml:space="preserve">  [Ref: SEC-1-AGE]</w:t>
      </w:r>
    </w:p>
    <w:p>
      <w:pPr>
        <w:pStyle w:val="ListParagraph"/>
        <w:numPr>
          <w:ilvl w:val="0"/>
          <w:numId w:val="2"/>
        </w:numPr>
        <w:spacing w:after="60" w:before="60"/>
      </w:pPr>
      <w:r>
        <w:rPr>
          <w:rFonts w:ascii="Calibri" w:cs="Calibri" w:eastAsia="Calibri" w:hAnsi="Calibri"/>
          <w:b/>
          <w:bCs/>
          <w:color w:val="1A3C5E"/>
          <w:sz w:val="20"/>
          <w:szCs w:val="20"/>
        </w:rPr>
        <w:t xml:space="preserve">Legal Capacity:</w:t>
      </w:r>
      <w:r>
        <w:rPr>
          <w:rFonts w:ascii="Calibri" w:cs="Calibri" w:eastAsia="Calibri" w:hAnsi="Calibri"/>
          <w:sz w:val="20"/>
          <w:szCs w:val="20"/>
        </w:rPr>
        <w:t xml:space="preserve">  </w:t>
      </w:r>
      <w:r>
        <w:rPr>
          <w:rFonts w:ascii="Calibri" w:cs="Calibri" w:eastAsia="Calibri" w:hAnsi="Calibri"/>
          <w:color w:val="1C2833"/>
          <w:sz w:val="20"/>
          <w:szCs w:val="20"/>
        </w:rPr>
        <w:t xml:space="preserve">The user must possess the legal capacity to enter into binding agreements under applicable law.</w:t>
      </w:r>
      <w:r>
        <w:rPr>
          <w:rFonts w:ascii="Calibri" w:cs="Calibri" w:eastAsia="Calibri" w:hAnsi="Calibri"/>
          <w:i/>
          <w:iCs/>
          <w:color w:val="5D6D7E"/>
          <w:sz w:val="18"/>
          <w:szCs w:val="18"/>
        </w:rPr>
        <w:t xml:space="preserve">  [Ref: SEC-1-CAPACITY]</w:t>
      </w:r>
    </w:p>
    <w:p>
      <w:pPr>
        <w:pStyle w:val="ListParagraph"/>
        <w:numPr>
          <w:ilvl w:val="0"/>
          <w:numId w:val="2"/>
        </w:numPr>
        <w:spacing w:after="60" w:before="60"/>
      </w:pPr>
      <w:r>
        <w:rPr>
          <w:rFonts w:ascii="Calibri" w:cs="Calibri" w:eastAsia="Calibri" w:hAnsi="Calibri"/>
          <w:b/>
          <w:bCs/>
          <w:color w:val="1A3C5E"/>
          <w:sz w:val="20"/>
          <w:szCs w:val="20"/>
        </w:rPr>
        <w:t xml:space="preserve">B2B Context:</w:t>
      </w:r>
      <w:r>
        <w:rPr>
          <w:rFonts w:ascii="Calibri" w:cs="Calibri" w:eastAsia="Calibri" w:hAnsi="Calibri"/>
          <w:sz w:val="20"/>
          <w:szCs w:val="20"/>
        </w:rPr>
        <w:t xml:space="preserve">  </w:t>
      </w:r>
      <w:r>
        <w:rPr>
          <w:rFonts w:ascii="Calibri" w:cs="Calibri" w:eastAsia="Calibri" w:hAnsi="Calibri"/>
          <w:color w:val="1C2833"/>
          <w:sz w:val="20"/>
          <w:szCs w:val="20"/>
        </w:rPr>
        <w:t xml:space="preserve">The platform is intended for professional and corporate use, not for individual consumer purposes.</w:t>
      </w:r>
      <w:r>
        <w:rPr>
          <w:rFonts w:ascii="Calibri" w:cs="Calibri" w:eastAsia="Calibri" w:hAnsi="Calibri"/>
          <w:i/>
          <w:iCs/>
          <w:color w:val="5D6D7E"/>
          <w:sz w:val="18"/>
          <w:szCs w:val="18"/>
        </w:rPr>
        <w:t xml:space="preserve">  [Ref: SEC-1-B2B]</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20"/>
              <w:left w:type="dxa" w:w="200"/>
              <w:bottom w:type="dxa" w:w="120"/>
              <w:right w:type="dxa" w:w="200"/>
            </w:tcMar>
          </w:tcPr>
          <w:p>
            <w:pPr>
              <w:spacing w:after="60" w:before="0"/>
            </w:pPr>
            <w:r>
              <w:rPr>
                <w:rFonts w:ascii="Calibri" w:cs="Calibri" w:eastAsia="Calibri" w:hAnsi="Calibri"/>
                <w:b/>
                <w:bCs/>
                <w:color w:val="1A3C5E"/>
                <w:sz w:val="19"/>
                <w:szCs w:val="19"/>
              </w:rPr>
              <w:t xml:space="preserve">RAG Key Facts — Eligibility</w:t>
            </w:r>
          </w:p>
          <w:p>
            <w:pPr>
              <w:spacing w:after="40" w:before="0"/>
            </w:pPr>
            <w:r>
              <w:rPr>
                <w:rFonts w:ascii="Calibri" w:cs="Calibri" w:eastAsia="Calibri" w:hAnsi="Calibri"/>
                <w:color w:val="1C2833"/>
                <w:sz w:val="19"/>
                <w:szCs w:val="19"/>
              </w:rPr>
              <w:t xml:space="preserve">Minimum age: 18 years.</w:t>
            </w:r>
          </w:p>
          <w:p>
            <w:pPr>
              <w:spacing w:after="40" w:before="0"/>
            </w:pPr>
            <w:r>
              <w:rPr>
                <w:rFonts w:ascii="Calibri" w:cs="Calibri" w:eastAsia="Calibri" w:hAnsi="Calibri"/>
                <w:color w:val="1C2833"/>
                <w:sz w:val="19"/>
                <w:szCs w:val="19"/>
              </w:rPr>
              <w:t xml:space="preserve">Legal capacity to contract is mandatory.</w:t>
            </w:r>
          </w:p>
          <w:p>
            <w:pPr>
              <w:spacing w:after="40" w:before="0"/>
            </w:pPr>
            <w:r>
              <w:rPr>
                <w:rFonts w:ascii="Calibri" w:cs="Calibri" w:eastAsia="Calibri" w:hAnsi="Calibri"/>
                <w:color w:val="1C2833"/>
                <w:sz w:val="19"/>
                <w:szCs w:val="19"/>
              </w:rPr>
              <w:t xml:space="preserve">Intended use: professional / B2B only.</w:t>
            </w:r>
          </w:p>
          <w:p>
            <w:pPr>
              <w:spacing w:after="40" w:before="0"/>
            </w:pPr>
            <w:r>
              <w:rPr>
                <w:rFonts w:ascii="Calibri" w:cs="Calibri" w:eastAsia="Calibri" w:hAnsi="Calibri"/>
                <w:color w:val="1C2833"/>
                <w:sz w:val="19"/>
                <w:szCs w:val="19"/>
              </w:rPr>
              <w:t xml:space="preserve">By using the platform, users represent and warrant compliance with these conditions.</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2 — Nature of Service (No Guarantees)</w:t>
      </w:r>
    </w:p>
    <w:p>
      <w:pPr>
        <w:spacing w:after="80" w:before="80"/>
      </w:pPr>
      <w:r>
        <w:rPr>
          <w:rFonts w:ascii="Calibri" w:cs="Calibri" w:eastAsia="Calibri" w:hAnsi="Calibri"/>
          <w:color w:val="1C2833"/>
          <w:sz w:val="20"/>
          <w:szCs w:val="20"/>
        </w:rPr>
        <w:t xml:space="preserve">neooverse is provided strictly on an 'as-is' and 'as-available' basis. To the maximum extent permitted by UAE law, all warranties — express or implied — are disclaimed.</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2.1  As-Is Provision</w:t>
      </w:r>
    </w:p>
    <w:p>
      <w:pPr>
        <w:pStyle w:val="ListParagraph"/>
        <w:numPr>
          <w:ilvl w:val="0"/>
          <w:numId w:val="2"/>
        </w:numPr>
        <w:spacing w:after="60" w:before="60"/>
      </w:pPr>
      <w:r>
        <w:rPr>
          <w:rFonts w:ascii="Calibri" w:cs="Calibri" w:eastAsia="Calibri" w:hAnsi="Calibri"/>
          <w:b/>
          <w:bCs/>
          <w:color w:val="1A3C5E"/>
          <w:sz w:val="20"/>
          <w:szCs w:val="20"/>
        </w:rPr>
        <w:t xml:space="preserve">No Warranty:</w:t>
      </w:r>
      <w:r>
        <w:rPr>
          <w:rFonts w:ascii="Calibri" w:cs="Calibri" w:eastAsia="Calibri" w:hAnsi="Calibri"/>
          <w:sz w:val="20"/>
          <w:szCs w:val="20"/>
        </w:rPr>
        <w:t xml:space="preserve">  </w:t>
      </w:r>
      <w:r>
        <w:rPr>
          <w:rFonts w:ascii="Calibri" w:cs="Calibri" w:eastAsia="Calibri" w:hAnsi="Calibri"/>
          <w:color w:val="1C2833"/>
          <w:sz w:val="20"/>
          <w:szCs w:val="20"/>
        </w:rPr>
        <w:t xml:space="preserve">neooverse makes no representation that the platform will meet any specific standard of quality, fitness, or merchantability.</w:t>
      </w:r>
      <w:r>
        <w:rPr>
          <w:rFonts w:ascii="Calibri" w:cs="Calibri" w:eastAsia="Calibri" w:hAnsi="Calibri"/>
          <w:i/>
          <w:iCs/>
          <w:color w:val="5D6D7E"/>
          <w:sz w:val="18"/>
          <w:szCs w:val="18"/>
        </w:rPr>
        <w:t xml:space="preserve">  [Ref: SEC-2-ASIS]</w:t>
      </w:r>
    </w:p>
    <w:p>
      <w:pPr>
        <w:pStyle w:val="ListParagraph"/>
        <w:numPr>
          <w:ilvl w:val="0"/>
          <w:numId w:val="2"/>
        </w:numPr>
        <w:spacing w:after="60" w:before="60"/>
      </w:pPr>
      <w:r>
        <w:rPr>
          <w:rFonts w:ascii="Calibri" w:cs="Calibri" w:eastAsia="Calibri" w:hAnsi="Calibri"/>
          <w:b/>
          <w:bCs/>
          <w:color w:val="1A3C5E"/>
          <w:sz w:val="20"/>
          <w:szCs w:val="20"/>
        </w:rPr>
        <w:t xml:space="preserve">No Implied Guarantees:</w:t>
      </w:r>
      <w:r>
        <w:rPr>
          <w:rFonts w:ascii="Calibri" w:cs="Calibri" w:eastAsia="Calibri" w:hAnsi="Calibri"/>
          <w:sz w:val="20"/>
          <w:szCs w:val="20"/>
        </w:rPr>
        <w:t xml:space="preserve">  </w:t>
      </w:r>
      <w:r>
        <w:rPr>
          <w:rFonts w:ascii="Calibri" w:cs="Calibri" w:eastAsia="Calibri" w:hAnsi="Calibri"/>
          <w:color w:val="1C2833"/>
          <w:sz w:val="20"/>
          <w:szCs w:val="20"/>
        </w:rPr>
        <w:t xml:space="preserve">All implied warranties are excluded to the fullest extent permitted by law.</w:t>
      </w:r>
      <w:r>
        <w:rPr>
          <w:rFonts w:ascii="Calibri" w:cs="Calibri" w:eastAsia="Calibri" w:hAnsi="Calibri"/>
          <w:i/>
          <w:iCs/>
          <w:color w:val="5D6D7E"/>
          <w:sz w:val="18"/>
          <w:szCs w:val="18"/>
        </w:rPr>
        <w:t xml:space="preserve">  [Ref: SEC-2-IMPLIED]</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2.2  No SLA / Uptime Warranty</w:t>
      </w:r>
    </w:p>
    <w:p>
      <w:pPr>
        <w:pStyle w:val="ListParagraph"/>
        <w:numPr>
          <w:ilvl w:val="0"/>
          <w:numId w:val="2"/>
        </w:numPr>
        <w:spacing w:after="60" w:before="60"/>
      </w:pPr>
      <w:r>
        <w:rPr>
          <w:rFonts w:ascii="Calibri" w:cs="Calibri" w:eastAsia="Calibri" w:hAnsi="Calibri"/>
          <w:b/>
          <w:bCs/>
          <w:color w:val="1A3C5E"/>
          <w:sz w:val="20"/>
          <w:szCs w:val="20"/>
        </w:rPr>
        <w:t xml:space="preserve">Service Continuity:</w:t>
      </w:r>
      <w:r>
        <w:rPr>
          <w:rFonts w:ascii="Calibri" w:cs="Calibri" w:eastAsia="Calibri" w:hAnsi="Calibri"/>
          <w:sz w:val="20"/>
          <w:szCs w:val="20"/>
        </w:rPr>
        <w:t xml:space="preserve">  </w:t>
      </w:r>
      <w:r>
        <w:rPr>
          <w:rFonts w:ascii="Calibri" w:cs="Calibri" w:eastAsia="Calibri" w:hAnsi="Calibri"/>
          <w:color w:val="1C2833"/>
          <w:sz w:val="20"/>
          <w:szCs w:val="20"/>
        </w:rPr>
        <w:t xml:space="preserve">neooverse does not guarantee that the platform will operate without interruption, be secure at all times, or be free of errors or technical defects.</w:t>
      </w:r>
      <w:r>
        <w:rPr>
          <w:rFonts w:ascii="Calibri" w:cs="Calibri" w:eastAsia="Calibri" w:hAnsi="Calibri"/>
          <w:i/>
          <w:iCs/>
          <w:color w:val="5D6D7E"/>
          <w:sz w:val="18"/>
          <w:szCs w:val="18"/>
        </w:rPr>
        <w:t xml:space="preserve">  [Ref: SEC-2-SLA]</w:t>
      </w:r>
    </w:p>
    <w:p>
      <w:pPr>
        <w:pStyle w:val="ListParagraph"/>
        <w:numPr>
          <w:ilvl w:val="0"/>
          <w:numId w:val="2"/>
        </w:numPr>
        <w:spacing w:after="60" w:before="60"/>
      </w:pPr>
      <w:r>
        <w:rPr>
          <w:rFonts w:ascii="Calibri" w:cs="Calibri" w:eastAsia="Calibri" w:hAnsi="Calibri"/>
          <w:b/>
          <w:bCs/>
          <w:color w:val="1A3C5E"/>
          <w:sz w:val="20"/>
          <w:szCs w:val="20"/>
        </w:rPr>
        <w:t xml:space="preserve">Liability Exclusion:</w:t>
      </w:r>
      <w:r>
        <w:rPr>
          <w:rFonts w:ascii="Calibri" w:cs="Calibri" w:eastAsia="Calibri" w:hAnsi="Calibri"/>
          <w:sz w:val="20"/>
          <w:szCs w:val="20"/>
        </w:rPr>
        <w:t xml:space="preserve">  </w:t>
      </w:r>
      <w:r>
        <w:rPr>
          <w:rFonts w:ascii="Calibri" w:cs="Calibri" w:eastAsia="Calibri" w:hAnsi="Calibri"/>
          <w:color w:val="1C2833"/>
          <w:sz w:val="20"/>
          <w:szCs w:val="20"/>
        </w:rPr>
        <w:t xml:space="preserve">neooverse is not liable for any losses, damages, or business interruptions caused by downtime, server failures, or technical glitches.</w:t>
      </w:r>
      <w:r>
        <w:rPr>
          <w:rFonts w:ascii="Calibri" w:cs="Calibri" w:eastAsia="Calibri" w:hAnsi="Calibri"/>
          <w:i/>
          <w:iCs/>
          <w:color w:val="5D6D7E"/>
          <w:sz w:val="18"/>
          <w:szCs w:val="18"/>
        </w:rPr>
        <w:t xml:space="preserve">  [Ref: SEC-2-DOWNTIME]</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60" w:before="0"/>
            </w:pPr>
            <w:r>
              <w:rPr>
                <w:rFonts w:ascii="Calibri" w:cs="Calibri" w:eastAsia="Calibri" w:hAnsi="Calibri"/>
                <w:b/>
                <w:bCs/>
                <w:color w:val="1A3C5E"/>
                <w:sz w:val="19"/>
                <w:szCs w:val="19"/>
              </w:rPr>
              <w:t xml:space="preserve">RAG Key Facts — Nature of Service</w:t>
            </w:r>
          </w:p>
          <w:p>
            <w:pPr>
              <w:spacing w:after="40" w:before="0"/>
            </w:pPr>
            <w:r>
              <w:rPr>
                <w:rFonts w:ascii="Calibri" w:cs="Calibri" w:eastAsia="Calibri" w:hAnsi="Calibri"/>
                <w:color w:val="1C2833"/>
                <w:sz w:val="19"/>
                <w:szCs w:val="19"/>
              </w:rPr>
              <w:t xml:space="preserve">Service basis: 'As-Is' and 'As-Available'.</w:t>
            </w:r>
          </w:p>
          <w:p>
            <w:pPr>
              <w:spacing w:after="40" w:before="0"/>
            </w:pPr>
            <w:r>
              <w:rPr>
                <w:rFonts w:ascii="Calibri" w:cs="Calibri" w:eastAsia="Calibri" w:hAnsi="Calibri"/>
                <w:color w:val="1C2833"/>
                <w:sz w:val="19"/>
                <w:szCs w:val="19"/>
              </w:rPr>
              <w:t xml:space="preserve">No SLA, no uptime guarantee.</w:t>
            </w:r>
          </w:p>
          <w:p>
            <w:pPr>
              <w:spacing w:after="40" w:before="0"/>
            </w:pPr>
            <w:r>
              <w:rPr>
                <w:rFonts w:ascii="Calibri" w:cs="Calibri" w:eastAsia="Calibri" w:hAnsi="Calibri"/>
                <w:color w:val="1C2833"/>
                <w:sz w:val="19"/>
                <w:szCs w:val="19"/>
              </w:rPr>
              <w:t xml:space="preserve">No liability for downtime or service interruptions.</w:t>
            </w:r>
          </w:p>
          <w:p>
            <w:pPr>
              <w:spacing w:after="40" w:before="0"/>
            </w:pPr>
            <w:r>
              <w:rPr>
                <w:rFonts w:ascii="Calibri" w:cs="Calibri" w:eastAsia="Calibri" w:hAnsi="Calibri"/>
                <w:color w:val="1C2833"/>
                <w:sz w:val="19"/>
                <w:szCs w:val="19"/>
              </w:rPr>
              <w:t xml:space="preserve">All implied warranties are disclaimed under UAE law.</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3 — AI Persona &amp; Information Accuracy</w:t>
      </w:r>
    </w:p>
    <w:p>
      <w:pPr>
        <w:spacing w:after="80" w:before="80"/>
      </w:pPr>
      <w:r>
        <w:rPr>
          <w:rFonts w:ascii="Calibri" w:cs="Calibri" w:eastAsia="Calibri" w:hAnsi="Calibri"/>
          <w:color w:val="1C2833"/>
          <w:sz w:val="20"/>
          <w:szCs w:val="20"/>
        </w:rPr>
        <w:t xml:space="preserve">neooverse includes an AI-powered feature called the neooAI Persona. Users and clients must understand its limitations and responsibilities before relying on its output.</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3.1  Informational Purpose Only</w:t>
      </w:r>
    </w:p>
    <w:p>
      <w:pPr>
        <w:pStyle w:val="ListParagraph"/>
        <w:numPr>
          <w:ilvl w:val="0"/>
          <w:numId w:val="2"/>
        </w:numPr>
        <w:spacing w:after="60" w:before="60"/>
      </w:pPr>
      <w:r>
        <w:rPr>
          <w:rFonts w:ascii="Calibri" w:cs="Calibri" w:eastAsia="Calibri" w:hAnsi="Calibri"/>
          <w:b/>
          <w:bCs/>
          <w:color w:val="1A3C5E"/>
          <w:sz w:val="20"/>
          <w:szCs w:val="20"/>
        </w:rPr>
        <w:t xml:space="preserve">Scope:</w:t>
      </w:r>
      <w:r>
        <w:rPr>
          <w:rFonts w:ascii="Calibri" w:cs="Calibri" w:eastAsia="Calibri" w:hAnsi="Calibri"/>
          <w:sz w:val="20"/>
          <w:szCs w:val="20"/>
        </w:rPr>
        <w:t xml:space="preserve">  </w:t>
      </w:r>
      <w:r>
        <w:rPr>
          <w:rFonts w:ascii="Calibri" w:cs="Calibri" w:eastAsia="Calibri" w:hAnsi="Calibri"/>
          <w:color w:val="1C2833"/>
          <w:sz w:val="20"/>
          <w:szCs w:val="20"/>
        </w:rPr>
        <w:t xml:space="preserve">The neooAI Persona is provided as a convenience tool for general informational purposes.</w:t>
      </w:r>
      <w:r>
        <w:rPr>
          <w:rFonts w:ascii="Calibri" w:cs="Calibri" w:eastAsia="Calibri" w:hAnsi="Calibri"/>
          <w:i/>
          <w:iCs/>
          <w:color w:val="5D6D7E"/>
          <w:sz w:val="18"/>
          <w:szCs w:val="18"/>
        </w:rPr>
        <w:t xml:space="preserve">  [Ref: SEC-3-INFO]</w:t>
      </w:r>
    </w:p>
    <w:p>
      <w:pPr>
        <w:pStyle w:val="ListParagraph"/>
        <w:numPr>
          <w:ilvl w:val="0"/>
          <w:numId w:val="2"/>
        </w:numPr>
        <w:spacing w:after="60" w:before="60"/>
      </w:pPr>
      <w:r>
        <w:rPr>
          <w:rFonts w:ascii="Calibri" w:cs="Calibri" w:eastAsia="Calibri" w:hAnsi="Calibri"/>
          <w:b/>
          <w:bCs/>
          <w:color w:val="1A3C5E"/>
          <w:sz w:val="20"/>
          <w:szCs w:val="20"/>
        </w:rPr>
        <w:t xml:space="preserve">Not Professional Advice:</w:t>
      </w:r>
      <w:r>
        <w:rPr>
          <w:rFonts w:ascii="Calibri" w:cs="Calibri" w:eastAsia="Calibri" w:hAnsi="Calibri"/>
          <w:sz w:val="20"/>
          <w:szCs w:val="20"/>
        </w:rPr>
        <w:t xml:space="preserve">  </w:t>
      </w:r>
      <w:r>
        <w:rPr>
          <w:rFonts w:ascii="Calibri" w:cs="Calibri" w:eastAsia="Calibri" w:hAnsi="Calibri"/>
          <w:color w:val="1C2833"/>
          <w:sz w:val="20"/>
          <w:szCs w:val="20"/>
        </w:rPr>
        <w:t xml:space="preserve">Output from the AI should not be treated as legal, financial, medical, or other professional advice.</w:t>
      </w:r>
      <w:r>
        <w:rPr>
          <w:rFonts w:ascii="Calibri" w:cs="Calibri" w:eastAsia="Calibri" w:hAnsi="Calibri"/>
          <w:i/>
          <w:iCs/>
          <w:color w:val="5D6D7E"/>
          <w:sz w:val="18"/>
          <w:szCs w:val="18"/>
        </w:rPr>
        <w:t xml:space="preserve">  [Ref: SEC-3-NOPRO]</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3.2  No Liability for AI Errors ('Hallucinations')</w:t>
      </w:r>
    </w:p>
    <w:p>
      <w:pPr>
        <w:pStyle w:val="ListParagraph"/>
        <w:numPr>
          <w:ilvl w:val="0"/>
          <w:numId w:val="2"/>
        </w:numPr>
        <w:spacing w:after="60" w:before="60"/>
      </w:pPr>
      <w:r>
        <w:rPr>
          <w:rFonts w:ascii="Calibri" w:cs="Calibri" w:eastAsia="Calibri" w:hAnsi="Calibri"/>
          <w:b/>
          <w:bCs/>
          <w:color w:val="1A3C5E"/>
          <w:sz w:val="20"/>
          <w:szCs w:val="20"/>
        </w:rPr>
        <w:t xml:space="preserve">Hallucination Risk:</w:t>
      </w:r>
      <w:r>
        <w:rPr>
          <w:rFonts w:ascii="Calibri" w:cs="Calibri" w:eastAsia="Calibri" w:hAnsi="Calibri"/>
          <w:sz w:val="20"/>
          <w:szCs w:val="20"/>
        </w:rPr>
        <w:t xml:space="preserve">  </w:t>
      </w:r>
      <w:r>
        <w:rPr>
          <w:rFonts w:ascii="Calibri" w:cs="Calibri" w:eastAsia="Calibri" w:hAnsi="Calibri"/>
          <w:color w:val="1C2833"/>
          <w:sz w:val="20"/>
          <w:szCs w:val="20"/>
        </w:rPr>
        <w:t xml:space="preserve">AI systems are subject to errors and 'hallucinations' — plausible-sounding but incorrect, outdated, or misleading outputs.</w:t>
      </w:r>
      <w:r>
        <w:rPr>
          <w:rFonts w:ascii="Calibri" w:cs="Calibri" w:eastAsia="Calibri" w:hAnsi="Calibri"/>
          <w:i/>
          <w:iCs/>
          <w:color w:val="5D6D7E"/>
          <w:sz w:val="18"/>
          <w:szCs w:val="18"/>
        </w:rPr>
        <w:t xml:space="preserve">  [Ref: SEC-3-HALL]</w:t>
      </w:r>
    </w:p>
    <w:p>
      <w:pPr>
        <w:pStyle w:val="ListParagraph"/>
        <w:numPr>
          <w:ilvl w:val="0"/>
          <w:numId w:val="2"/>
        </w:numPr>
        <w:spacing w:after="60" w:before="60"/>
      </w:pPr>
      <w:r>
        <w:rPr>
          <w:rFonts w:ascii="Calibri" w:cs="Calibri" w:eastAsia="Calibri" w:hAnsi="Calibri"/>
          <w:b/>
          <w:bCs/>
          <w:color w:val="1A3C5E"/>
          <w:sz w:val="20"/>
          <w:szCs w:val="20"/>
        </w:rPr>
        <w:t xml:space="preserve">Liability Exclusion:</w:t>
      </w:r>
      <w:r>
        <w:rPr>
          <w:rFonts w:ascii="Calibri" w:cs="Calibri" w:eastAsia="Calibri" w:hAnsi="Calibri"/>
          <w:sz w:val="20"/>
          <w:szCs w:val="20"/>
        </w:rPr>
        <w:t xml:space="preserve">  </w:t>
      </w:r>
      <w:r>
        <w:rPr>
          <w:rFonts w:ascii="Calibri" w:cs="Calibri" w:eastAsia="Calibri" w:hAnsi="Calibri"/>
          <w:color w:val="1C2833"/>
          <w:sz w:val="20"/>
          <w:szCs w:val="20"/>
        </w:rPr>
        <w:t xml:space="preserve">neooverse is not liable for any incorrect, outdated, or misleading information generated by the neooAI Persona.</w:t>
      </w:r>
      <w:r>
        <w:rPr>
          <w:rFonts w:ascii="Calibri" w:cs="Calibri" w:eastAsia="Calibri" w:hAnsi="Calibri"/>
          <w:i/>
          <w:iCs/>
          <w:color w:val="5D6D7E"/>
          <w:sz w:val="18"/>
          <w:szCs w:val="18"/>
        </w:rPr>
        <w:t xml:space="preserve">  [Ref: SEC-3-AIEXCL]</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3.3  Client Responsibility for Training Data</w:t>
      </w:r>
    </w:p>
    <w:p>
      <w:pPr>
        <w:pStyle w:val="ListParagraph"/>
        <w:numPr>
          <w:ilvl w:val="0"/>
          <w:numId w:val="2"/>
        </w:numPr>
        <w:spacing w:after="60" w:before="60"/>
      </w:pPr>
      <w:r>
        <w:rPr>
          <w:rFonts w:ascii="Calibri" w:cs="Calibri" w:eastAsia="Calibri" w:hAnsi="Calibri"/>
          <w:b/>
          <w:bCs/>
          <w:color w:val="1A3C5E"/>
          <w:sz w:val="20"/>
          <w:szCs w:val="20"/>
        </w:rPr>
        <w:t xml:space="preserve">Data Accuracy:</w:t>
      </w:r>
      <w:r>
        <w:rPr>
          <w:rFonts w:ascii="Calibri" w:cs="Calibri" w:eastAsia="Calibri" w:hAnsi="Calibri"/>
          <w:sz w:val="20"/>
          <w:szCs w:val="20"/>
        </w:rPr>
        <w:t xml:space="preserve">  </w:t>
      </w:r>
      <w:r>
        <w:rPr>
          <w:rFonts w:ascii="Calibri" w:cs="Calibri" w:eastAsia="Calibri" w:hAnsi="Calibri"/>
          <w:color w:val="1C2833"/>
          <w:sz w:val="20"/>
          <w:szCs w:val="20"/>
        </w:rPr>
        <w:t xml:space="preserve">The Client (the contracting company) is solely responsible for the accuracy, completeness, and legality of any data used to train their bespoke, siloed AI instance.</w:t>
      </w:r>
      <w:r>
        <w:rPr>
          <w:rFonts w:ascii="Calibri" w:cs="Calibri" w:eastAsia="Calibri" w:hAnsi="Calibri"/>
          <w:i/>
          <w:iCs/>
          <w:color w:val="5D6D7E"/>
          <w:sz w:val="18"/>
          <w:szCs w:val="18"/>
        </w:rPr>
        <w:t xml:space="preserve">  [Ref: SEC-3-DATA]</w:t>
      </w:r>
    </w:p>
    <w:p>
      <w:pPr>
        <w:pStyle w:val="ListParagraph"/>
        <w:numPr>
          <w:ilvl w:val="0"/>
          <w:numId w:val="2"/>
        </w:numPr>
        <w:spacing w:after="60" w:before="60"/>
      </w:pPr>
      <w:r>
        <w:rPr>
          <w:rFonts w:ascii="Calibri" w:cs="Calibri" w:eastAsia="Calibri" w:hAnsi="Calibri"/>
          <w:b/>
          <w:bCs/>
          <w:color w:val="1A3C5E"/>
          <w:sz w:val="20"/>
          <w:szCs w:val="20"/>
        </w:rPr>
        <w:t xml:space="preserve">Output Verification:</w:t>
      </w:r>
      <w:r>
        <w:rPr>
          <w:rFonts w:ascii="Calibri" w:cs="Calibri" w:eastAsia="Calibri" w:hAnsi="Calibri"/>
          <w:sz w:val="20"/>
          <w:szCs w:val="20"/>
        </w:rPr>
        <w:t xml:space="preserve">  </w:t>
      </w:r>
      <w:r>
        <w:rPr>
          <w:rFonts w:ascii="Calibri" w:cs="Calibri" w:eastAsia="Calibri" w:hAnsi="Calibri"/>
          <w:color w:val="1C2833"/>
          <w:sz w:val="20"/>
          <w:szCs w:val="20"/>
        </w:rPr>
        <w:t xml:space="preserve">It is the Client's responsibility to audit and verify all AI-generated outputs before acting on them.</w:t>
      </w:r>
      <w:r>
        <w:rPr>
          <w:rFonts w:ascii="Calibri" w:cs="Calibri" w:eastAsia="Calibri" w:hAnsi="Calibri"/>
          <w:i/>
          <w:iCs/>
          <w:color w:val="5D6D7E"/>
          <w:sz w:val="18"/>
          <w:szCs w:val="18"/>
        </w:rPr>
        <w:t xml:space="preserve">  [Ref: SEC-3-VERIFY]</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60" w:before="0"/>
            </w:pPr>
            <w:r>
              <w:rPr>
                <w:rFonts w:ascii="Calibri" w:cs="Calibri" w:eastAsia="Calibri" w:hAnsi="Calibri"/>
                <w:b/>
                <w:bCs/>
                <w:color w:val="1A3C5E"/>
                <w:sz w:val="19"/>
                <w:szCs w:val="19"/>
              </w:rPr>
              <w:t xml:space="preserve">RAG Key Facts — AI Persona</w:t>
            </w:r>
          </w:p>
          <w:p>
            <w:pPr>
              <w:spacing w:after="40" w:before="0"/>
            </w:pPr>
            <w:r>
              <w:rPr>
                <w:rFonts w:ascii="Calibri" w:cs="Calibri" w:eastAsia="Calibri" w:hAnsi="Calibri"/>
                <w:color w:val="1C2833"/>
                <w:sz w:val="19"/>
                <w:szCs w:val="19"/>
              </w:rPr>
              <w:t xml:space="preserve">neooAI Persona: informational use only — not professional advice.</w:t>
            </w:r>
          </w:p>
          <w:p>
            <w:pPr>
              <w:spacing w:after="40" w:before="0"/>
            </w:pPr>
            <w:r>
              <w:rPr>
                <w:rFonts w:ascii="Calibri" w:cs="Calibri" w:eastAsia="Calibri" w:hAnsi="Calibri"/>
                <w:color w:val="1C2833"/>
                <w:sz w:val="19"/>
                <w:szCs w:val="19"/>
              </w:rPr>
              <w:t xml:space="preserve">AI hallucinations: neooverse bears zero liability.</w:t>
            </w:r>
          </w:p>
          <w:p>
            <w:pPr>
              <w:spacing w:after="40" w:before="0"/>
            </w:pPr>
            <w:r>
              <w:rPr>
                <w:rFonts w:ascii="Calibri" w:cs="Calibri" w:eastAsia="Calibri" w:hAnsi="Calibri"/>
                <w:color w:val="1C2833"/>
                <w:sz w:val="19"/>
                <w:szCs w:val="19"/>
              </w:rPr>
              <w:t xml:space="preserve">Training data accuracy: Client's sole responsibility.</w:t>
            </w:r>
          </w:p>
          <w:p>
            <w:pPr>
              <w:spacing w:after="40" w:before="0"/>
            </w:pPr>
            <w:r>
              <w:rPr>
                <w:rFonts w:ascii="Calibri" w:cs="Calibri" w:eastAsia="Calibri" w:hAnsi="Calibri"/>
                <w:color w:val="1C2833"/>
                <w:sz w:val="19"/>
                <w:szCs w:val="19"/>
              </w:rPr>
              <w:t xml:space="preserve">Output verification: Client must audit before acting.</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4 — User Conduct &amp; Content Liability</w:t>
      </w:r>
    </w:p>
    <w:p>
      <w:pPr>
        <w:spacing w:after="80" w:before="80"/>
      </w:pPr>
      <w:r>
        <w:rPr>
          <w:rFonts w:ascii="Calibri" w:cs="Calibri" w:eastAsia="Calibri" w:hAnsi="Calibri"/>
          <w:color w:val="1C2833"/>
          <w:sz w:val="20"/>
          <w:szCs w:val="20"/>
        </w:rPr>
        <w:t xml:space="preserve">neooverse operates as a neutral hosting and collaboration platform. The responsibilities below define what users and clients are accountable for in terms of content and behavior.</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4.1  Neutral Host — Zero Content Responsibility</w:t>
      </w:r>
    </w:p>
    <w:p>
      <w:pPr>
        <w:pStyle w:val="ListParagraph"/>
        <w:numPr>
          <w:ilvl w:val="0"/>
          <w:numId w:val="2"/>
        </w:numPr>
        <w:spacing w:after="60" w:before="60"/>
      </w:pPr>
      <w:r>
        <w:rPr>
          <w:rFonts w:ascii="Calibri" w:cs="Calibri" w:eastAsia="Calibri" w:hAnsi="Calibri"/>
          <w:b/>
          <w:bCs/>
          <w:color w:val="1A3C5E"/>
          <w:sz w:val="20"/>
          <w:szCs w:val="20"/>
        </w:rPr>
        <w:t xml:space="preserve">Platform Role:</w:t>
      </w:r>
      <w:r>
        <w:rPr>
          <w:rFonts w:ascii="Calibri" w:cs="Calibri" w:eastAsia="Calibri" w:hAnsi="Calibri"/>
          <w:sz w:val="20"/>
          <w:szCs w:val="20"/>
        </w:rPr>
        <w:t xml:space="preserve">  </w:t>
      </w:r>
      <w:r>
        <w:rPr>
          <w:rFonts w:ascii="Calibri" w:cs="Calibri" w:eastAsia="Calibri" w:hAnsi="Calibri"/>
          <w:color w:val="1C2833"/>
          <w:sz w:val="20"/>
          <w:szCs w:val="20"/>
        </w:rPr>
        <w:t xml:space="preserve">neooverse acts solely as a neutral technology host for collaboration activities.</w:t>
      </w:r>
      <w:r>
        <w:rPr>
          <w:rFonts w:ascii="Calibri" w:cs="Calibri" w:eastAsia="Calibri" w:hAnsi="Calibri"/>
          <w:i/>
          <w:iCs/>
          <w:color w:val="5D6D7E"/>
          <w:sz w:val="18"/>
          <w:szCs w:val="18"/>
        </w:rPr>
        <w:t xml:space="preserve">  [Ref: SEC-4-HOST]</w:t>
      </w:r>
    </w:p>
    <w:p>
      <w:pPr>
        <w:pStyle w:val="ListParagraph"/>
        <w:numPr>
          <w:ilvl w:val="0"/>
          <w:numId w:val="2"/>
        </w:numPr>
        <w:spacing w:after="60" w:before="60"/>
      </w:pPr>
      <w:r>
        <w:rPr>
          <w:rFonts w:ascii="Calibri" w:cs="Calibri" w:eastAsia="Calibri" w:hAnsi="Calibri"/>
          <w:b/>
          <w:bCs/>
          <w:color w:val="1A3C5E"/>
          <w:sz w:val="20"/>
          <w:szCs w:val="20"/>
        </w:rPr>
        <w:t xml:space="preserve">Content Liability:</w:t>
      </w:r>
      <w:r>
        <w:rPr>
          <w:rFonts w:ascii="Calibri" w:cs="Calibri" w:eastAsia="Calibri" w:hAnsi="Calibri"/>
          <w:sz w:val="20"/>
          <w:szCs w:val="20"/>
        </w:rPr>
        <w:t xml:space="preserve">  </w:t>
      </w:r>
      <w:r>
        <w:rPr>
          <w:rFonts w:ascii="Calibri" w:cs="Calibri" w:eastAsia="Calibri" w:hAnsi="Calibri"/>
          <w:color w:val="1C2833"/>
          <w:sz w:val="20"/>
          <w:szCs w:val="20"/>
        </w:rPr>
        <w:t xml:space="preserve">neooverse is not responsible for any files, messages, or media shared through instant messaging, proximity chatting, or video conferencing features.</w:t>
      </w:r>
      <w:r>
        <w:rPr>
          <w:rFonts w:ascii="Calibri" w:cs="Calibri" w:eastAsia="Calibri" w:hAnsi="Calibri"/>
          <w:i/>
          <w:iCs/>
          <w:color w:val="5D6D7E"/>
          <w:sz w:val="18"/>
          <w:szCs w:val="18"/>
        </w:rPr>
        <w:t xml:space="preserve">  [Ref: SEC-4-CONTENT]</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4.2  Malware &amp; Illegal Content</w:t>
      </w:r>
    </w:p>
    <w:p>
      <w:pPr>
        <w:pStyle w:val="ListParagraph"/>
        <w:numPr>
          <w:ilvl w:val="0"/>
          <w:numId w:val="2"/>
        </w:numPr>
        <w:spacing w:after="60" w:before="60"/>
      </w:pPr>
      <w:r>
        <w:rPr>
          <w:rFonts w:ascii="Calibri" w:cs="Calibri" w:eastAsia="Calibri" w:hAnsi="Calibri"/>
          <w:b/>
          <w:bCs/>
          <w:color w:val="1A3C5E"/>
          <w:sz w:val="20"/>
          <w:szCs w:val="20"/>
        </w:rPr>
        <w:t xml:space="preserve">Malware-Free Obligation:</w:t>
      </w:r>
      <w:r>
        <w:rPr>
          <w:rFonts w:ascii="Calibri" w:cs="Calibri" w:eastAsia="Calibri" w:hAnsi="Calibri"/>
          <w:sz w:val="20"/>
          <w:szCs w:val="20"/>
        </w:rPr>
        <w:t xml:space="preserve">  </w:t>
      </w:r>
      <w:r>
        <w:rPr>
          <w:rFonts w:ascii="Calibri" w:cs="Calibri" w:eastAsia="Calibri" w:hAnsi="Calibri"/>
          <w:color w:val="1C2833"/>
          <w:sz w:val="20"/>
          <w:szCs w:val="20"/>
        </w:rPr>
        <w:t xml:space="preserve">Users and Clients bear 100% responsibility for ensuring that all files transferred via the platform are free of malware, viruses, and any other harmful code.</w:t>
      </w:r>
      <w:r>
        <w:rPr>
          <w:rFonts w:ascii="Calibri" w:cs="Calibri" w:eastAsia="Calibri" w:hAnsi="Calibri"/>
          <w:i/>
          <w:iCs/>
          <w:color w:val="5D6D7E"/>
          <w:sz w:val="18"/>
          <w:szCs w:val="18"/>
        </w:rPr>
        <w:t xml:space="preserve">  [Ref: SEC-4-MALWARE]</w:t>
      </w:r>
    </w:p>
    <w:p>
      <w:pPr>
        <w:pStyle w:val="ListParagraph"/>
        <w:numPr>
          <w:ilvl w:val="0"/>
          <w:numId w:val="2"/>
        </w:numPr>
        <w:spacing w:after="60" w:before="60"/>
      </w:pPr>
      <w:r>
        <w:rPr>
          <w:rFonts w:ascii="Calibri" w:cs="Calibri" w:eastAsia="Calibri" w:hAnsi="Calibri"/>
          <w:b/>
          <w:bCs/>
          <w:color w:val="1A3C5E"/>
          <w:sz w:val="20"/>
          <w:szCs w:val="20"/>
        </w:rPr>
        <w:t xml:space="preserve">Illegal Material:</w:t>
      </w:r>
      <w:r>
        <w:rPr>
          <w:rFonts w:ascii="Calibri" w:cs="Calibri" w:eastAsia="Calibri" w:hAnsi="Calibri"/>
          <w:sz w:val="20"/>
          <w:szCs w:val="20"/>
        </w:rPr>
        <w:t xml:space="preserve">  </w:t>
      </w:r>
      <w:r>
        <w:rPr>
          <w:rFonts w:ascii="Calibri" w:cs="Calibri" w:eastAsia="Calibri" w:hAnsi="Calibri"/>
          <w:color w:val="1C2833"/>
          <w:sz w:val="20"/>
          <w:szCs w:val="20"/>
        </w:rPr>
        <w:t xml:space="preserve">Users and Clients assume full responsibility for ensuring that no illegal material is transferred or distributed through the platform.</w:t>
      </w:r>
      <w:r>
        <w:rPr>
          <w:rFonts w:ascii="Calibri" w:cs="Calibri" w:eastAsia="Calibri" w:hAnsi="Calibri"/>
          <w:i/>
          <w:iCs/>
          <w:color w:val="5D6D7E"/>
          <w:sz w:val="18"/>
          <w:szCs w:val="18"/>
        </w:rPr>
        <w:t xml:space="preserve">  [Ref: SEC-4-ILLEGAL]</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4.3  Prohibited Activities</w:t>
      </w:r>
    </w:p>
    <w:p>
      <w:pPr>
        <w:spacing w:after="80" w:before="80"/>
      </w:pPr>
      <w:r>
        <w:rPr>
          <w:rFonts w:ascii="Calibri" w:cs="Calibri" w:eastAsia="Calibri" w:hAnsi="Calibri"/>
          <w:color w:val="1C2833"/>
          <w:sz w:val="20"/>
          <w:szCs w:val="20"/>
        </w:rPr>
        <w:t xml:space="preserve">The following activities are strictly prohibited on neooverse:</w:t>
      </w:r>
    </w:p>
    <w:p>
      <w:pPr>
        <w:pStyle w:val="ListParagraph"/>
        <w:numPr>
          <w:ilvl w:val="0"/>
          <w:numId w:val="2"/>
        </w:numPr>
        <w:spacing w:after="60" w:before="60"/>
      </w:pPr>
      <w:r>
        <w:rPr>
          <w:rFonts w:ascii="Calibri" w:cs="Calibri" w:eastAsia="Calibri" w:hAnsi="Calibri"/>
          <w:color w:val="1C2833"/>
          <w:sz w:val="20"/>
          <w:szCs w:val="20"/>
        </w:rPr>
        <w:t xml:space="preserve">Harassment of any kind directed at other users.</w:t>
      </w:r>
      <w:r>
        <w:rPr>
          <w:rFonts w:ascii="Calibri" w:cs="Calibri" w:eastAsia="Calibri" w:hAnsi="Calibri"/>
          <w:i/>
          <w:iCs/>
          <w:color w:val="5D6D7E"/>
          <w:sz w:val="18"/>
          <w:szCs w:val="18"/>
        </w:rPr>
        <w:t xml:space="preserve">  [Ref: SEC-4-HARASS]</w:t>
      </w:r>
    </w:p>
    <w:p>
      <w:pPr>
        <w:pStyle w:val="ListParagraph"/>
        <w:numPr>
          <w:ilvl w:val="0"/>
          <w:numId w:val="2"/>
        </w:numPr>
        <w:spacing w:after="60" w:before="60"/>
      </w:pPr>
      <w:r>
        <w:rPr>
          <w:rFonts w:ascii="Calibri" w:cs="Calibri" w:eastAsia="Calibri" w:hAnsi="Calibri"/>
          <w:color w:val="1C2833"/>
          <w:sz w:val="20"/>
          <w:szCs w:val="20"/>
        </w:rPr>
        <w:t xml:space="preserve">Unauthorized data mining, scraping, or automated extraction of platform data.</w:t>
      </w:r>
      <w:r>
        <w:rPr>
          <w:rFonts w:ascii="Calibri" w:cs="Calibri" w:eastAsia="Calibri" w:hAnsi="Calibri"/>
          <w:i/>
          <w:iCs/>
          <w:color w:val="5D6D7E"/>
          <w:sz w:val="18"/>
          <w:szCs w:val="18"/>
        </w:rPr>
        <w:t xml:space="preserve">  [Ref: SEC-4-MINE]</w:t>
      </w:r>
    </w:p>
    <w:p>
      <w:pPr>
        <w:pStyle w:val="ListParagraph"/>
        <w:numPr>
          <w:ilvl w:val="0"/>
          <w:numId w:val="2"/>
        </w:numPr>
        <w:spacing w:after="60" w:before="60"/>
      </w:pPr>
      <w:r>
        <w:rPr>
          <w:rFonts w:ascii="Calibri" w:cs="Calibri" w:eastAsia="Calibri" w:hAnsi="Calibri"/>
          <w:color w:val="1C2833"/>
          <w:sz w:val="20"/>
          <w:szCs w:val="20"/>
        </w:rPr>
        <w:t xml:space="preserve">Any activity that violates the laws of the United Arab Emirates.</w:t>
      </w:r>
      <w:r>
        <w:rPr>
          <w:rFonts w:ascii="Calibri" w:cs="Calibri" w:eastAsia="Calibri" w:hAnsi="Calibri"/>
          <w:i/>
          <w:iCs/>
          <w:color w:val="5D6D7E"/>
          <w:sz w:val="18"/>
          <w:szCs w:val="18"/>
        </w:rPr>
        <w:t xml:space="preserve">  [Ref: SEC-4-UAE]</w:t>
      </w:r>
    </w:p>
    <w:p>
      <w:pPr>
        <w:pStyle w:val="ListParagraph"/>
        <w:numPr>
          <w:ilvl w:val="0"/>
          <w:numId w:val="2"/>
        </w:numPr>
        <w:spacing w:after="60" w:before="60"/>
      </w:pPr>
      <w:r>
        <w:rPr>
          <w:rFonts w:ascii="Calibri" w:cs="Calibri" w:eastAsia="Calibri" w:hAnsi="Calibri"/>
          <w:color w:val="1C2833"/>
          <w:sz w:val="20"/>
          <w:szCs w:val="20"/>
        </w:rPr>
        <w:t xml:space="preserve">Any activity that violates the laws of the user's local jurisdiction.</w:t>
      </w:r>
      <w:r>
        <w:rPr>
          <w:rFonts w:ascii="Calibri" w:cs="Calibri" w:eastAsia="Calibri" w:hAnsi="Calibri"/>
          <w:i/>
          <w:iCs/>
          <w:color w:val="5D6D7E"/>
          <w:sz w:val="18"/>
          <w:szCs w:val="18"/>
        </w:rPr>
        <w:t xml:space="preserve">  [Ref: SEC-4-LOCAL]</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60" w:before="0"/>
            </w:pPr>
            <w:r>
              <w:rPr>
                <w:rFonts w:ascii="Calibri" w:cs="Calibri" w:eastAsia="Calibri" w:hAnsi="Calibri"/>
                <w:b/>
                <w:bCs/>
                <w:color w:val="1A3C5E"/>
                <w:sz w:val="19"/>
                <w:szCs w:val="19"/>
              </w:rPr>
              <w:t xml:space="preserve">RAG Key Facts — Conduct &amp; Content</w:t>
            </w:r>
          </w:p>
          <w:p>
            <w:pPr>
              <w:spacing w:after="40" w:before="0"/>
            </w:pPr>
            <w:r>
              <w:rPr>
                <w:rFonts w:ascii="Calibri" w:cs="Calibri" w:eastAsia="Calibri" w:hAnsi="Calibri"/>
                <w:color w:val="1C2833"/>
                <w:sz w:val="19"/>
                <w:szCs w:val="19"/>
              </w:rPr>
              <w:t xml:space="preserve">neooverse: neutral host — no content liability.</w:t>
            </w:r>
          </w:p>
          <w:p>
            <w:pPr>
              <w:spacing w:after="40" w:before="0"/>
            </w:pPr>
            <w:r>
              <w:rPr>
                <w:rFonts w:ascii="Calibri" w:cs="Calibri" w:eastAsia="Calibri" w:hAnsi="Calibri"/>
                <w:color w:val="1C2833"/>
                <w:sz w:val="19"/>
                <w:szCs w:val="19"/>
              </w:rPr>
              <w:t xml:space="preserve">File transfer safety (malware/illegal content): 100% User/Client responsibility.</w:t>
            </w:r>
          </w:p>
          <w:p>
            <w:pPr>
              <w:spacing w:after="40" w:before="0"/>
            </w:pPr>
            <w:r>
              <w:rPr>
                <w:rFonts w:ascii="Calibri" w:cs="Calibri" w:eastAsia="Calibri" w:hAnsi="Calibri"/>
                <w:color w:val="1C2833"/>
                <w:sz w:val="19"/>
                <w:szCs w:val="19"/>
              </w:rPr>
              <w:t xml:space="preserve">Prohibited: harassment, data mining, illegal acts under UAE law or local law.</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5 — Video Conferencing &amp; Recordings</w:t>
      </w:r>
    </w:p>
    <w:p>
      <w:pPr>
        <w:spacing w:after="80" w:before="80"/>
      </w:pPr>
      <w:r>
        <w:rPr>
          <w:rFonts w:ascii="Calibri" w:cs="Calibri" w:eastAsia="Calibri" w:hAnsi="Calibri"/>
          <w:color w:val="1C2833"/>
          <w:sz w:val="20"/>
          <w:szCs w:val="20"/>
        </w:rPr>
        <w:t xml:space="preserve">neooverse provides real-time video conferencing capabilities. The following terms govern the use of video calls and the recording feature.</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5.1  Real-Time Calls &amp; Privacy</w:t>
      </w:r>
    </w:p>
    <w:p>
      <w:pPr>
        <w:pStyle w:val="ListParagraph"/>
        <w:numPr>
          <w:ilvl w:val="0"/>
          <w:numId w:val="2"/>
        </w:numPr>
        <w:spacing w:after="60" w:before="60"/>
      </w:pPr>
      <w:r>
        <w:rPr>
          <w:rFonts w:ascii="Calibri" w:cs="Calibri" w:eastAsia="Calibri" w:hAnsi="Calibri"/>
          <w:b/>
          <w:bCs/>
          <w:color w:val="1A3C5E"/>
          <w:sz w:val="20"/>
          <w:szCs w:val="20"/>
        </w:rPr>
        <w:t xml:space="preserve">No Monitoring:</w:t>
      </w:r>
      <w:r>
        <w:rPr>
          <w:rFonts w:ascii="Calibri" w:cs="Calibri" w:eastAsia="Calibri" w:hAnsi="Calibri"/>
          <w:sz w:val="20"/>
          <w:szCs w:val="20"/>
        </w:rPr>
        <w:t xml:space="preserve">  </w:t>
      </w:r>
      <w:r>
        <w:rPr>
          <w:rFonts w:ascii="Calibri" w:cs="Calibri" w:eastAsia="Calibri" w:hAnsi="Calibri"/>
          <w:color w:val="1C2833"/>
          <w:sz w:val="20"/>
          <w:szCs w:val="20"/>
        </w:rPr>
        <w:t xml:space="preserve">Video calls and screen-sharing sessions are conducted in real time. neooverse does not monitor, intercept, or access private conversations.</w:t>
      </w:r>
      <w:r>
        <w:rPr>
          <w:rFonts w:ascii="Calibri" w:cs="Calibri" w:eastAsia="Calibri" w:hAnsi="Calibri"/>
          <w:i/>
          <w:iCs/>
          <w:color w:val="5D6D7E"/>
          <w:sz w:val="18"/>
          <w:szCs w:val="18"/>
        </w:rPr>
        <w:t xml:space="preserve">  [Ref: SEC-5-PRIV]</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5.2  Recording Feature</w:t>
      </w:r>
    </w:p>
    <w:p>
      <w:pPr>
        <w:pStyle w:val="ListParagraph"/>
        <w:numPr>
          <w:ilvl w:val="0"/>
          <w:numId w:val="2"/>
        </w:numPr>
        <w:spacing w:after="60" w:before="60"/>
      </w:pPr>
      <w:r>
        <w:rPr>
          <w:rFonts w:ascii="Calibri" w:cs="Calibri" w:eastAsia="Calibri" w:hAnsi="Calibri"/>
          <w:b/>
          <w:bCs/>
          <w:color w:val="1A3C5E"/>
          <w:sz w:val="20"/>
          <w:szCs w:val="20"/>
        </w:rPr>
        <w:t xml:space="preserve">Local Storage Only:</w:t>
      </w:r>
      <w:r>
        <w:rPr>
          <w:rFonts w:ascii="Calibri" w:cs="Calibri" w:eastAsia="Calibri" w:hAnsi="Calibri"/>
          <w:sz w:val="20"/>
          <w:szCs w:val="20"/>
        </w:rPr>
        <w:t xml:space="preserve">  </w:t>
      </w:r>
      <w:r>
        <w:rPr>
          <w:rFonts w:ascii="Calibri" w:cs="Calibri" w:eastAsia="Calibri" w:hAnsi="Calibri"/>
          <w:color w:val="1C2833"/>
          <w:sz w:val="20"/>
          <w:szCs w:val="20"/>
        </w:rPr>
        <w:t xml:space="preserve">When a recording is made, the file is saved directly and exclusively to the recording user's local device.</w:t>
      </w:r>
      <w:r>
        <w:rPr>
          <w:rFonts w:ascii="Calibri" w:cs="Calibri" w:eastAsia="Calibri" w:hAnsi="Calibri"/>
          <w:i/>
          <w:iCs/>
          <w:color w:val="5D6D7E"/>
          <w:sz w:val="18"/>
          <w:szCs w:val="18"/>
        </w:rPr>
        <w:t xml:space="preserve">  [Ref: SEC-5-LOCAL]</w:t>
      </w:r>
    </w:p>
    <w:p>
      <w:pPr>
        <w:pStyle w:val="ListParagraph"/>
        <w:numPr>
          <w:ilvl w:val="0"/>
          <w:numId w:val="2"/>
        </w:numPr>
        <w:spacing w:after="60" w:before="60"/>
      </w:pPr>
      <w:r>
        <w:rPr>
          <w:rFonts w:ascii="Calibri" w:cs="Calibri" w:eastAsia="Calibri" w:hAnsi="Calibri"/>
          <w:b/>
          <w:bCs/>
          <w:color w:val="1A3C5E"/>
          <w:sz w:val="20"/>
          <w:szCs w:val="20"/>
        </w:rPr>
        <w:t xml:space="preserve">No neooverse Access:</w:t>
      </w:r>
      <w:r>
        <w:rPr>
          <w:rFonts w:ascii="Calibri" w:cs="Calibri" w:eastAsia="Calibri" w:hAnsi="Calibri"/>
          <w:sz w:val="20"/>
          <w:szCs w:val="20"/>
        </w:rPr>
        <w:t xml:space="preserve">  </w:t>
      </w:r>
      <w:r>
        <w:rPr>
          <w:rFonts w:ascii="Calibri" w:cs="Calibri" w:eastAsia="Calibri" w:hAnsi="Calibri"/>
          <w:color w:val="1C2833"/>
          <w:sz w:val="20"/>
          <w:szCs w:val="20"/>
        </w:rPr>
        <w:t xml:space="preserve">neooverse does not host, store, or have any access to recorded meeting files.</w:t>
      </w:r>
      <w:r>
        <w:rPr>
          <w:rFonts w:ascii="Calibri" w:cs="Calibri" w:eastAsia="Calibri" w:hAnsi="Calibri"/>
          <w:i/>
          <w:iCs/>
          <w:color w:val="5D6D7E"/>
          <w:sz w:val="18"/>
          <w:szCs w:val="18"/>
        </w:rPr>
        <w:t xml:space="preserve">  [Ref: SEC-5-NOSTORE]</w:t>
      </w:r>
    </w:p>
    <w:p>
      <w:pPr>
        <w:pStyle w:val="ListParagraph"/>
        <w:numPr>
          <w:ilvl w:val="0"/>
          <w:numId w:val="2"/>
        </w:numPr>
        <w:spacing w:after="60" w:before="60"/>
      </w:pPr>
      <w:r>
        <w:rPr>
          <w:rFonts w:ascii="Calibri" w:cs="Calibri" w:eastAsia="Calibri" w:hAnsi="Calibri"/>
          <w:b/>
          <w:bCs/>
          <w:color w:val="1A3C5E"/>
          <w:sz w:val="20"/>
          <w:szCs w:val="20"/>
        </w:rPr>
        <w:t xml:space="preserve">Consent Obligation:</w:t>
      </w:r>
      <w:r>
        <w:rPr>
          <w:rFonts w:ascii="Calibri" w:cs="Calibri" w:eastAsia="Calibri" w:hAnsi="Calibri"/>
          <w:sz w:val="20"/>
          <w:szCs w:val="20"/>
        </w:rPr>
        <w:t xml:space="preserve">  </w:t>
      </w:r>
      <w:r>
        <w:rPr>
          <w:rFonts w:ascii="Calibri" w:cs="Calibri" w:eastAsia="Calibri" w:hAnsi="Calibri"/>
          <w:color w:val="1C2833"/>
          <w:sz w:val="20"/>
          <w:szCs w:val="20"/>
        </w:rPr>
        <w:t xml:space="preserve">The user who initiates a recording is solely responsible for obtaining prior, informed consent from all participants before the recording begins.</w:t>
      </w:r>
      <w:r>
        <w:rPr>
          <w:rFonts w:ascii="Calibri" w:cs="Calibri" w:eastAsia="Calibri" w:hAnsi="Calibri"/>
          <w:i/>
          <w:iCs/>
          <w:color w:val="5D6D7E"/>
          <w:sz w:val="18"/>
          <w:szCs w:val="18"/>
        </w:rPr>
        <w:t xml:space="preserve">  [Ref: SEC-5-CONSENT]</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AF8" w:val="clear"/>
            <w:tcMar>
              <w:top w:type="dxa" w:w="120"/>
              <w:left w:type="dxa" w:w="200"/>
              <w:bottom w:type="dxa" w:w="120"/>
              <w:right w:type="dxa" w:w="200"/>
            </w:tcMar>
          </w:tcPr>
          <w:p>
            <w:pPr>
              <w:spacing w:after="60" w:before="0"/>
            </w:pPr>
            <w:r>
              <w:rPr>
                <w:rFonts w:ascii="Calibri" w:cs="Calibri" w:eastAsia="Calibri" w:hAnsi="Calibri"/>
                <w:b/>
                <w:bCs/>
                <w:color w:val="1A3C5E"/>
                <w:sz w:val="19"/>
                <w:szCs w:val="19"/>
              </w:rPr>
              <w:t xml:space="preserve">RAG Key Facts — Video &amp; Recordings</w:t>
            </w:r>
          </w:p>
          <w:p>
            <w:pPr>
              <w:spacing w:after="40" w:before="0"/>
            </w:pPr>
            <w:r>
              <w:rPr>
                <w:rFonts w:ascii="Calibri" w:cs="Calibri" w:eastAsia="Calibri" w:hAnsi="Calibri"/>
                <w:color w:val="1C2833"/>
                <w:sz w:val="19"/>
                <w:szCs w:val="19"/>
              </w:rPr>
              <w:t xml:space="preserve">Calls are real-time; neooverse does not monitor conversations.</w:t>
            </w:r>
          </w:p>
          <w:p>
            <w:pPr>
              <w:spacing w:after="40" w:before="0"/>
            </w:pPr>
            <w:r>
              <w:rPr>
                <w:rFonts w:ascii="Calibri" w:cs="Calibri" w:eastAsia="Calibri" w:hAnsi="Calibri"/>
                <w:color w:val="1C2833"/>
                <w:sz w:val="19"/>
                <w:szCs w:val="19"/>
              </w:rPr>
              <w:t xml:space="preserve">Recordings: saved to local device only — neooverse has no access.</w:t>
            </w:r>
          </w:p>
          <w:p>
            <w:pPr>
              <w:spacing w:after="40" w:before="0"/>
            </w:pPr>
            <w:r>
              <w:rPr>
                <w:rFonts w:ascii="Calibri" w:cs="Calibri" w:eastAsia="Calibri" w:hAnsi="Calibri"/>
                <w:color w:val="1C2833"/>
                <w:sz w:val="19"/>
                <w:szCs w:val="19"/>
              </w:rPr>
              <w:t xml:space="preserve">Consent to record: user's sole legal responsibility.</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6 — Termination of Access</w:t>
      </w:r>
    </w:p>
    <w:p>
      <w:pPr>
        <w:spacing w:after="80" w:before="80"/>
      </w:pPr>
      <w:r>
        <w:rPr>
          <w:rFonts w:ascii="Calibri" w:cs="Calibri" w:eastAsia="Calibri" w:hAnsi="Calibri"/>
          <w:color w:val="1C2833"/>
          <w:sz w:val="20"/>
          <w:szCs w:val="20"/>
        </w:rPr>
        <w:t xml:space="preserve">neooverse reserves the right to terminate access at its sole discretion, without prior notice, in the following circumstances.</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6.1  Grounds for Termination</w:t>
      </w:r>
    </w:p>
    <w:p>
      <w:pPr>
        <w:pStyle w:val="ListParagraph"/>
        <w:numPr>
          <w:ilvl w:val="0"/>
          <w:numId w:val="3"/>
        </w:numPr>
        <w:spacing w:after="60" w:before="60"/>
      </w:pPr>
      <w:r>
        <w:rPr>
          <w:rFonts w:ascii="Calibri" w:cs="Calibri" w:eastAsia="Calibri" w:hAnsi="Calibri"/>
          <w:color w:val="1C2833"/>
          <w:sz w:val="20"/>
          <w:szCs w:val="20"/>
        </w:rPr>
        <w:t xml:space="preserve">Termination of a User: neooverse may terminate an individual user's access if that user violates community standards or engages in harassment toward other users.</w:t>
      </w:r>
    </w:p>
    <w:p>
      <w:pPr>
        <w:pStyle w:val="ListParagraph"/>
        <w:numPr>
          <w:ilvl w:val="0"/>
          <w:numId w:val="3"/>
        </w:numPr>
        <w:spacing w:after="60" w:before="60"/>
      </w:pPr>
      <w:r>
        <w:rPr>
          <w:rFonts w:ascii="Calibri" w:cs="Calibri" w:eastAsia="Calibri" w:hAnsi="Calibri"/>
          <w:color w:val="1C2833"/>
          <w:sz w:val="20"/>
          <w:szCs w:val="20"/>
        </w:rPr>
        <w:t xml:space="preserve">Termination of a Client/Company: neooverse may terminate a client's entire instance if the platform is used for malicious, fraudulent, or illegal purposes.</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6.2  Consequences of Termination</w:t>
      </w:r>
    </w:p>
    <w:p>
      <w:pPr>
        <w:pStyle w:val="ListParagraph"/>
        <w:numPr>
          <w:ilvl w:val="0"/>
          <w:numId w:val="2"/>
        </w:numPr>
        <w:spacing w:after="60" w:before="60"/>
      </w:pPr>
      <w:r>
        <w:rPr>
          <w:rFonts w:ascii="Calibri" w:cs="Calibri" w:eastAsia="Calibri" w:hAnsi="Calibri"/>
          <w:b/>
          <w:bCs/>
          <w:color w:val="1A3C5E"/>
          <w:sz w:val="20"/>
          <w:szCs w:val="20"/>
        </w:rPr>
        <w:t xml:space="preserve">No Refunds:</w:t>
      </w:r>
      <w:r>
        <w:rPr>
          <w:rFonts w:ascii="Calibri" w:cs="Calibri" w:eastAsia="Calibri" w:hAnsi="Calibri"/>
          <w:sz w:val="20"/>
          <w:szCs w:val="20"/>
        </w:rPr>
        <w:t xml:space="preserve">  </w:t>
      </w:r>
      <w:r>
        <w:rPr>
          <w:rFonts w:ascii="Calibri" w:cs="Calibri" w:eastAsia="Calibri" w:hAnsi="Calibri"/>
          <w:color w:val="1C2833"/>
          <w:sz w:val="20"/>
          <w:szCs w:val="20"/>
        </w:rPr>
        <w:t xml:space="preserve">In the event of termination for cause, no refunds of any fees paid shall be issued.</w:t>
      </w:r>
      <w:r>
        <w:rPr>
          <w:rFonts w:ascii="Calibri" w:cs="Calibri" w:eastAsia="Calibri" w:hAnsi="Calibri"/>
          <w:i/>
          <w:iCs/>
          <w:color w:val="5D6D7E"/>
          <w:sz w:val="18"/>
          <w:szCs w:val="18"/>
        </w:rPr>
        <w:t xml:space="preserve">  [Ref: SEC-6-REFUND]</w:t>
      </w:r>
    </w:p>
    <w:p>
      <w:pPr>
        <w:pStyle w:val="ListParagraph"/>
        <w:numPr>
          <w:ilvl w:val="0"/>
          <w:numId w:val="2"/>
        </w:numPr>
        <w:spacing w:after="60" w:before="60"/>
      </w:pPr>
      <w:r>
        <w:rPr>
          <w:rFonts w:ascii="Calibri" w:cs="Calibri" w:eastAsia="Calibri" w:hAnsi="Calibri"/>
          <w:b/>
          <w:bCs/>
          <w:color w:val="1A3C5E"/>
          <w:sz w:val="20"/>
          <w:szCs w:val="20"/>
        </w:rPr>
        <w:t xml:space="preserve">No Prior Notice Required:</w:t>
      </w:r>
      <w:r>
        <w:rPr>
          <w:rFonts w:ascii="Calibri" w:cs="Calibri" w:eastAsia="Calibri" w:hAnsi="Calibri"/>
          <w:sz w:val="20"/>
          <w:szCs w:val="20"/>
        </w:rPr>
        <w:t xml:space="preserve">  </w:t>
      </w:r>
      <w:r>
        <w:rPr>
          <w:rFonts w:ascii="Calibri" w:cs="Calibri" w:eastAsia="Calibri" w:hAnsi="Calibri"/>
          <w:color w:val="1C2833"/>
          <w:sz w:val="20"/>
          <w:szCs w:val="20"/>
        </w:rPr>
        <w:t xml:space="preserve">Termination may occur without advance warning to the affected user or client.</w:t>
      </w:r>
      <w:r>
        <w:rPr>
          <w:rFonts w:ascii="Calibri" w:cs="Calibri" w:eastAsia="Calibri" w:hAnsi="Calibri"/>
          <w:i/>
          <w:iCs/>
          <w:color w:val="5D6D7E"/>
          <w:sz w:val="18"/>
          <w:szCs w:val="18"/>
        </w:rPr>
        <w:t xml:space="preserve">  [Ref: SEC-6-NOTICE]</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60" w:before="0"/>
            </w:pPr>
            <w:r>
              <w:rPr>
                <w:rFonts w:ascii="Calibri" w:cs="Calibri" w:eastAsia="Calibri" w:hAnsi="Calibri"/>
                <w:b/>
                <w:bCs/>
                <w:color w:val="1A3C5E"/>
                <w:sz w:val="19"/>
                <w:szCs w:val="19"/>
              </w:rPr>
              <w:t xml:space="preserve">RAG Key Facts — Termination</w:t>
            </w:r>
          </w:p>
          <w:p>
            <w:pPr>
              <w:spacing w:after="40" w:before="0"/>
            </w:pPr>
            <w:r>
              <w:rPr>
                <w:rFonts w:ascii="Calibri" w:cs="Calibri" w:eastAsia="Calibri" w:hAnsi="Calibri"/>
                <w:color w:val="1C2833"/>
                <w:sz w:val="19"/>
                <w:szCs w:val="19"/>
              </w:rPr>
              <w:t xml:space="preserve">Termination can be applied to individual users or entire client accounts.</w:t>
            </w:r>
          </w:p>
          <w:p>
            <w:pPr>
              <w:spacing w:after="40" w:before="0"/>
            </w:pPr>
            <w:r>
              <w:rPr>
                <w:rFonts w:ascii="Calibri" w:cs="Calibri" w:eastAsia="Calibri" w:hAnsi="Calibri"/>
                <w:color w:val="1C2833"/>
                <w:sz w:val="19"/>
                <w:szCs w:val="19"/>
              </w:rPr>
              <w:t xml:space="preserve">Grounds: community violations, harassment, malicious/fraudulent/illegal use.</w:t>
            </w:r>
          </w:p>
          <w:p>
            <w:pPr>
              <w:spacing w:after="40" w:before="0"/>
            </w:pPr>
            <w:r>
              <w:rPr>
                <w:rFonts w:ascii="Calibri" w:cs="Calibri" w:eastAsia="Calibri" w:hAnsi="Calibri"/>
                <w:color w:val="1C2833"/>
                <w:sz w:val="19"/>
                <w:szCs w:val="19"/>
              </w:rPr>
              <w:t xml:space="preserve">No prior notice required.</w:t>
            </w:r>
          </w:p>
          <w:p>
            <w:pPr>
              <w:spacing w:after="40" w:before="0"/>
            </w:pPr>
            <w:r>
              <w:rPr>
                <w:rFonts w:ascii="Calibri" w:cs="Calibri" w:eastAsia="Calibri" w:hAnsi="Calibri"/>
                <w:color w:val="1C2833"/>
                <w:sz w:val="19"/>
                <w:szCs w:val="19"/>
              </w:rPr>
              <w:t xml:space="preserve">No refunds on termination for cause.</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7 — Limitation of Liability</w:t>
      </w:r>
    </w:p>
    <w:p>
      <w:pPr>
        <w:spacing w:after="80" w:before="80"/>
      </w:pPr>
      <w:r>
        <w:rPr>
          <w:rFonts w:ascii="Calibri" w:cs="Calibri" w:eastAsia="Calibri" w:hAnsi="Calibri"/>
          <w:color w:val="1C2833"/>
          <w:sz w:val="20"/>
          <w:szCs w:val="20"/>
        </w:rPr>
        <w:t xml:space="preserve">To the fullest extent permitted by applicable law, neooverse adopts a broad limitation of liability. Users accept these limitations as a fundamental condition of accessing the platform.</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7.1  Excluded Damages</w:t>
      </w:r>
    </w:p>
    <w:p>
      <w:pPr>
        <w:spacing w:after="80" w:before="80"/>
      </w:pPr>
      <w:r>
        <w:rPr>
          <w:rFonts w:ascii="Calibri" w:cs="Calibri" w:eastAsia="Calibri" w:hAnsi="Calibri"/>
          <w:color w:val="1C2833"/>
          <w:sz w:val="20"/>
          <w:szCs w:val="20"/>
        </w:rPr>
        <w:t xml:space="preserve">neooverse, its directors, and employees shall not be liable for any of the following categories of loss arising from use of the platform:</w:t>
      </w:r>
    </w:p>
    <w:p>
      <w:pPr>
        <w:pStyle w:val="ListParagraph"/>
        <w:numPr>
          <w:ilvl w:val="0"/>
          <w:numId w:val="2"/>
        </w:numPr>
        <w:spacing w:after="60" w:before="60"/>
      </w:pPr>
      <w:r>
        <w:rPr>
          <w:rFonts w:ascii="Calibri" w:cs="Calibri" w:eastAsia="Calibri" w:hAnsi="Calibri"/>
          <w:b/>
          <w:bCs/>
          <w:color w:val="1A3C5E"/>
          <w:sz w:val="20"/>
          <w:szCs w:val="20"/>
        </w:rPr>
        <w:t xml:space="preserve">Indirect Damages:</w:t>
      </w:r>
      <w:r>
        <w:rPr>
          <w:rFonts w:ascii="Calibri" w:cs="Calibri" w:eastAsia="Calibri" w:hAnsi="Calibri"/>
          <w:sz w:val="20"/>
          <w:szCs w:val="20"/>
        </w:rPr>
        <w:t xml:space="preserve">  </w:t>
      </w:r>
      <w:r>
        <w:rPr>
          <w:rFonts w:ascii="Calibri" w:cs="Calibri" w:eastAsia="Calibri" w:hAnsi="Calibri"/>
          <w:color w:val="1C2833"/>
          <w:sz w:val="20"/>
          <w:szCs w:val="20"/>
        </w:rPr>
        <w:t xml:space="preserve">Losses that arise as a secondary consequence of the platform's use or failure.</w:t>
      </w:r>
      <w:r>
        <w:rPr>
          <w:rFonts w:ascii="Calibri" w:cs="Calibri" w:eastAsia="Calibri" w:hAnsi="Calibri"/>
          <w:i/>
          <w:iCs/>
          <w:color w:val="5D6D7E"/>
          <w:sz w:val="18"/>
          <w:szCs w:val="18"/>
        </w:rPr>
        <w:t xml:space="preserve">  [Ref: SEC-7-INDIRECT]</w:t>
      </w:r>
    </w:p>
    <w:p>
      <w:pPr>
        <w:pStyle w:val="ListParagraph"/>
        <w:numPr>
          <w:ilvl w:val="0"/>
          <w:numId w:val="2"/>
        </w:numPr>
        <w:spacing w:after="60" w:before="60"/>
      </w:pPr>
      <w:r>
        <w:rPr>
          <w:rFonts w:ascii="Calibri" w:cs="Calibri" w:eastAsia="Calibri" w:hAnsi="Calibri"/>
          <w:b/>
          <w:bCs/>
          <w:color w:val="1A3C5E"/>
          <w:sz w:val="20"/>
          <w:szCs w:val="20"/>
        </w:rPr>
        <w:t xml:space="preserve">Incidental Damages:</w:t>
      </w:r>
      <w:r>
        <w:rPr>
          <w:rFonts w:ascii="Calibri" w:cs="Calibri" w:eastAsia="Calibri" w:hAnsi="Calibri"/>
          <w:sz w:val="20"/>
          <w:szCs w:val="20"/>
        </w:rPr>
        <w:t xml:space="preserve">  </w:t>
      </w:r>
      <w:r>
        <w:rPr>
          <w:rFonts w:ascii="Calibri" w:cs="Calibri" w:eastAsia="Calibri" w:hAnsi="Calibri"/>
          <w:color w:val="1C2833"/>
          <w:sz w:val="20"/>
          <w:szCs w:val="20"/>
        </w:rPr>
        <w:t xml:space="preserve">Unplanned losses incidentally connected to platform use.</w:t>
      </w:r>
      <w:r>
        <w:rPr>
          <w:rFonts w:ascii="Calibri" w:cs="Calibri" w:eastAsia="Calibri" w:hAnsi="Calibri"/>
          <w:i/>
          <w:iCs/>
          <w:color w:val="5D6D7E"/>
          <w:sz w:val="18"/>
          <w:szCs w:val="18"/>
        </w:rPr>
        <w:t xml:space="preserve">  [Ref: SEC-7-INCIDENT]</w:t>
      </w:r>
    </w:p>
    <w:p>
      <w:pPr>
        <w:pStyle w:val="ListParagraph"/>
        <w:numPr>
          <w:ilvl w:val="0"/>
          <w:numId w:val="2"/>
        </w:numPr>
        <w:spacing w:after="60" w:before="60"/>
      </w:pPr>
      <w:r>
        <w:rPr>
          <w:rFonts w:ascii="Calibri" w:cs="Calibri" w:eastAsia="Calibri" w:hAnsi="Calibri"/>
          <w:b/>
          <w:bCs/>
          <w:color w:val="1A3C5E"/>
          <w:sz w:val="20"/>
          <w:szCs w:val="20"/>
        </w:rPr>
        <w:t xml:space="preserve">Consequential Damages:</w:t>
      </w:r>
      <w:r>
        <w:rPr>
          <w:rFonts w:ascii="Calibri" w:cs="Calibri" w:eastAsia="Calibri" w:hAnsi="Calibri"/>
          <w:sz w:val="20"/>
          <w:szCs w:val="20"/>
        </w:rPr>
        <w:t xml:space="preserve">  </w:t>
      </w:r>
      <w:r>
        <w:rPr>
          <w:rFonts w:ascii="Calibri" w:cs="Calibri" w:eastAsia="Calibri" w:hAnsi="Calibri"/>
          <w:color w:val="1C2833"/>
          <w:sz w:val="20"/>
          <w:szCs w:val="20"/>
        </w:rPr>
        <w:t xml:space="preserve">Loss of profits, loss of data, loss of goodwill, or other downstream financial harm.</w:t>
      </w:r>
      <w:r>
        <w:rPr>
          <w:rFonts w:ascii="Calibri" w:cs="Calibri" w:eastAsia="Calibri" w:hAnsi="Calibri"/>
          <w:i/>
          <w:iCs/>
          <w:color w:val="5D6D7E"/>
          <w:sz w:val="18"/>
          <w:szCs w:val="18"/>
        </w:rPr>
        <w:t xml:space="preserve">  [Ref: SEC-7-CONSQ]</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7.2  Sole Remedy</w:t>
      </w:r>
    </w:p>
    <w:p>
      <w:pPr>
        <w:pStyle w:val="ListParagraph"/>
        <w:numPr>
          <w:ilvl w:val="0"/>
          <w:numId w:val="2"/>
        </w:numPr>
        <w:spacing w:after="60" w:before="60"/>
      </w:pPr>
      <w:r>
        <w:rPr>
          <w:rFonts w:ascii="Calibri" w:cs="Calibri" w:eastAsia="Calibri" w:hAnsi="Calibri"/>
          <w:b/>
          <w:bCs/>
          <w:color w:val="1A3C5E"/>
          <w:sz w:val="20"/>
          <w:szCs w:val="20"/>
        </w:rPr>
        <w:t xml:space="preserve">User Remedy:</w:t>
      </w:r>
      <w:r>
        <w:rPr>
          <w:rFonts w:ascii="Calibri" w:cs="Calibri" w:eastAsia="Calibri" w:hAnsi="Calibri"/>
          <w:sz w:val="20"/>
          <w:szCs w:val="20"/>
        </w:rPr>
        <w:t xml:space="preserve">  </w:t>
      </w:r>
      <w:r>
        <w:rPr>
          <w:rFonts w:ascii="Calibri" w:cs="Calibri" w:eastAsia="Calibri" w:hAnsi="Calibri"/>
          <w:color w:val="1C2833"/>
          <w:sz w:val="20"/>
          <w:szCs w:val="20"/>
        </w:rPr>
        <w:t xml:space="preserve">The user's sole and exclusive remedy for dissatisfaction with the service is to discontinue use of the platform.</w:t>
      </w:r>
      <w:r>
        <w:rPr>
          <w:rFonts w:ascii="Calibri" w:cs="Calibri" w:eastAsia="Calibri" w:hAnsi="Calibri"/>
          <w:i/>
          <w:iCs/>
          <w:color w:val="5D6D7E"/>
          <w:sz w:val="18"/>
          <w:szCs w:val="18"/>
        </w:rPr>
        <w:t xml:space="preserve">  [Ref: SEC-7-REMEDY]</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60" w:before="0"/>
            </w:pPr>
            <w:r>
              <w:rPr>
                <w:rFonts w:ascii="Calibri" w:cs="Calibri" w:eastAsia="Calibri" w:hAnsi="Calibri"/>
                <w:b/>
                <w:bCs/>
                <w:color w:val="1A3C5E"/>
                <w:sz w:val="19"/>
                <w:szCs w:val="19"/>
              </w:rPr>
              <w:t xml:space="preserve">RAG Key Facts — Liability</w:t>
            </w:r>
          </w:p>
          <w:p>
            <w:pPr>
              <w:spacing w:after="40" w:before="0"/>
            </w:pPr>
            <w:r>
              <w:rPr>
                <w:rFonts w:ascii="Calibri" w:cs="Calibri" w:eastAsia="Calibri" w:hAnsi="Calibri"/>
                <w:color w:val="1C2833"/>
                <w:sz w:val="19"/>
                <w:szCs w:val="19"/>
              </w:rPr>
              <w:t xml:space="preserve">neooverse: not liable for indirect, incidental, or consequential damages.</w:t>
            </w:r>
          </w:p>
          <w:p>
            <w:pPr>
              <w:spacing w:after="40" w:before="0"/>
            </w:pPr>
            <w:r>
              <w:rPr>
                <w:rFonts w:ascii="Calibri" w:cs="Calibri" w:eastAsia="Calibri" w:hAnsi="Calibri"/>
                <w:color w:val="1C2833"/>
                <w:sz w:val="19"/>
                <w:szCs w:val="19"/>
              </w:rPr>
              <w:t xml:space="preserve">Excludes: loss of profits, data, and goodwill.</w:t>
            </w:r>
          </w:p>
          <w:p>
            <w:pPr>
              <w:spacing w:after="40" w:before="0"/>
            </w:pPr>
            <w:r>
              <w:rPr>
                <w:rFonts w:ascii="Calibri" w:cs="Calibri" w:eastAsia="Calibri" w:hAnsi="Calibri"/>
                <w:color w:val="1C2833"/>
                <w:sz w:val="19"/>
                <w:szCs w:val="19"/>
              </w:rPr>
              <w:t xml:space="preserve">Sole user remedy: stop using the platform.</w:t>
            </w:r>
          </w:p>
          <w:p>
            <w:pPr>
              <w:spacing w:after="40" w:before="0"/>
            </w:pPr>
            <w:r>
              <w:rPr>
                <w:rFonts w:ascii="Calibri" w:cs="Calibri" w:eastAsia="Calibri" w:hAnsi="Calibri"/>
                <w:color w:val="1C2833"/>
                <w:sz w:val="19"/>
                <w:szCs w:val="19"/>
              </w:rPr>
              <w:t xml:space="preserve">Limitation applies to neooverse, its directors, and employees.</w:t>
            </w:r>
          </w:p>
        </w:tc>
      </w:tr>
    </w:tbl>
    <w:p>
      <w:pPr>
        <w:spacing w:after="60" w:before="0"/>
      </w:pPr>
      <w:r>
        <w:rPr>
          <w:rFonts w:ascii="Calibri" w:cs="Calibri" w:eastAsia="Calibri" w:hAnsi="Calibri"/>
        </w:rPr>
        <w:t xml:space="preserve"/>
      </w:r>
    </w:p>
    <w:p>
      <w:pPr>
        <w:pStyle w:val="Heading1"/>
        <w:pBdr>
          <w:bottom w:val="single" w:color="2E86C1" w:sz="4"/>
        </w:pBdr>
        <w:spacing w:after="120" w:before="280"/>
      </w:pPr>
      <w:r>
        <w:rPr>
          <w:rFonts w:ascii="Calibri" w:cs="Calibri" w:eastAsia="Calibri" w:hAnsi="Calibri"/>
          <w:b/>
          <w:bCs/>
          <w:color w:val="1A3C5E"/>
          <w:sz w:val="26"/>
          <w:szCs w:val="26"/>
        </w:rPr>
        <w:t xml:space="preserve">Section 8 — Governing Law &amp; Jurisdiction</w:t>
      </w:r>
    </w:p>
    <w:p>
      <w:pPr>
        <w:spacing w:after="80" w:before="80"/>
      </w:pPr>
      <w:r>
        <w:rPr>
          <w:rFonts w:ascii="Calibri" w:cs="Calibri" w:eastAsia="Calibri" w:hAnsi="Calibri"/>
          <w:color w:val="1C2833"/>
          <w:sz w:val="20"/>
          <w:szCs w:val="20"/>
        </w:rPr>
        <w:t xml:space="preserve">These Terms and Conditions are governed by, and shall be construed in accordance with, the laws of the United Arab Emirates. The following provisions apply to all disputes arising from these terms.</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8.1  Applicable Law</w:t>
      </w:r>
    </w:p>
    <w:p>
      <w:pPr>
        <w:pStyle w:val="ListParagraph"/>
        <w:numPr>
          <w:ilvl w:val="0"/>
          <w:numId w:val="2"/>
        </w:numPr>
        <w:spacing w:after="60" w:before="60"/>
      </w:pPr>
      <w:r>
        <w:rPr>
          <w:rFonts w:ascii="Calibri" w:cs="Calibri" w:eastAsia="Calibri" w:hAnsi="Calibri"/>
          <w:b/>
          <w:bCs/>
          <w:color w:val="1A3C5E"/>
          <w:sz w:val="20"/>
          <w:szCs w:val="20"/>
        </w:rPr>
        <w:t xml:space="preserve">Governing Law:</w:t>
      </w:r>
      <w:r>
        <w:rPr>
          <w:rFonts w:ascii="Calibri" w:cs="Calibri" w:eastAsia="Calibri" w:hAnsi="Calibri"/>
          <w:sz w:val="20"/>
          <w:szCs w:val="20"/>
        </w:rPr>
        <w:t xml:space="preserve">  </w:t>
      </w:r>
      <w:r>
        <w:rPr>
          <w:rFonts w:ascii="Calibri" w:cs="Calibri" w:eastAsia="Calibri" w:hAnsi="Calibri"/>
          <w:color w:val="1C2833"/>
          <w:sz w:val="20"/>
          <w:szCs w:val="20"/>
        </w:rPr>
        <w:t xml:space="preserve">The laws of the United Arab Emirates govern these terms in all respects.</w:t>
      </w:r>
      <w:r>
        <w:rPr>
          <w:rFonts w:ascii="Calibri" w:cs="Calibri" w:eastAsia="Calibri" w:hAnsi="Calibri"/>
          <w:i/>
          <w:iCs/>
          <w:color w:val="5D6D7E"/>
          <w:sz w:val="18"/>
          <w:szCs w:val="18"/>
        </w:rPr>
        <w:t xml:space="preserve">  [Ref: SEC-8-LAW]</w:t>
      </w:r>
    </w:p>
    <w:p>
      <w:pPr>
        <w:spacing w:after="60" w:before="0"/>
      </w:pPr>
      <w:r>
        <w:rPr>
          <w:rFonts w:ascii="Calibri" w:cs="Calibri" w:eastAsia="Calibri" w:hAnsi="Calibri"/>
        </w:rPr>
        <w:t xml:space="preserve"/>
      </w:r>
    </w:p>
    <w:p>
      <w:pPr>
        <w:pStyle w:val="Heading2"/>
        <w:spacing w:after="80" w:before="200"/>
      </w:pPr>
      <w:r>
        <w:rPr>
          <w:rFonts w:ascii="Calibri" w:cs="Calibri" w:eastAsia="Calibri" w:hAnsi="Calibri"/>
          <w:b/>
          <w:bCs/>
          <w:color w:val="2E86C1"/>
          <w:sz w:val="22"/>
          <w:szCs w:val="22"/>
        </w:rPr>
        <w:t xml:space="preserve">8.2  Dispute Resolution</w:t>
      </w:r>
    </w:p>
    <w:p>
      <w:pPr>
        <w:pStyle w:val="ListParagraph"/>
        <w:numPr>
          <w:ilvl w:val="0"/>
          <w:numId w:val="2"/>
        </w:numPr>
        <w:spacing w:after="60" w:before="60"/>
      </w:pPr>
      <w:r>
        <w:rPr>
          <w:rFonts w:ascii="Calibri" w:cs="Calibri" w:eastAsia="Calibri" w:hAnsi="Calibri"/>
          <w:b/>
          <w:bCs/>
          <w:color w:val="1A3C5E"/>
          <w:sz w:val="20"/>
          <w:szCs w:val="20"/>
        </w:rPr>
        <w:t xml:space="preserve">Exclusive Jurisdiction:</w:t>
      </w:r>
      <w:r>
        <w:rPr>
          <w:rFonts w:ascii="Calibri" w:cs="Calibri" w:eastAsia="Calibri" w:hAnsi="Calibri"/>
          <w:sz w:val="20"/>
          <w:szCs w:val="20"/>
        </w:rPr>
        <w:t xml:space="preserve">  </w:t>
      </w:r>
      <w:r>
        <w:rPr>
          <w:rFonts w:ascii="Calibri" w:cs="Calibri" w:eastAsia="Calibri" w:hAnsi="Calibri"/>
          <w:color w:val="1C2833"/>
          <w:sz w:val="20"/>
          <w:szCs w:val="20"/>
        </w:rPr>
        <w:t xml:space="preserve">Any disputes arising from or in connection with these terms shall be subject to the exclusive jurisdiction of the courts of the UAE.</w:t>
      </w:r>
      <w:r>
        <w:rPr>
          <w:rFonts w:ascii="Calibri" w:cs="Calibri" w:eastAsia="Calibri" w:hAnsi="Calibri"/>
          <w:i/>
          <w:iCs/>
          <w:color w:val="5D6D7E"/>
          <w:sz w:val="18"/>
          <w:szCs w:val="18"/>
        </w:rPr>
        <w:t xml:space="preserve">  [Ref: SEC-8-COURTS]</w:t>
      </w:r>
    </w:p>
    <w:p>
      <w:pPr>
        <w:pStyle w:val="ListParagraph"/>
        <w:numPr>
          <w:ilvl w:val="0"/>
          <w:numId w:val="2"/>
        </w:numPr>
        <w:spacing w:after="60" w:before="60"/>
      </w:pPr>
      <w:r>
        <w:rPr>
          <w:rFonts w:ascii="Calibri" w:cs="Calibri" w:eastAsia="Calibri" w:hAnsi="Calibri"/>
          <w:b/>
          <w:bCs/>
          <w:color w:val="1A3C5E"/>
          <w:sz w:val="20"/>
          <w:szCs w:val="20"/>
        </w:rPr>
        <w:t xml:space="preserve">No Alternative Venues:</w:t>
      </w:r>
      <w:r>
        <w:rPr>
          <w:rFonts w:ascii="Calibri" w:cs="Calibri" w:eastAsia="Calibri" w:hAnsi="Calibri"/>
          <w:sz w:val="20"/>
          <w:szCs w:val="20"/>
        </w:rPr>
        <w:t xml:space="preserve">  </w:t>
      </w:r>
      <w:r>
        <w:rPr>
          <w:rFonts w:ascii="Calibri" w:cs="Calibri" w:eastAsia="Calibri" w:hAnsi="Calibri"/>
          <w:color w:val="1C2833"/>
          <w:sz w:val="20"/>
          <w:szCs w:val="20"/>
        </w:rPr>
        <w:t xml:space="preserve">Users and clients waive the right to bring claims in any other jurisdiction or court.</w:t>
      </w:r>
      <w:r>
        <w:rPr>
          <w:rFonts w:ascii="Calibri" w:cs="Calibri" w:eastAsia="Calibri" w:hAnsi="Calibri"/>
          <w:i/>
          <w:iCs/>
          <w:color w:val="5D6D7E"/>
          <w:sz w:val="18"/>
          <w:szCs w:val="18"/>
        </w:rPr>
        <w:t xml:space="preserve">  [Ref: SEC-8-WAIVER]</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Governing Law</w:t>
            </w:r>
          </w:p>
        </w:tc>
        <w:tc>
          <w:tcPr>
            <w:tcW w:type="dxa" w:w="656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Laws of the United Arab Emirates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Forum</w:t>
            </w:r>
          </w:p>
        </w:tc>
        <w:tc>
          <w:tcPr>
            <w:tcW w:type="dxa" w:w="656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Courts of the UAE (exclusive jurisdiction)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Waiver</w:t>
            </w:r>
          </w:p>
        </w:tc>
        <w:tc>
          <w:tcPr>
            <w:tcW w:type="dxa" w:w="656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Users waive right to claims in other jurisdictions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b/>
                <w:bCs/>
                <w:color w:val="1A3C5E"/>
                <w:sz w:val="19"/>
                <w:szCs w:val="19"/>
              </w:rPr>
              <w:t xml:space="preserve">Reference Tag</w:t>
            </w:r>
          </w:p>
        </w:tc>
        <w:tc>
          <w:tcPr>
            <w:tcW w:type="dxa" w:w="656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20"/>
            </w:tcMar>
          </w:tcPr>
          <w:p>
            <w:pPr>
              <w:spacing w:after="0" w:before="0"/>
            </w:pPr>
            <w:r>
              <w:rPr>
                <w:rFonts w:ascii="Calibri" w:cs="Calibri" w:eastAsia="Calibri" w:hAnsi="Calibri"/>
                <w:color w:val="1C2833"/>
                <w:sz w:val="19"/>
                <w:szCs w:val="19"/>
              </w:rPr>
              <w:t xml:space="preserve">SEC-8-LAW / SEC-8-COURTS</w:t>
            </w:r>
          </w:p>
        </w:tc>
      </w:tr>
    </w:tbl>
    <w:p>
      <w:pPr>
        <w:spacing w:after="60" w:before="0"/>
      </w:pPr>
      <w:r>
        <w:rPr>
          <w:rFonts w:ascii="Calibri" w:cs="Calibri" w:eastAsia="Calibri" w:hAnsi="Calibri"/>
        </w:rPr>
        <w:t xml:space="preserve"/>
      </w:r>
    </w:p>
    <w:p>
      <w:pPr>
        <w:pStyle w:val="Heading1"/>
        <w:pBdr>
          <w:top w:val="single" w:color="1A3C5E" w:sz="6"/>
          <w:bottom w:val="single" w:color="2E86C1" w:sz="4"/>
        </w:pBdr>
        <w:spacing w:after="120" w:before="400"/>
      </w:pPr>
      <w:r>
        <w:rPr>
          <w:rFonts w:ascii="Calibri" w:cs="Calibri" w:eastAsia="Calibri" w:hAnsi="Calibri"/>
          <w:b/>
          <w:bCs/>
          <w:color w:val="1A3C5E"/>
          <w:sz w:val="28"/>
          <w:szCs w:val="28"/>
        </w:rPr>
        <w:t xml:space="preserve">RAG Master Reference — All Sections</w:t>
      </w:r>
    </w:p>
    <w:p>
      <w:pPr>
        <w:spacing w:after="80" w:before="80"/>
      </w:pPr>
      <w:r>
        <w:rPr>
          <w:rFonts w:ascii="Calibri" w:cs="Calibri" w:eastAsia="Calibri" w:hAnsi="Calibri"/>
          <w:color w:val="1C2833"/>
          <w:sz w:val="20"/>
          <w:szCs w:val="20"/>
        </w:rPr>
        <w:t xml:space="preserve">The table below consolidates the most retrieval-critical facts across all eight policy sections for fast RAG lookup.</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00"/>
            </w:tcMar>
          </w:tcPr>
          <w:p>
            <w:pPr>
              <w:spacing w:after="0" w:before="0"/>
            </w:pPr>
            <w:r>
              <w:rPr>
                <w:rFonts w:ascii="Calibri" w:cs="Calibri" w:eastAsia="Calibri" w:hAnsi="Calibri"/>
                <w:b/>
                <w:bCs/>
                <w:color w:val="FFFFFF"/>
                <w:sz w:val="18"/>
                <w:szCs w:val="18"/>
              </w:rPr>
              <w:t xml:space="preserve">Section</w:t>
            </w:r>
          </w:p>
        </w:tc>
        <w:tc>
          <w:tcPr>
            <w:tcW w:type="dxa" w:w="180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00"/>
            </w:tcMar>
          </w:tcPr>
          <w:p>
            <w:pPr>
              <w:spacing w:after="0" w:before="0"/>
            </w:pPr>
            <w:r>
              <w:rPr>
                <w:rFonts w:ascii="Calibri" w:cs="Calibri" w:eastAsia="Calibri" w:hAnsi="Calibri"/>
                <w:b/>
                <w:bCs/>
                <w:color w:val="FFFFFF"/>
                <w:sz w:val="18"/>
                <w:szCs w:val="18"/>
              </w:rPr>
              <w:t xml:space="preserve">Topic</w:t>
            </w:r>
          </w:p>
        </w:tc>
        <w:tc>
          <w:tcPr>
            <w:tcW w:type="dxa" w:w="6160"/>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00"/>
            </w:tcMar>
          </w:tcPr>
          <w:p>
            <w:pPr>
              <w:spacing w:after="0" w:before="0"/>
            </w:pPr>
            <w:r>
              <w:rPr>
                <w:rFonts w:ascii="Calibri" w:cs="Calibri" w:eastAsia="Calibri" w:hAnsi="Calibri"/>
                <w:b/>
                <w:bCs/>
                <w:color w:val="FFFFFF"/>
                <w:sz w:val="18"/>
                <w:szCs w:val="18"/>
              </w:rPr>
              <w:t xml:space="preserve">Key Policy Statement</w:t>
            </w:r>
          </w:p>
        </w:tc>
      </w:tr>
      <w:tr>
        <w:trPr>
          <w:tblHeader w:val="false"/>
        </w:trP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1</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Eligibility</w:t>
            </w:r>
          </w:p>
        </w:tc>
        <w:tc>
          <w:tcPr>
            <w:tcW w:type="dxa" w:w="6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User must be 18+ and possess legal capacity. Platform is B2B only.</w:t>
            </w:r>
          </w:p>
        </w:tc>
      </w:tr>
      <w:tr>
        <w:trPr>
          <w:tblHeader w:val="false"/>
        </w:trP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2</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No Guarantees</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Service provided as-is; no SLA or uptime warranty; no liability for downtime.</w:t>
            </w:r>
          </w:p>
        </w:tc>
      </w:tr>
      <w:tr>
        <w:trPr>
          <w:tblHeader w:val="false"/>
        </w:trP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3</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AI Persona</w:t>
            </w:r>
          </w:p>
        </w:tc>
        <w:tc>
          <w:tcPr>
            <w:tcW w:type="dxa" w:w="6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neooAI for informational use only; no liability for hallucinations; client verifies output.</w:t>
            </w:r>
          </w:p>
        </w:tc>
      </w:tr>
      <w:tr>
        <w:trPr>
          <w:tblHeader w:val="false"/>
        </w:trP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4</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User Conduct</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neooverse is neutral host; users/clients own 100% of content liability; harassment/mining prohibited.</w:t>
            </w:r>
          </w:p>
        </w:tc>
      </w:tr>
      <w:tr>
        <w:trPr>
          <w:tblHeader w:val="false"/>
        </w:trP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5</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Recordings</w:t>
            </w:r>
          </w:p>
        </w:tc>
        <w:tc>
          <w:tcPr>
            <w:tcW w:type="dxa" w:w="6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Saved locally; neooverse has no access; user must obtain participant consent.</w:t>
            </w:r>
          </w:p>
        </w:tc>
      </w:tr>
      <w:tr>
        <w:trPr>
          <w:tblHeader w:val="false"/>
        </w:trP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6</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Termination</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May terminate without notice for violations; no refund on termination for cause.</w:t>
            </w:r>
          </w:p>
        </w:tc>
      </w:tr>
      <w:tr>
        <w:trPr>
          <w:tblHeader w:val="false"/>
        </w:trP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7</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Liability</w:t>
            </w:r>
          </w:p>
        </w:tc>
        <w:tc>
          <w:tcPr>
            <w:tcW w:type="dxa" w:w="6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No indirect/incidental/consequential damages; sole remedy is to stop using platform.</w:t>
            </w:r>
          </w:p>
        </w:tc>
      </w:tr>
      <w:tr>
        <w:trPr>
          <w:tblHeader w:val="false"/>
        </w:trP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2E86C1"/>
                <w:sz w:val="18"/>
                <w:szCs w:val="18"/>
              </w:rPr>
              <w:t xml:space="preserve">8</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Governing Law</w:t>
            </w:r>
          </w:p>
        </w:tc>
        <w:tc>
          <w:tcPr>
            <w:tcW w:type="dxa" w:w="6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00"/>
            </w:tcMar>
          </w:tcPr>
          <w:p>
            <w:pPr>
              <w:spacing w:after="0" w:before="0"/>
            </w:pPr>
            <w:r>
              <w:rPr>
                <w:rFonts w:ascii="Calibri" w:cs="Calibri" w:eastAsia="Calibri" w:hAnsi="Calibri"/>
                <w:b w:val="false"/>
                <w:bCs w:val="false"/>
                <w:color w:val="1C2833"/>
                <w:sz w:val="18"/>
                <w:szCs w:val="18"/>
              </w:rPr>
              <w:t xml:space="preserve">UAE law governs; exclusive jurisdiction: UAE courts.</w:t>
            </w:r>
          </w:p>
        </w:tc>
      </w:tr>
    </w:tbl>
    <w:p>
      <w:pPr>
        <w:spacing w:after="60" w:before="0"/>
      </w:pPr>
      <w:r>
        <w:rPr>
          <w:rFonts w:ascii="Calibri" w:cs="Calibri" w:eastAsia="Calibri" w:hAnsi="Calibri"/>
        </w:rPr>
        <w:t xml:space="preserve"/>
      </w:r>
    </w:p>
    <w:p>
      <w:pPr>
        <w:pBdr>
          <w:top w:val="single" w:color="AED6F1" w:sz="4"/>
        </w:pBdr>
        <w:spacing w:after="60" w:before="200"/>
      </w:pPr>
      <w:r>
        <w:rPr>
          <w:rFonts w:ascii="Calibri" w:cs="Calibri" w:eastAsia="Calibri" w:hAnsi="Calibri"/>
          <w:i/>
          <w:iCs/>
          <w:color w:val="5D6D7E"/>
          <w:sz w:val="17"/>
          <w:szCs w:val="17"/>
        </w:rPr>
        <w:t xml:space="preserve">Document prepared for RAG integration. Reference tags (e.g. SEC-1-AGE) may be used as metadata anchors for chunk-level retrieval. </w:t>
      </w:r>
      <w:r>
        <w:rPr>
          <w:rFonts w:ascii="Calibri" w:cs="Calibri" w:eastAsia="Calibri" w:hAnsi="Calibri"/>
          <w:i/>
          <w:iCs/>
          <w:color w:val="5D6D7E"/>
          <w:sz w:val="17"/>
          <w:szCs w:val="17"/>
        </w:rPr>
        <w:t xml:space="preserve">All content reflects the neooverse Platform Terms &amp; Conditions as governed by the laws of the United Arab Emirates.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tabs>
        <w:tab w:val="right" w:pos="9026"/>
      </w:tabs>
      <w:spacing w:after="0" w:before="0"/>
    </w:pPr>
    <w:r>
      <w:rPr>
        <w:rFonts w:ascii="Calibri" w:cs="Calibri" w:eastAsia="Calibri" w:hAnsi="Calibri"/>
        <w:color w:val="5D6D7E"/>
        <w:sz w:val="16"/>
        <w:szCs w:val="16"/>
      </w:rPr>
      <w:t xml:space="preserve">Confidential — neooverse Platform Policy</w:t>
    </w:r>
    <w:r>
      <w:rPr>
        <w:rFonts w:ascii="Calibri" w:cs="Calibri" w:eastAsia="Calibri" w:hAnsi="Calibri"/>
        <w:sz w:val="16"/>
        <w:szCs w:val="16"/>
      </w:rPr>
      <w:t xml:space="preserve">	</w:t>
    </w:r>
    <w:r>
      <w:rPr>
        <w:rFonts w:ascii="Calibri" w:cs="Calibri" w:eastAsia="Calibri" w:hAnsi="Calibri"/>
        <w:color w:val="5D6D7E"/>
        <w:sz w:val="16"/>
        <w:szCs w:val="16"/>
      </w:rPr>
      <w:t xml:space="preserve">Page </w:t>
    </w:r>
    <w:r>
      <w:rPr>
        <w:rFonts w:ascii="Calibri" w:cs="Calibri" w:eastAsia="Calibri" w:hAnsi="Calibri"/>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pBdr>
      <w:spacing w:after="0" w:before="0"/>
    </w:pPr>
    <w:r>
      <w:rPr>
        <w:rFonts w:ascii="Calibri" w:cs="Calibri" w:eastAsia="Calibri" w:hAnsi="Calibri"/>
        <w:b/>
        <w:bCs/>
        <w:color w:val="1A3C5E"/>
        <w:sz w:val="18"/>
        <w:szCs w:val="18"/>
      </w:rPr>
      <w:t xml:space="preserve">neooverse  |  Platform Terms &amp; Conditions</w:t>
    </w:r>
    <w:r>
      <w:rPr>
        <w:rFonts w:ascii="Calibri" w:cs="Calibri" w:eastAsia="Calibri" w:hAnsi="Calibri"/>
        <w:i/>
        <w:iCs/>
        <w:color w:val="5D6D7E"/>
        <w:sz w:val="16"/>
        <w:szCs w:val="16"/>
      </w:rPr>
      <w:t xml:space="preserve">    RAG-Optimized Policy Document  |  Governed by UAE 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A3C5E"/>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2026-05-12T17:07:48.941Z</dcterms:created>
  <dcterms:modified xsi:type="dcterms:W3CDTF">2026-05-12T17:07:48.941Z</dcterms:modified>
</cp:coreProperties>
</file>

<file path=docProps/custom.xml><?xml version="1.0" encoding="utf-8"?>
<Properties xmlns="http://schemas.openxmlformats.org/officeDocument/2006/custom-properties" xmlns:vt="http://schemas.openxmlformats.org/officeDocument/2006/docPropsVTypes"/>
</file>