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5f76uibdsi6"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Reviewer yAYU</w:t>
      </w:r>
      <w:r w:rsidDel="00000000" w:rsidR="00000000" w:rsidRPr="00000000">
        <w:rPr>
          <w:rtl w:val="0"/>
        </w:rPr>
      </w:r>
    </w:p>
    <w:p w:rsidR="00000000" w:rsidDel="00000000" w:rsidP="00000000" w:rsidRDefault="00000000" w:rsidRPr="00000000" w14:paraId="00000002">
      <w:pPr>
        <w:pStyle w:val="Title"/>
        <w:spacing w:after="200" w:lineRule="auto"/>
        <w:jc w:val="both"/>
        <w:rPr>
          <w:sz w:val="32"/>
          <w:szCs w:val="32"/>
        </w:rPr>
      </w:pPr>
      <w:r w:rsidDel="00000000" w:rsidR="00000000" w:rsidRPr="00000000">
        <w:rPr>
          <w:b w:val="1"/>
          <w:bCs w:val="1"/>
          <w:sz w:val="32"/>
          <w:szCs w:val="32"/>
          <w:rtl w:val="0"/>
        </w:rPr>
        <w:t xml:space="preserve">Author Response — EngTrace (Submission #2937)</w:t>
      </w:r>
      <w:r w:rsidDel="00000000" w:rsidR="00000000" w:rsidRPr="00000000">
        <w:rPr>
          <w:rtl w:val="0"/>
        </w:rPr>
      </w:r>
    </w:p>
    <w:p w:rsidR="00000000" w:rsidDel="00000000" w:rsidP="00000000" w:rsidRDefault="00000000" w:rsidRPr="00000000" w14:paraId="00000003">
      <w:pPr>
        <w:spacing w:after="200" w:lineRule="auto"/>
        <w:jc w:val="both"/>
        <w:rPr/>
      </w:pPr>
      <w:r w:rsidDel="00000000" w:rsidR="00000000" w:rsidRPr="00000000">
        <w:rPr>
          <w:rtl w:val="0"/>
        </w:rPr>
      </w:r>
    </w:p>
    <w:p w:rsidR="00000000" w:rsidDel="00000000" w:rsidP="00000000" w:rsidRDefault="00000000" w:rsidRPr="00000000" w14:paraId="00000004">
      <w:pPr>
        <w:pStyle w:val="Heading1"/>
        <w:pBdr>
          <w:bottom w:color="999999" w:space="4" w:sz="6" w:val="single"/>
        </w:pBdr>
        <w:spacing w:after="200" w:before="400" w:lineRule="auto"/>
        <w:jc w:val="both"/>
        <w:rPr/>
      </w:pPr>
      <w:r w:rsidDel="00000000" w:rsidR="00000000" w:rsidRPr="00000000">
        <w:rPr>
          <w:rtl w:val="0"/>
        </w:rPr>
        <w:t xml:space="preserve">Reviewer yAYU</w:t>
      </w:r>
    </w:p>
    <w:p w:rsidR="00000000" w:rsidDel="00000000" w:rsidP="00000000" w:rsidRDefault="00000000" w:rsidRPr="00000000" w14:paraId="00000005">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1. Judge overlap — the AI Tribunal certifies templates and adjudicates reasoning, yet GPT-5 is also an evaluated model and Claude Opus 4.5 / Gemini 3 are close siblings of evaluated models.</w:t>
      </w:r>
      <w:r w:rsidDel="00000000" w:rsidR="00000000" w:rsidRPr="00000000">
        <w:rPr>
          <w:rtl w:val="0"/>
        </w:rPr>
      </w:r>
    </w:p>
    <w:p w:rsidR="00000000" w:rsidDel="00000000" w:rsidP="00000000" w:rsidRDefault="00000000" w:rsidRPr="00000000" w14:paraId="00000006">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07">
      <w:pPr>
        <w:spacing w:after="240" w:before="240" w:lineRule="auto"/>
        <w:jc w:val="both"/>
        <w:rPr>
          <w:sz w:val="21"/>
          <w:szCs w:val="21"/>
        </w:rPr>
      </w:pPr>
      <w:r w:rsidDel="00000000" w:rsidR="00000000" w:rsidRPr="00000000">
        <w:rPr>
          <w:sz w:val="21"/>
          <w:szCs w:val="21"/>
          <w:rtl w:val="0"/>
        </w:rPr>
        <w:t xml:space="preserve">We thank the reviewer for raising this. It isolates a testable mechanism, and we address it in three parts. </w:t>
      </w:r>
    </w:p>
    <w:p w:rsidR="00000000" w:rsidDel="00000000" w:rsidP="00000000" w:rsidRDefault="00000000" w:rsidRPr="00000000" w14:paraId="00000008">
      <w:pPr>
        <w:spacing w:after="240" w:before="240" w:lineRule="auto"/>
        <w:jc w:val="both"/>
        <w:rPr>
          <w:sz w:val="21"/>
          <w:szCs w:val="21"/>
        </w:rPr>
      </w:pPr>
      <w:r w:rsidDel="00000000" w:rsidR="00000000" w:rsidRPr="00000000">
        <w:rPr>
          <w:sz w:val="21"/>
          <w:szCs w:val="21"/>
          <w:rtl w:val="0"/>
        </w:rPr>
        <w:t xml:space="preserve">First, the overlap is not uniform: GPT-5 is an exact judge/judged match, while Claude Opus 4.5 and Gemini 3 are version-siblings of, but not identical to, Claude Opus 4.7 and Gemini {3.1 Pro, 3 Pro} </w:t>
      </w:r>
      <w:r w:rsidDel="00000000" w:rsidR="00000000" w:rsidRPr="00000000">
        <w:rPr>
          <w:b w:val="1"/>
          <w:bCs w:val="1"/>
          <w:sz w:val="21"/>
          <w:szCs w:val="21"/>
          <w:rtl w:val="0"/>
        </w:rPr>
        <w:t xml:space="preserve">(§3.3, Lines 220–223; §5.1, Lines 399–406)</w:t>
      </w:r>
      <w:r w:rsidDel="00000000" w:rsidR="00000000" w:rsidRPr="00000000">
        <w:rPr>
          <w:sz w:val="21"/>
          <w:szCs w:val="21"/>
          <w:rtl w:val="0"/>
        </w:rPr>
        <w:t xml:space="preserve">.</w:t>
      </w:r>
    </w:p>
    <w:p w:rsidR="00000000" w:rsidDel="00000000" w:rsidP="00000000" w:rsidRDefault="00000000" w:rsidRPr="00000000" w14:paraId="00000009">
      <w:pPr>
        <w:spacing w:after="240" w:before="240" w:lineRule="auto"/>
        <w:jc w:val="both"/>
        <w:rPr>
          <w:sz w:val="21"/>
          <w:szCs w:val="21"/>
        </w:rPr>
      </w:pPr>
      <w:r w:rsidDel="00000000" w:rsidR="00000000" w:rsidRPr="00000000">
        <w:rPr>
          <w:sz w:val="21"/>
          <w:szCs w:val="21"/>
          <w:rtl w:val="0"/>
        </w:rPr>
        <w:t xml:space="preserve">Second, existing evidence bears on this specific concern. The human-alignment validation set </w:t>
      </w:r>
      <w:r w:rsidDel="00000000" w:rsidR="00000000" w:rsidRPr="00000000">
        <w:rPr>
          <w:b w:val="1"/>
          <w:bCs w:val="1"/>
          <w:sz w:val="21"/>
          <w:szCs w:val="21"/>
          <w:rtl w:val="0"/>
        </w:rPr>
        <w:t xml:space="preserve">(Appendix M, Lines 1375–1386)</w:t>
      </w:r>
      <w:r w:rsidDel="00000000" w:rsidR="00000000" w:rsidRPr="00000000">
        <w:rPr>
          <w:sz w:val="21"/>
          <w:szCs w:val="21"/>
          <w:rtl w:val="0"/>
        </w:rPr>
        <w:t xml:space="preserve"> includes Gemini 3 Pro, one of the models with the closest judge-family relationship, and the Tribunal-based pipeline still tracked independent human expert judgments closely on this sample (ρ = 0.632 vs. 0.325 for standard metrics; </w:t>
      </w:r>
      <w:r w:rsidDel="00000000" w:rsidR="00000000" w:rsidRPr="00000000">
        <w:rPr>
          <w:b w:val="1"/>
          <w:bCs w:val="1"/>
          <w:sz w:val="21"/>
          <w:szCs w:val="21"/>
          <w:rtl w:val="0"/>
        </w:rPr>
        <w:t xml:space="preserve">Appendix M.2, Table 12, Lines 1417–1426</w:t>
      </w:r>
      <w:r w:rsidDel="00000000" w:rsidR="00000000" w:rsidRPr="00000000">
        <w:rPr>
          <w:sz w:val="21"/>
          <w:szCs w:val="21"/>
          <w:rtl w:val="0"/>
        </w:rPr>
        <w:t xml:space="preserve">), with no indication of inflated favorability toward this particular model.</w:t>
      </w:r>
    </w:p>
    <w:p w:rsidR="00000000" w:rsidDel="00000000" w:rsidP="00000000" w:rsidRDefault="00000000" w:rsidRPr="00000000" w14:paraId="0000000A">
      <w:pPr>
        <w:spacing w:after="240" w:before="240" w:lineRule="auto"/>
        <w:jc w:val="both"/>
        <w:rPr>
          <w:sz w:val="21"/>
          <w:szCs w:val="21"/>
        </w:rPr>
      </w:pPr>
      <w:r w:rsidDel="00000000" w:rsidR="00000000" w:rsidRPr="00000000">
        <w:rPr>
          <w:sz w:val="21"/>
          <w:szCs w:val="21"/>
          <w:rtl w:val="0"/>
        </w:rPr>
        <w:t xml:space="preserve">Third, removing the Tribunal from the pipeline degrades human alignment rather than improving it (ρ = 0.632 → 0.411; </w:t>
      </w:r>
      <w:r w:rsidDel="00000000" w:rsidR="00000000" w:rsidRPr="00000000">
        <w:rPr>
          <w:b w:val="1"/>
          <w:bCs w:val="1"/>
          <w:sz w:val="21"/>
          <w:szCs w:val="21"/>
          <w:rtl w:val="0"/>
        </w:rPr>
        <w:t xml:space="preserve">Table 12</w:t>
      </w:r>
      <w:r w:rsidDel="00000000" w:rsidR="00000000" w:rsidRPr="00000000">
        <w:rPr>
          <w:sz w:val="21"/>
          <w:szCs w:val="21"/>
          <w:rtl w:val="0"/>
        </w:rPr>
        <w:t xml:space="preserve">), indicating the Tribunal's net effect is to improve agreement with an external, non-model source of ground truth rather than to amplify model self-preference.</w:t>
      </w:r>
    </w:p>
    <w:p w:rsidR="00000000" w:rsidDel="00000000" w:rsidP="00000000" w:rsidRDefault="00000000" w:rsidRPr="00000000" w14:paraId="0000000B">
      <w:pPr>
        <w:spacing w:after="240" w:before="240" w:lineRule="auto"/>
        <w:jc w:val="both"/>
        <w:rPr>
          <w:sz w:val="21"/>
          <w:szCs w:val="21"/>
        </w:rPr>
      </w:pPr>
      <w:r w:rsidDel="00000000" w:rsidR="00000000" w:rsidRPr="00000000">
        <w:rPr>
          <w:sz w:val="21"/>
          <w:szCs w:val="21"/>
          <w:rtl w:val="0"/>
        </w:rPr>
        <w:t xml:space="preserve">We do however commit to a direct test of the mechanism itself for the camera-ready version. For GPT-5 and, separately, for the Claude and Gemini families, we will recompute Tier 2 verification with the corresponding judge excluded from the panel, using majority consensus over the two remaining judges and the existing conservative tie-break rule on disagreement. We will report the resulting shift in Reasoning F1 against two controls on the same sample: a placebo condition (a non-family judge excluded instead) and the untouched models (DeepSeek, the open-weights models, and the math-specialized models, none of which share a family with any Tribunal judge), which serve as a built-in check that any shift is attributable to family overlap specifically rather than to panel size alone.</w:t>
      </w:r>
    </w:p>
    <w:p w:rsidR="00000000" w:rsidDel="00000000" w:rsidP="00000000" w:rsidRDefault="00000000" w:rsidRPr="00000000" w14:paraId="0000000C">
      <w:pPr>
        <w:spacing w:after="200" w:lineRule="auto"/>
        <w:jc w:val="both"/>
        <w:rPr/>
      </w:pPr>
      <w:r w:rsidDel="00000000" w:rsidR="00000000" w:rsidRPr="00000000">
        <w:rPr>
          <w:rtl w:val="0"/>
        </w:rPr>
      </w:r>
    </w:p>
    <w:p w:rsidR="00000000" w:rsidDel="00000000" w:rsidP="00000000" w:rsidRDefault="00000000" w:rsidRPr="00000000" w14:paraId="0000000D">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2. No variance or confidence-interval reporting across the 15 seeded instances per template.</w:t>
      </w:r>
      <w:r w:rsidDel="00000000" w:rsidR="00000000" w:rsidRPr="00000000">
        <w:rPr>
          <w:rtl w:val="0"/>
        </w:rPr>
      </w:r>
    </w:p>
    <w:p w:rsidR="00000000" w:rsidDel="00000000" w:rsidP="00000000" w:rsidRDefault="00000000" w:rsidRPr="00000000" w14:paraId="0000000E">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0F">
      <w:pPr>
        <w:spacing w:after="240" w:before="240" w:lineRule="auto"/>
        <w:jc w:val="both"/>
        <w:rPr>
          <w:sz w:val="21"/>
          <w:szCs w:val="21"/>
        </w:rPr>
      </w:pPr>
      <w:r w:rsidDel="00000000" w:rsidR="00000000" w:rsidRPr="00000000">
        <w:rPr>
          <w:sz w:val="21"/>
          <w:szCs w:val="21"/>
          <w:rtl w:val="0"/>
        </w:rPr>
        <w:t xml:space="preserve">We thank the reviewer for this suggestion. The 15 seeded instances per template were already generated for this purpose </w:t>
      </w:r>
      <w:r w:rsidDel="00000000" w:rsidR="00000000" w:rsidRPr="00000000">
        <w:rPr>
          <w:b w:val="1"/>
          <w:bCs w:val="1"/>
          <w:sz w:val="21"/>
          <w:szCs w:val="21"/>
          <w:rtl w:val="0"/>
        </w:rPr>
        <w:t xml:space="preserve">(§5.2, Lines 428–431)</w:t>
      </w:r>
      <w:r w:rsidDel="00000000" w:rsidR="00000000" w:rsidRPr="00000000">
        <w:rPr>
          <w:sz w:val="21"/>
          <w:szCs w:val="21"/>
          <w:rtl w:val="0"/>
        </w:rPr>
        <w:t xml:space="preserve">; in response to this review we ran the corresponding variance and significance analysis on the existing evaluation data.</w:t>
      </w:r>
    </w:p>
    <w:p w:rsidR="00000000" w:rsidDel="00000000" w:rsidP="00000000" w:rsidRDefault="00000000" w:rsidRPr="00000000" w14:paraId="00000010">
      <w:pPr>
        <w:spacing w:after="240" w:before="240" w:lineRule="auto"/>
        <w:jc w:val="both"/>
        <w:rPr>
          <w:sz w:val="21"/>
          <w:szCs w:val="21"/>
        </w:rPr>
      </w:pPr>
      <w:r w:rsidDel="00000000" w:rsidR="00000000" w:rsidRPr="00000000">
        <w:rPr>
          <w:sz w:val="21"/>
          <w:szCs w:val="21"/>
          <w:rtl w:val="0"/>
        </w:rPr>
        <w:t xml:space="preserve">We would note one clarification on how to read the resulting numbers: the per-template standard deviations reported below describe seed-to-seed variability within a single template, not the uncertainty of the Table 1 aggregate score itself. Each Table 1 figure is a mean over 90 templates, not a single template, so the aggregate is considerably more stable than the per-template spread alone would suggest.</w:t>
      </w:r>
    </w:p>
    <w:p w:rsidR="00000000" w:rsidDel="00000000" w:rsidP="00000000" w:rsidRDefault="00000000" w:rsidRPr="00000000" w14:paraId="00000011">
      <w:pPr>
        <w:spacing w:after="240" w:before="240" w:lineRule="auto"/>
        <w:jc w:val="both"/>
        <w:rPr>
          <w:sz w:val="21"/>
          <w:szCs w:val="21"/>
        </w:rPr>
      </w:pPr>
      <w:r w:rsidDel="00000000" w:rsidR="00000000" w:rsidRPr="00000000">
        <w:rPr>
          <w:sz w:val="21"/>
          <w:szCs w:val="21"/>
          <w:rtl w:val="0"/>
        </w:rPr>
        <w:t xml:space="preserve">Across the 25 models with complete records, mean per-template standard deviation is 20.1 pp on Final Answer Accuracy (range 9.8–25.7 pp) and 15.6 pp on Recovered F1 (range 4.4–18.3 pp); we will add this as a column to Table 1 in the camera-ready version.</w:t>
      </w:r>
    </w:p>
    <w:p w:rsidR="00000000" w:rsidDel="00000000" w:rsidP="00000000" w:rsidRDefault="00000000" w:rsidRPr="00000000" w14:paraId="00000012">
      <w:pPr>
        <w:spacing w:after="240" w:before="240" w:lineRule="auto"/>
        <w:jc w:val="both"/>
        <w:rPr>
          <w:sz w:val="21"/>
          <w:szCs w:val="21"/>
        </w:rPr>
      </w:pPr>
      <w:r w:rsidDel="00000000" w:rsidR="00000000" w:rsidRPr="00000000">
        <w:rPr>
          <w:sz w:val="21"/>
          <w:szCs w:val="21"/>
          <w:rtl w:val="0"/>
        </w:rPr>
        <w:t xml:space="preserve">For the complexity cliff </w:t>
      </w:r>
      <w:r w:rsidDel="00000000" w:rsidR="00000000" w:rsidRPr="00000000">
        <w:rPr>
          <w:b w:val="1"/>
          <w:bCs w:val="1"/>
          <w:sz w:val="21"/>
          <w:szCs w:val="21"/>
          <w:rtl w:val="0"/>
        </w:rPr>
        <w:t xml:space="preserve">(Figure 4)</w:t>
      </w:r>
      <w:r w:rsidDel="00000000" w:rsidR="00000000" w:rsidRPr="00000000">
        <w:rPr>
          <w:sz w:val="21"/>
          <w:szCs w:val="21"/>
          <w:rtl w:val="0"/>
        </w:rPr>
        <w:t xml:space="preserve">, we ran a template-level bootstrap (B = 10,000) on the Easy-to-Advanced accuracy gap for the four representative models: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265"/>
        <w:gridCol w:w="1790"/>
        <w:gridCol w:w="1085"/>
        <w:gridCol w:w="1610"/>
        <w:gridCol w:w="1340"/>
        <w:tblGridChange w:id="0">
          <w:tblGrid>
            <w:gridCol w:w="1700"/>
            <w:gridCol w:w="1265"/>
            <w:gridCol w:w="1790"/>
            <w:gridCol w:w="1085"/>
            <w:gridCol w:w="1610"/>
            <w:gridCol w:w="1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jc w:val="center"/>
              <w:rPr>
                <w:sz w:val="19"/>
                <w:szCs w:val="19"/>
              </w:rPr>
            </w:pPr>
            <w:r w:rsidDel="00000000" w:rsidR="00000000" w:rsidRPr="00000000">
              <w:rPr>
                <w:b w:val="1"/>
                <w:bCs w:val="1"/>
                <w:sz w:val="19"/>
                <w:szCs w:val="19"/>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jc w:val="center"/>
              <w:rPr>
                <w:sz w:val="19"/>
                <w:szCs w:val="19"/>
              </w:rPr>
            </w:pPr>
            <w:r w:rsidDel="00000000" w:rsidR="00000000" w:rsidRPr="00000000">
              <w:rPr>
                <w:b w:val="1"/>
                <w:bCs w:val="1"/>
                <w:sz w:val="19"/>
                <w:szCs w:val="19"/>
                <w:rtl w:val="0"/>
              </w:rPr>
              <w:t xml:space="preserve">Easy FAC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jc w:val="center"/>
              <w:rPr>
                <w:sz w:val="19"/>
                <w:szCs w:val="19"/>
              </w:rPr>
            </w:pPr>
            <w:r w:rsidDel="00000000" w:rsidR="00000000" w:rsidRPr="00000000">
              <w:rPr>
                <w:b w:val="1"/>
                <w:bCs w:val="1"/>
                <w:sz w:val="19"/>
                <w:szCs w:val="19"/>
                <w:rtl w:val="0"/>
              </w:rPr>
              <w:t xml:space="preserve">Advanced FAC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jc w:val="center"/>
              <w:rPr>
                <w:sz w:val="19"/>
                <w:szCs w:val="19"/>
              </w:rPr>
            </w:pPr>
            <w:r w:rsidDel="00000000" w:rsidR="00000000" w:rsidRPr="00000000">
              <w:rPr>
                <w:b w:val="1"/>
                <w:bCs w:val="1"/>
                <w:sz w:val="19"/>
                <w:szCs w:val="19"/>
                <w:rtl w:val="0"/>
              </w:rPr>
              <w:t xml:space="preserve">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jc w:val="center"/>
              <w:rPr>
                <w:sz w:val="19"/>
                <w:szCs w:val="19"/>
              </w:rPr>
            </w:pPr>
            <w:r w:rsidDel="00000000" w:rsidR="00000000" w:rsidRPr="00000000">
              <w:rPr>
                <w:b w:val="1"/>
                <w:bCs w:val="1"/>
                <w:sz w:val="19"/>
                <w:szCs w:val="19"/>
                <w:rtl w:val="0"/>
              </w:rPr>
              <w:t xml:space="preserve">95% 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jc w:val="center"/>
              <w:rPr>
                <w:sz w:val="19"/>
                <w:szCs w:val="19"/>
              </w:rPr>
            </w:pPr>
            <w:r w:rsidDel="00000000" w:rsidR="00000000" w:rsidRPr="00000000">
              <w:rPr>
                <w:b w:val="1"/>
                <w:bCs w:val="1"/>
                <w:sz w:val="19"/>
                <w:szCs w:val="19"/>
                <w:rtl w:val="0"/>
              </w:rPr>
              <w:t xml:space="preserve">Significant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jc w:val="both"/>
              <w:rPr>
                <w:sz w:val="19"/>
                <w:szCs w:val="19"/>
              </w:rPr>
            </w:pPr>
            <w:r w:rsidDel="00000000" w:rsidR="00000000" w:rsidRPr="00000000">
              <w:rPr>
                <w:sz w:val="19"/>
                <w:szCs w:val="19"/>
                <w:rtl w:val="0"/>
              </w:rPr>
              <w:t xml:space="preserve">Llama 3.1 70B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jc w:val="both"/>
              <w:rPr>
                <w:sz w:val="19"/>
                <w:szCs w:val="19"/>
              </w:rPr>
            </w:pPr>
            <w:r w:rsidDel="00000000" w:rsidR="00000000" w:rsidRPr="00000000">
              <w:rPr>
                <w:sz w:val="19"/>
                <w:szCs w:val="19"/>
                <w:rtl w:val="0"/>
              </w:rPr>
              <w:t xml:space="preserve">52.5%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jc w:val="both"/>
              <w:rPr>
                <w:sz w:val="19"/>
                <w:szCs w:val="19"/>
              </w:rPr>
            </w:pPr>
            <w:r w:rsidDel="00000000" w:rsidR="00000000" w:rsidRPr="00000000">
              <w:rPr>
                <w:sz w:val="19"/>
                <w:szCs w:val="19"/>
                <w:rtl w:val="0"/>
              </w:rPr>
              <w:t xml:space="preserve">23.3%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jc w:val="both"/>
              <w:rPr>
                <w:sz w:val="19"/>
                <w:szCs w:val="19"/>
              </w:rPr>
            </w:pPr>
            <w:r w:rsidDel="00000000" w:rsidR="00000000" w:rsidRPr="00000000">
              <w:rPr>
                <w:sz w:val="19"/>
                <w:szCs w:val="19"/>
                <w:rtl w:val="0"/>
              </w:rPr>
              <w:t xml:space="preserve">−29.2 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jc w:val="both"/>
              <w:rPr>
                <w:sz w:val="19"/>
                <w:szCs w:val="19"/>
              </w:rPr>
            </w:pPr>
            <w:r w:rsidDel="00000000" w:rsidR="00000000" w:rsidRPr="00000000">
              <w:rPr>
                <w:sz w:val="19"/>
                <w:szCs w:val="19"/>
                <w:rtl w:val="0"/>
              </w:rPr>
              <w:t xml:space="preserve">[−46.6, −11.1]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jc w:val="both"/>
              <w:rPr>
                <w:sz w:val="19"/>
                <w:szCs w:val="19"/>
              </w:rPr>
            </w:pPr>
            <w:r w:rsidDel="00000000" w:rsidR="00000000" w:rsidRPr="00000000">
              <w:rPr>
                <w:sz w:val="19"/>
                <w:szCs w:val="19"/>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jc w:val="both"/>
              <w:rPr>
                <w:sz w:val="19"/>
                <w:szCs w:val="19"/>
              </w:rPr>
            </w:pPr>
            <w:r w:rsidDel="00000000" w:rsidR="00000000" w:rsidRPr="00000000">
              <w:rPr>
                <w:sz w:val="19"/>
                <w:szCs w:val="19"/>
                <w:rtl w:val="0"/>
              </w:rPr>
              <w:t xml:space="preserve">GPT-5 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jc w:val="both"/>
              <w:rPr>
                <w:sz w:val="19"/>
                <w:szCs w:val="19"/>
              </w:rPr>
            </w:pPr>
            <w:r w:rsidDel="00000000" w:rsidR="00000000" w:rsidRPr="00000000">
              <w:rPr>
                <w:sz w:val="19"/>
                <w:szCs w:val="19"/>
                <w:rtl w:val="0"/>
              </w:rPr>
              <w:t xml:space="preserve">67.8%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jc w:val="both"/>
              <w:rPr>
                <w:sz w:val="19"/>
                <w:szCs w:val="19"/>
              </w:rPr>
            </w:pPr>
            <w:r w:rsidDel="00000000" w:rsidR="00000000" w:rsidRPr="00000000">
              <w:rPr>
                <w:sz w:val="19"/>
                <w:szCs w:val="19"/>
                <w:rtl w:val="0"/>
              </w:rPr>
              <w:t xml:space="preserve">47.6%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jc w:val="both"/>
              <w:rPr>
                <w:sz w:val="19"/>
                <w:szCs w:val="19"/>
              </w:rPr>
            </w:pPr>
            <w:r w:rsidDel="00000000" w:rsidR="00000000" w:rsidRPr="00000000">
              <w:rPr>
                <w:sz w:val="19"/>
                <w:szCs w:val="19"/>
                <w:rtl w:val="0"/>
              </w:rPr>
              <w:t xml:space="preserve">−20.2 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jc w:val="both"/>
              <w:rPr>
                <w:sz w:val="19"/>
                <w:szCs w:val="19"/>
              </w:rPr>
            </w:pPr>
            <w:r w:rsidDel="00000000" w:rsidR="00000000" w:rsidRPr="00000000">
              <w:rPr>
                <w:sz w:val="19"/>
                <w:szCs w:val="19"/>
                <w:rtl w:val="0"/>
              </w:rPr>
              <w:t xml:space="preserve">CI includes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jc w:val="both"/>
              <w:rPr>
                <w:sz w:val="19"/>
                <w:szCs w:val="19"/>
              </w:rPr>
            </w:pPr>
            <w:r w:rsidDel="00000000" w:rsidR="00000000" w:rsidRPr="00000000">
              <w:rPr>
                <w:sz w:val="19"/>
                <w:szCs w:val="19"/>
                <w:rtl w:val="0"/>
              </w:rPr>
              <w:t xml:space="preserve">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jc w:val="both"/>
              <w:rPr>
                <w:sz w:val="19"/>
                <w:szCs w:val="19"/>
              </w:rPr>
            </w:pPr>
            <w:r w:rsidDel="00000000" w:rsidR="00000000" w:rsidRPr="00000000">
              <w:rPr>
                <w:sz w:val="19"/>
                <w:szCs w:val="19"/>
                <w:rtl w:val="0"/>
              </w:rPr>
              <w:t xml:space="preserve">DeepSeek 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jc w:val="both"/>
              <w:rPr>
                <w:sz w:val="19"/>
                <w:szCs w:val="19"/>
              </w:rPr>
            </w:pPr>
            <w:r w:rsidDel="00000000" w:rsidR="00000000" w:rsidRPr="00000000">
              <w:rPr>
                <w:sz w:val="19"/>
                <w:szCs w:val="19"/>
                <w:rtl w:val="0"/>
              </w:rPr>
              <w:t xml:space="preserve">65.3%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jc w:val="both"/>
              <w:rPr>
                <w:sz w:val="19"/>
                <w:szCs w:val="19"/>
              </w:rPr>
            </w:pPr>
            <w:r w:rsidDel="00000000" w:rsidR="00000000" w:rsidRPr="00000000">
              <w:rPr>
                <w:sz w:val="19"/>
                <w:szCs w:val="19"/>
                <w:rtl w:val="0"/>
              </w:rPr>
              <w:t xml:space="preserve">47.0%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jc w:val="both"/>
              <w:rPr>
                <w:sz w:val="19"/>
                <w:szCs w:val="19"/>
              </w:rPr>
            </w:pPr>
            <w:r w:rsidDel="00000000" w:rsidR="00000000" w:rsidRPr="00000000">
              <w:rPr>
                <w:sz w:val="19"/>
                <w:szCs w:val="19"/>
                <w:rtl w:val="0"/>
              </w:rPr>
              <w:t xml:space="preserve">−18.3 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jc w:val="both"/>
              <w:rPr>
                <w:sz w:val="19"/>
                <w:szCs w:val="19"/>
              </w:rPr>
            </w:pPr>
            <w:r w:rsidDel="00000000" w:rsidR="00000000" w:rsidRPr="00000000">
              <w:rPr>
                <w:sz w:val="19"/>
                <w:szCs w:val="19"/>
                <w:rtl w:val="0"/>
              </w:rPr>
              <w:t xml:space="preserve">CI includes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jc w:val="both"/>
              <w:rPr>
                <w:sz w:val="19"/>
                <w:szCs w:val="19"/>
              </w:rPr>
            </w:pPr>
            <w:r w:rsidDel="00000000" w:rsidR="00000000" w:rsidRPr="00000000">
              <w:rPr>
                <w:sz w:val="19"/>
                <w:szCs w:val="19"/>
                <w:rtl w:val="0"/>
              </w:rPr>
              <w:t xml:space="preserve">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jc w:val="both"/>
              <w:rPr>
                <w:sz w:val="19"/>
                <w:szCs w:val="19"/>
              </w:rPr>
            </w:pPr>
            <w:r w:rsidDel="00000000" w:rsidR="00000000" w:rsidRPr="00000000">
              <w:rPr>
                <w:sz w:val="19"/>
                <w:szCs w:val="19"/>
                <w:rtl w:val="0"/>
              </w:rPr>
              <w:t xml:space="preserve">Gemini 3.1 Pro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jc w:val="both"/>
              <w:rPr>
                <w:sz w:val="19"/>
                <w:szCs w:val="19"/>
              </w:rPr>
            </w:pPr>
            <w:r w:rsidDel="00000000" w:rsidR="00000000" w:rsidRPr="00000000">
              <w:rPr>
                <w:sz w:val="19"/>
                <w:szCs w:val="19"/>
                <w:rtl w:val="0"/>
              </w:rPr>
              <w:t xml:space="preserve">67.5%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jc w:val="both"/>
              <w:rPr>
                <w:sz w:val="19"/>
                <w:szCs w:val="19"/>
              </w:rPr>
            </w:pPr>
            <w:r w:rsidDel="00000000" w:rsidR="00000000" w:rsidRPr="00000000">
              <w:rPr>
                <w:sz w:val="19"/>
                <w:szCs w:val="19"/>
                <w:rtl w:val="0"/>
              </w:rPr>
              <w:t xml:space="preserve">49.7%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jc w:val="both"/>
              <w:rPr>
                <w:sz w:val="19"/>
                <w:szCs w:val="19"/>
              </w:rPr>
            </w:pPr>
            <w:r w:rsidDel="00000000" w:rsidR="00000000" w:rsidRPr="00000000">
              <w:rPr>
                <w:sz w:val="19"/>
                <w:szCs w:val="19"/>
                <w:rtl w:val="0"/>
              </w:rPr>
              <w:t xml:space="preserve">−17.8 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jc w:val="both"/>
              <w:rPr>
                <w:sz w:val="19"/>
                <w:szCs w:val="19"/>
              </w:rPr>
            </w:pPr>
            <w:r w:rsidDel="00000000" w:rsidR="00000000" w:rsidRPr="00000000">
              <w:rPr>
                <w:sz w:val="19"/>
                <w:szCs w:val="19"/>
                <w:rtl w:val="0"/>
              </w:rPr>
              <w:t xml:space="preserve">CI includes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jc w:val="both"/>
              <w:rPr>
                <w:sz w:val="19"/>
                <w:szCs w:val="19"/>
              </w:rPr>
            </w:pPr>
            <w:r w:rsidDel="00000000" w:rsidR="00000000" w:rsidRPr="00000000">
              <w:rPr>
                <w:sz w:val="19"/>
                <w:szCs w:val="19"/>
                <w:rtl w:val="0"/>
              </w:rPr>
              <w:t xml:space="preserve">No</w:t>
            </w:r>
          </w:p>
        </w:tc>
      </w:tr>
    </w:tbl>
    <w:p w:rsidR="00000000" w:rsidDel="00000000" w:rsidP="00000000" w:rsidRDefault="00000000" w:rsidRPr="00000000" w14:paraId="00000031">
      <w:pPr>
        <w:spacing w:after="240" w:before="240" w:lineRule="auto"/>
        <w:jc w:val="both"/>
        <w:rPr>
          <w:sz w:val="21"/>
          <w:szCs w:val="21"/>
        </w:rPr>
      </w:pPr>
      <w:r w:rsidDel="00000000" w:rsidR="00000000" w:rsidRPr="00000000">
        <w:rPr>
          <w:sz w:val="21"/>
          <w:szCs w:val="21"/>
          <w:rtl w:val="0"/>
        </w:rPr>
        <w:t xml:space="preserve">The direction and magnitude are consistent across all four models: each shows a double-digit-point drop from Easy to Advanced (17.8–29.2 pp). Given only 22 Advanced-tier templates to bootstrap over, the resulting confidence intervals are correspondingly wide; at this template count, the gap reaches significance for Llama 3.1 70B, the model with the largest observed effect, and remains directionally consistent but not independently significant for the other three. On Recovered F1, the same test reaches significance for both Llama 3.1 70B and Gemini 3.1 Pro. </w:t>
      </w:r>
    </w:p>
    <w:p w:rsidR="00000000" w:rsidDel="00000000" w:rsidP="00000000" w:rsidRDefault="00000000" w:rsidRPr="00000000" w14:paraId="00000032">
      <w:pPr>
        <w:spacing w:after="240" w:before="240" w:lineRule="auto"/>
        <w:jc w:val="both"/>
        <w:rPr>
          <w:sz w:val="21"/>
          <w:szCs w:val="21"/>
        </w:rPr>
      </w:pPr>
      <w:r w:rsidDel="00000000" w:rsidR="00000000" w:rsidRPr="00000000">
        <w:rPr>
          <w:sz w:val="21"/>
          <w:szCs w:val="21"/>
          <w:rtl w:val="0"/>
        </w:rPr>
        <w:t xml:space="preserve">We are extending the same analysis to the FAC-vs-F1 decoupling claims </w:t>
      </w:r>
      <w:r w:rsidDel="00000000" w:rsidR="00000000" w:rsidRPr="00000000">
        <w:rPr>
          <w:b w:val="1"/>
          <w:bCs w:val="1"/>
          <w:sz w:val="21"/>
          <w:szCs w:val="21"/>
          <w:rtl w:val="0"/>
        </w:rPr>
        <w:t xml:space="preserve">(§5.3.1)</w:t>
      </w:r>
      <w:r w:rsidDel="00000000" w:rsidR="00000000" w:rsidRPr="00000000">
        <w:rPr>
          <w:sz w:val="21"/>
          <w:szCs w:val="21"/>
          <w:rtl w:val="0"/>
        </w:rPr>
        <w:t xml:space="preserve"> and will report paired significance tests (McNemar for the binary FAC metric, Wilcoxon signed-rank for the continuous Recovered F1 metric) for the camera-ready version.</w:t>
      </w:r>
    </w:p>
    <w:p w:rsidR="00000000" w:rsidDel="00000000" w:rsidP="00000000" w:rsidRDefault="00000000" w:rsidRPr="00000000" w14:paraId="00000033">
      <w:pPr>
        <w:spacing w:after="200" w:lineRule="auto"/>
        <w:jc w:val="both"/>
        <w:rPr/>
      </w:pPr>
      <w:r w:rsidDel="00000000" w:rsidR="00000000" w:rsidRPr="00000000">
        <w:rPr>
          <w:rtl w:val="0"/>
        </w:rPr>
      </w:r>
    </w:p>
    <w:p w:rsidR="00000000" w:rsidDel="00000000" w:rsidP="00000000" w:rsidRDefault="00000000" w:rsidRPr="00000000" w14:paraId="00000034">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3. The ρ = 0.632 vs. 0.325 comparison rests on only 100 responses, with no confidence interval or significance test.</w:t>
      </w:r>
      <w:r w:rsidDel="00000000" w:rsidR="00000000" w:rsidRPr="00000000">
        <w:rPr>
          <w:rtl w:val="0"/>
        </w:rPr>
      </w:r>
    </w:p>
    <w:p w:rsidR="00000000" w:rsidDel="00000000" w:rsidP="00000000" w:rsidRDefault="00000000" w:rsidRPr="00000000" w14:paraId="00000035">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36">
      <w:pPr>
        <w:spacing w:after="240" w:before="240" w:lineRule="auto"/>
        <w:jc w:val="both"/>
        <w:rPr>
          <w:sz w:val="21"/>
          <w:szCs w:val="21"/>
        </w:rPr>
      </w:pPr>
      <w:r w:rsidDel="00000000" w:rsidR="00000000" w:rsidRPr="00000000">
        <w:rPr>
          <w:sz w:val="21"/>
          <w:szCs w:val="21"/>
          <w:rtl w:val="0"/>
        </w:rPr>
        <w:t xml:space="preserve">We thank the reviewer for raising this. The 100 responses are not an attempt at large-scale coverage but a deliberately stratified sample, 5 models × 20 questions covering all branch-difficulty combinations </w:t>
      </w:r>
      <w:r w:rsidDel="00000000" w:rsidR="00000000" w:rsidRPr="00000000">
        <w:rPr>
          <w:b w:val="1"/>
          <w:bCs w:val="1"/>
          <w:sz w:val="21"/>
          <w:szCs w:val="21"/>
          <w:rtl w:val="0"/>
        </w:rPr>
        <w:t xml:space="preserve">(Appendix M, Lines 1387–1394)</w:t>
      </w:r>
      <w:r w:rsidDel="00000000" w:rsidR="00000000" w:rsidRPr="00000000">
        <w:rPr>
          <w:sz w:val="21"/>
          <w:szCs w:val="21"/>
          <w:rtl w:val="0"/>
        </w:rPr>
        <w:t xml:space="preserve">, designed for targeted comparison between evaluator variants rather than population-level estimation.</w:t>
      </w:r>
    </w:p>
    <w:p w:rsidR="00000000" w:rsidDel="00000000" w:rsidP="00000000" w:rsidRDefault="00000000" w:rsidRPr="00000000" w14:paraId="00000037">
      <w:pPr>
        <w:spacing w:after="240" w:before="240" w:lineRule="auto"/>
        <w:jc w:val="both"/>
        <w:rPr>
          <w:sz w:val="21"/>
          <w:szCs w:val="21"/>
        </w:rPr>
      </w:pPr>
      <w:r w:rsidDel="00000000" w:rsidR="00000000" w:rsidRPr="00000000">
        <w:rPr>
          <w:sz w:val="21"/>
          <w:szCs w:val="21"/>
          <w:rtl w:val="0"/>
        </w:rPr>
        <w:t xml:space="preserve">In this sample, human-rated reasoning quality correlated strongly with answer accuracy (ρ = 0.9130, p &lt; 0.05; </w:t>
      </w:r>
      <w:r w:rsidDel="00000000" w:rsidR="00000000" w:rsidRPr="00000000">
        <w:rPr>
          <w:b w:val="1"/>
          <w:bCs w:val="1"/>
          <w:sz w:val="21"/>
          <w:szCs w:val="21"/>
          <w:rtl w:val="0"/>
        </w:rPr>
        <w:t xml:space="preserve">Lines 1397–1401</w:t>
      </w:r>
      <w:r w:rsidDel="00000000" w:rsidR="00000000" w:rsidRPr="00000000">
        <w:rPr>
          <w:sz w:val="21"/>
          <w:szCs w:val="21"/>
          <w:rtl w:val="0"/>
        </w:rPr>
        <w:t xml:space="preserve">), which is what justified treating reasoning quality as the primary dimension for optimizing the automated evaluator in the first place.</w:t>
      </w:r>
    </w:p>
    <w:p w:rsidR="00000000" w:rsidDel="00000000" w:rsidP="00000000" w:rsidRDefault="00000000" w:rsidRPr="00000000" w14:paraId="00000038">
      <w:pPr>
        <w:spacing w:after="240" w:before="240" w:lineRule="auto"/>
        <w:jc w:val="both"/>
        <w:rPr>
          <w:sz w:val="21"/>
          <w:szCs w:val="21"/>
        </w:rPr>
      </w:pPr>
      <w:r w:rsidDel="00000000" w:rsidR="00000000" w:rsidRPr="00000000">
        <w:rPr>
          <w:sz w:val="21"/>
          <w:szCs w:val="21"/>
          <w:rtl w:val="0"/>
        </w:rPr>
        <w:t xml:space="preserve">A confidence interval on the ρ = 0.632 vs. 0.325 comparison itself would strengthen this further. We commit to reporting bootstrap CIs for both correlations in the camera-ready appendix.</w:t>
      </w:r>
    </w:p>
    <w:p w:rsidR="00000000" w:rsidDel="00000000" w:rsidP="00000000" w:rsidRDefault="00000000" w:rsidRPr="00000000" w14:paraId="00000039">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03A">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4. No sensitivity analysis on the hard-coded thresholds (2% numeric tolerance, 0.7 cross-encoder similarity, 0.8 alignment ratio).</w:t>
      </w:r>
      <w:r w:rsidDel="00000000" w:rsidR="00000000" w:rsidRPr="00000000">
        <w:rPr>
          <w:rtl w:val="0"/>
        </w:rPr>
      </w:r>
    </w:p>
    <w:p w:rsidR="00000000" w:rsidDel="00000000" w:rsidP="00000000" w:rsidRDefault="00000000" w:rsidRPr="00000000" w14:paraId="0000003B">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3C">
      <w:pPr>
        <w:spacing w:after="240" w:before="240" w:lineRule="auto"/>
        <w:jc w:val="both"/>
        <w:rPr>
          <w:sz w:val="21"/>
          <w:szCs w:val="21"/>
        </w:rPr>
      </w:pPr>
      <w:r w:rsidDel="00000000" w:rsidR="00000000" w:rsidRPr="00000000">
        <w:rPr>
          <w:sz w:val="21"/>
          <w:szCs w:val="21"/>
          <w:rtl w:val="0"/>
        </w:rPr>
        <w:t xml:space="preserve">We thank the reviewer for raising this. The escalation-ratio threshold already has a sensitivity analysis in the current submission: Table 12 </w:t>
      </w:r>
      <w:r w:rsidDel="00000000" w:rsidR="00000000" w:rsidRPr="00000000">
        <w:rPr>
          <w:b w:val="1"/>
          <w:bCs w:val="1"/>
          <w:sz w:val="21"/>
          <w:szCs w:val="21"/>
          <w:rtl w:val="0"/>
        </w:rPr>
        <w:t xml:space="preserve">(Appendix M.2, Lines 1417–1420)</w:t>
      </w:r>
      <w:r w:rsidDel="00000000" w:rsidR="00000000" w:rsidRPr="00000000">
        <w:rPr>
          <w:sz w:val="21"/>
          <w:szCs w:val="21"/>
          <w:rtl w:val="0"/>
        </w:rPr>
        <w:t xml:space="preserve"> reports alignment at τ = 0.6, 0.8, and 0.95, staying within a 0.525–0.632 band throughout. We will highlight this more explicitly in the camera-ready version.</w:t>
      </w:r>
    </w:p>
    <w:p w:rsidR="00000000" w:rsidDel="00000000" w:rsidP="00000000" w:rsidRDefault="00000000" w:rsidRPr="00000000" w14:paraId="0000003D">
      <w:pPr>
        <w:spacing w:after="240" w:before="240" w:lineRule="auto"/>
        <w:jc w:val="both"/>
        <w:rPr>
          <w:sz w:val="21"/>
          <w:szCs w:val="21"/>
        </w:rPr>
      </w:pPr>
      <w:r w:rsidDel="00000000" w:rsidR="00000000" w:rsidRPr="00000000">
        <w:rPr>
          <w:sz w:val="21"/>
          <w:szCs w:val="21"/>
          <w:rtl w:val="0"/>
        </w:rPr>
        <w:t xml:space="preserve">The 2% numeric tolerance follows the domain-specific rationale already stated in the paper: engineering derivations frequently chain multiple computed quantities, so a looser threshold risks compounding error across steps in exactly the high-precision settings the benchmark targets </w:t>
      </w:r>
      <w:r w:rsidDel="00000000" w:rsidR="00000000" w:rsidRPr="00000000">
        <w:rPr>
          <w:b w:val="1"/>
          <w:bCs w:val="1"/>
          <w:sz w:val="21"/>
          <w:szCs w:val="21"/>
          <w:rtl w:val="0"/>
        </w:rPr>
        <w:t xml:space="preserve">(§4.2, Lines 320–322)</w:t>
      </w:r>
      <w:r w:rsidDel="00000000" w:rsidR="00000000" w:rsidRPr="00000000">
        <w:rPr>
          <w:sz w:val="21"/>
          <w:szCs w:val="21"/>
          <w:rtl w:val="0"/>
        </w:rPr>
        <w:t xml:space="preserve">. This places our choice at the stricter end of the range used in adjacent benchmark literature: SciBench (Wang et al., 2023) allows a 5% relative tolerance for grading numeric answers on college-level scientific problems, and ABench-Physics (Zhang et al., 2025b) uses a 1% tolerance for physics reasoning.</w:t>
      </w:r>
    </w:p>
    <w:p w:rsidR="00000000" w:rsidDel="00000000" w:rsidP="00000000" w:rsidRDefault="00000000" w:rsidRPr="00000000" w14:paraId="0000003E">
      <w:pPr>
        <w:spacing w:after="240" w:before="240" w:lineRule="auto"/>
        <w:jc w:val="both"/>
        <w:rPr>
          <w:sz w:val="21"/>
          <w:szCs w:val="21"/>
        </w:rPr>
      </w:pPr>
      <w:r w:rsidDel="00000000" w:rsidR="00000000" w:rsidRPr="00000000">
        <w:rPr>
          <w:sz w:val="21"/>
          <w:szCs w:val="21"/>
          <w:rtl w:val="0"/>
        </w:rPr>
        <w:t xml:space="preserve">We will extend the same sensitivity protocol to the numeric tolerance and the cross-encoder similarity threshold, reporting FAC and Reasoning F1 under a small grid of alternative values for each, for the camera-ready version.</w:t>
      </w:r>
    </w:p>
    <w:p w:rsidR="00000000" w:rsidDel="00000000" w:rsidP="00000000" w:rsidRDefault="00000000" w:rsidRPr="00000000" w14:paraId="0000003F">
      <w:pPr>
        <w:spacing w:after="200" w:lineRule="auto"/>
        <w:jc w:val="both"/>
        <w:rPr/>
      </w:pPr>
      <w:r w:rsidDel="00000000" w:rsidR="00000000" w:rsidRPr="00000000">
        <w:rPr>
          <w:rtl w:val="0"/>
        </w:rPr>
      </w:r>
    </w:p>
    <w:p w:rsidR="00000000" w:rsidDel="00000000" w:rsidP="00000000" w:rsidRDefault="00000000" w:rsidRPr="00000000" w14:paraId="00000040">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5. No branch-level reporting for the four math-specialized models, so the "math pre-training does not transfer" claim is under-supported.</w:t>
      </w:r>
      <w:r w:rsidDel="00000000" w:rsidR="00000000" w:rsidRPr="00000000">
        <w:rPr>
          <w:rtl w:val="0"/>
        </w:rPr>
      </w:r>
    </w:p>
    <w:p w:rsidR="00000000" w:rsidDel="00000000" w:rsidP="00000000" w:rsidRDefault="00000000" w:rsidRPr="00000000" w14:paraId="00000041">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42">
      <w:pPr>
        <w:spacing w:after="200" w:lineRule="auto"/>
        <w:jc w:val="both"/>
        <w:rPr>
          <w:sz w:val="21"/>
          <w:szCs w:val="21"/>
        </w:rPr>
      </w:pPr>
      <w:r w:rsidDel="00000000" w:rsidR="00000000" w:rsidRPr="00000000">
        <w:rPr>
          <w:sz w:val="21"/>
          <w:szCs w:val="21"/>
          <w:rtl w:val="0"/>
        </w:rPr>
        <w:t xml:space="preserve">We thank the reviewer for this point. The underperformance pattern is directionally consistent across all four math-specialized models in Table 1, not an isolated case: each scores below general-purpose models of comparable or smaller scale (e.g., Mathstral 7B at 19.70% FAC and WizardMath 7B at 8.22%, against Qwen2.5-7B at 35.63% and Llama 3.1 8B at 23.70%).</w:t>
      </w:r>
    </w:p>
    <w:p w:rsidR="00000000" w:rsidDel="00000000" w:rsidP="00000000" w:rsidRDefault="00000000" w:rsidRPr="00000000" w14:paraId="00000043">
      <w:pPr>
        <w:spacing w:after="240" w:before="240" w:lineRule="auto"/>
        <w:jc w:val="both"/>
        <w:rPr>
          <w:sz w:val="21"/>
          <w:szCs w:val="21"/>
        </w:rPr>
      </w:pPr>
      <w:r w:rsidDel="00000000" w:rsidR="00000000" w:rsidRPr="00000000">
        <w:rPr>
          <w:sz w:val="21"/>
          <w:szCs w:val="21"/>
          <w:rtl w:val="0"/>
        </w:rPr>
        <w:t xml:space="preserve">Table 1 also contains one controlled, same-family, same-scale comparison directly relevant to the reviewer's concern: Qwen2.5-Math-7B (FAC 23.04%) underperforms its own base model, Qwen2.5-7B (FAC 35.63%), despite identical architecture and parameter count, speaking against the gap being a scale artifact. Appendix U further shows Mathstral 7B and WizardMath 7B have conceptual error rates (58.0% and 69.5% respectively; Table 18) well above any frontier model, with Mathstral's errors concentrated in Formula/Principle selection rather than arithmetic (§U.1, Lines 1749–1757), pointing toward a knowledge gap rather than a scale artifact.</w:t>
      </w:r>
    </w:p>
    <w:p w:rsidR="00000000" w:rsidDel="00000000" w:rsidP="00000000" w:rsidRDefault="00000000" w:rsidRPr="00000000" w14:paraId="00000044">
      <w:pPr>
        <w:spacing w:after="240" w:before="240" w:lineRule="auto"/>
        <w:jc w:val="both"/>
        <w:rPr/>
      </w:pPr>
      <w:r w:rsidDel="00000000" w:rsidR="00000000" w:rsidRPr="00000000">
        <w:rPr>
          <w:sz w:val="21"/>
          <w:szCs w:val="21"/>
          <w:rtl w:val="0"/>
        </w:rPr>
        <w:t xml:space="preserve">We will extend this analysis with branch-level FAC for all four math-specialized models, including MetaMath-7B, for the camera-ready version.</w:t>
      </w:r>
      <w:r w:rsidDel="00000000" w:rsidR="00000000" w:rsidRPr="00000000">
        <w:rPr>
          <w:rtl w:val="0"/>
        </w:rPr>
      </w:r>
    </w:p>
    <w:p w:rsidR="00000000" w:rsidDel="00000000" w:rsidP="00000000" w:rsidRDefault="00000000" w:rsidRPr="00000000" w14:paraId="00000045">
      <w:pPr>
        <w:spacing w:after="200" w:lineRule="auto"/>
        <w:jc w:val="both"/>
        <w:rPr/>
      </w:pPr>
      <w:r w:rsidDel="00000000" w:rsidR="00000000" w:rsidRPr="00000000">
        <w:rPr>
          <w:rtl w:val="0"/>
        </w:rPr>
      </w:r>
    </w:p>
    <w:p w:rsidR="00000000" w:rsidDel="00000000" w:rsidP="00000000" w:rsidRDefault="00000000" w:rsidRPr="00000000" w14:paraId="00000046">
      <w:pPr>
        <w:spacing w:after="100" w:before="200" w:lineRule="auto"/>
        <w:jc w:val="both"/>
        <w:rPr>
          <w:shd w:fill="cfe2f3" w:val="clear"/>
        </w:rPr>
      </w:pPr>
      <w:r w:rsidDel="00000000" w:rsidR="00000000" w:rsidRPr="00000000">
        <w:rPr>
          <w:b w:val="1"/>
          <w:bCs w:val="1"/>
          <w:shd w:fill="cfe2f3" w:val="clear"/>
          <w:rtl w:val="0"/>
        </w:rPr>
        <w:t xml:space="preserve">Comments, suggestions, and typos</w:t>
      </w:r>
      <w:r w:rsidDel="00000000" w:rsidR="00000000" w:rsidRPr="00000000">
        <w:rPr>
          <w:rtl w:val="0"/>
        </w:rPr>
      </w:r>
    </w:p>
    <w:p w:rsidR="00000000" w:rsidDel="00000000" w:rsidP="00000000" w:rsidRDefault="00000000" w:rsidRPr="00000000" w14:paraId="00000047">
      <w:pPr>
        <w:spacing w:after="200" w:lineRule="auto"/>
        <w:jc w:val="both"/>
        <w:rPr>
          <w:sz w:val="21"/>
          <w:szCs w:val="21"/>
        </w:rPr>
      </w:pPr>
      <w:r w:rsidDel="00000000" w:rsidR="00000000" w:rsidRPr="00000000">
        <w:rPr>
          <w:b w:val="1"/>
          <w:bCs w:val="1"/>
          <w:color w:val="0b5394"/>
          <w:sz w:val="21"/>
          <w:szCs w:val="21"/>
          <w:rtl w:val="0"/>
        </w:rPr>
        <w:t xml:space="preserve">DeepSeek-V4-Pro categorization:</w:t>
      </w:r>
      <w:r w:rsidDel="00000000" w:rsidR="00000000" w:rsidRPr="00000000">
        <w:rPr>
          <w:b w:val="1"/>
          <w:bCs w:val="1"/>
          <w:sz w:val="21"/>
          <w:szCs w:val="21"/>
          <w:rtl w:val="0"/>
        </w:rPr>
        <w:t xml:space="preserve"> </w:t>
      </w:r>
      <w:r w:rsidDel="00000000" w:rsidR="00000000" w:rsidRPr="00000000">
        <w:rPr>
          <w:sz w:val="21"/>
          <w:szCs w:val="21"/>
          <w:rtl w:val="0"/>
        </w:rPr>
        <w:t xml:space="preserve">thank you for catching this. Section 5.1 (Lines 416–417) and Table 13 (Appendix O) place DeepSeek-V4-Pro under general-purpose open models; we will correct Table 1's grouping to match in the camera-ready version. </w:t>
      </w:r>
    </w:p>
    <w:p w:rsidR="00000000" w:rsidDel="00000000" w:rsidP="00000000" w:rsidRDefault="00000000" w:rsidRPr="00000000" w14:paraId="00000048">
      <w:pPr>
        <w:spacing w:after="200" w:lineRule="auto"/>
        <w:jc w:val="both"/>
        <w:rPr>
          <w:sz w:val="21"/>
          <w:szCs w:val="21"/>
        </w:rPr>
      </w:pPr>
      <w:r w:rsidDel="00000000" w:rsidR="00000000" w:rsidRPr="00000000">
        <w:rPr>
          <w:b w:val="1"/>
          <w:bCs w:val="1"/>
          <w:color w:val="0b5394"/>
          <w:sz w:val="21"/>
          <w:szCs w:val="21"/>
          <w:rtl w:val="0"/>
        </w:rPr>
        <w:t xml:space="preserve">Claude non-monotonic scaling:</w:t>
      </w:r>
      <w:r w:rsidDel="00000000" w:rsidR="00000000" w:rsidRPr="00000000">
        <w:rPr>
          <w:sz w:val="21"/>
          <w:szCs w:val="21"/>
          <w:rtl w:val="0"/>
        </w:rPr>
        <w:t xml:space="preserve"> this pattern is not unique to the Claude family. GPT-5 Mini (63.70%) outperforms the flagship GPT-5 (61.04%) on Final Answer Accuracy in the same table, so a smaller or earlier model outscoring a newer one on this specific benchmark already appears elsewhere in our results. Per our response to Point 2, we now have per-model standard deviation for these scores, and we will add a short discussion note alongside it in the camera-ready version connecting the two observations. </w:t>
      </w:r>
    </w:p>
    <w:p w:rsidR="00000000" w:rsidDel="00000000" w:rsidP="00000000" w:rsidRDefault="00000000" w:rsidRPr="00000000" w14:paraId="00000049">
      <w:pPr>
        <w:spacing w:after="200" w:lineRule="auto"/>
        <w:jc w:val="both"/>
        <w:rPr>
          <w:sz w:val="21"/>
          <w:szCs w:val="21"/>
        </w:rPr>
        <w:sectPr>
          <w:type w:val="nextPage"/>
          <w:pgSz w:h="15840" w:w="12240" w:orient="portrait"/>
          <w:pgMar w:bottom="1440" w:top="1440" w:left="1440" w:right="1440" w:header="708" w:footer="708"/>
          <w:pgNumType w:start="1"/>
        </w:sectPr>
      </w:pPr>
      <w:r w:rsidDel="00000000" w:rsidR="00000000" w:rsidRPr="00000000">
        <w:rPr>
          <w:b w:val="1"/>
          <w:bCs w:val="1"/>
          <w:color w:val="0b5394"/>
          <w:sz w:val="21"/>
          <w:szCs w:val="21"/>
          <w:rtl w:val="0"/>
        </w:rPr>
        <w:t xml:space="preserve">Broken "??" cross-reference:</w:t>
      </w:r>
      <w:r w:rsidDel="00000000" w:rsidR="00000000" w:rsidRPr="00000000">
        <w:rPr>
          <w:b w:val="1"/>
          <w:bCs w:val="1"/>
          <w:color w:val="1155cc"/>
          <w:sz w:val="21"/>
          <w:szCs w:val="21"/>
          <w:rtl w:val="0"/>
        </w:rPr>
        <w:t xml:space="preserve"> </w:t>
      </w:r>
      <w:r w:rsidDel="00000000" w:rsidR="00000000" w:rsidRPr="00000000">
        <w:rPr>
          <w:sz w:val="21"/>
          <w:szCs w:val="21"/>
          <w:rtl w:val="0"/>
        </w:rPr>
        <w:t xml:space="preserve">thank you for catching this. It is a dangling LaTeX \ref left over from restructuring the Limitations section. We will correct it to point to §1 (Lines 85–91), where the scoping decision is first introduced, as part of a full proofreading pass for the camera-ready version. </w:t>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5840" w:w="12240" w:orient="portrait"/>
          <w:pgMar w:bottom="1440" w:top="1440" w:left="1440" w:right="1440" w:header="720" w:footer="720"/>
          <w:pgNumType w:start="1"/>
        </w:sectPr>
      </w:pPr>
      <w:bookmarkStart w:colFirst="0" w:colLast="0" w:name="_806ghmqb5igy" w:id="1"/>
      <w:bookmarkEnd w:id="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Reviewer 9W1B</w:t>
      </w:r>
      <w:r w:rsidDel="00000000" w:rsidR="00000000" w:rsidRPr="00000000">
        <w:rPr>
          <w:rtl w:val="0"/>
        </w:rPr>
      </w:r>
    </w:p>
    <w:p w:rsidR="00000000" w:rsidDel="00000000" w:rsidP="00000000" w:rsidRDefault="00000000" w:rsidRPr="00000000" w14:paraId="0000004B">
      <w:pPr>
        <w:pStyle w:val="Heading1"/>
        <w:pBdr>
          <w:bottom w:color="999999" w:space="4" w:sz="6" w:val="single"/>
        </w:pBdr>
        <w:spacing w:after="200" w:before="400" w:lineRule="auto"/>
        <w:jc w:val="both"/>
        <w:rPr/>
      </w:pPr>
      <w:bookmarkStart w:colFirst="0" w:colLast="0" w:name="_lqwo1sene0am" w:id="2"/>
      <w:bookmarkEnd w:id="2"/>
      <w:r w:rsidDel="00000000" w:rsidR="00000000" w:rsidRPr="00000000">
        <w:rPr>
          <w:rtl w:val="0"/>
        </w:rPr>
        <w:t xml:space="preserve">Reviewer 9W1B</w:t>
      </w:r>
    </w:p>
    <w:p w:rsidR="00000000" w:rsidDel="00000000" w:rsidP="00000000" w:rsidRDefault="00000000" w:rsidRPr="00000000" w14:paraId="0000004C">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1. Scope/framing overstatement: "stress-test generalization across diverse physical scenarios" overstates what synthetic, linguistically constrained templates can measure.</w:t>
      </w:r>
      <w:r w:rsidDel="00000000" w:rsidR="00000000" w:rsidRPr="00000000">
        <w:rPr>
          <w:rtl w:val="0"/>
        </w:rPr>
      </w:r>
    </w:p>
    <w:p w:rsidR="00000000" w:rsidDel="00000000" w:rsidP="00000000" w:rsidRDefault="00000000" w:rsidRPr="00000000" w14:paraId="0000004D">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4E">
      <w:pPr>
        <w:spacing w:after="240" w:before="240" w:lineRule="auto"/>
        <w:jc w:val="both"/>
        <w:rPr>
          <w:sz w:val="21"/>
          <w:szCs w:val="21"/>
        </w:rPr>
      </w:pPr>
      <w:r w:rsidDel="00000000" w:rsidR="00000000" w:rsidRPr="00000000">
        <w:rPr>
          <w:sz w:val="21"/>
          <w:szCs w:val="21"/>
          <w:rtl w:val="0"/>
        </w:rPr>
        <w:t xml:space="preserve">We thank the reviewer for this observation. The diversity claim refers to physical and structural variation, not linguistic variation, and the paper already draws this distinction explicitly. Section 3.2 states that domain-aware parameter sampling "can alter the physical regime, governing equation, and required reasoning path entirely," while noting that "linguistic diversity through paraphrased or naturally sourced wording remains future work" </w:t>
      </w:r>
      <w:r w:rsidDel="00000000" w:rsidR="00000000" w:rsidRPr="00000000">
        <w:rPr>
          <w:b w:val="1"/>
          <w:bCs w:val="1"/>
          <w:sz w:val="21"/>
          <w:szCs w:val="21"/>
          <w:rtl w:val="0"/>
        </w:rPr>
        <w:t xml:space="preserve">(§3.2, Lines 207–212)</w:t>
      </w:r>
      <w:r w:rsidDel="00000000" w:rsidR="00000000" w:rsidRPr="00000000">
        <w:rPr>
          <w:sz w:val="21"/>
          <w:szCs w:val="21"/>
          <w:rtl w:val="0"/>
        </w:rPr>
        <w:t xml:space="preserve">. Appendix G demonstrates this concretely: the Basic, Intermediate, and Advanced examples each require a qualitatively different reasoning chain triggered by the sampled parameters, not just different numbers </w:t>
      </w:r>
      <w:r w:rsidDel="00000000" w:rsidR="00000000" w:rsidRPr="00000000">
        <w:rPr>
          <w:b w:val="1"/>
          <w:bCs w:val="1"/>
          <w:sz w:val="21"/>
          <w:szCs w:val="21"/>
          <w:rtl w:val="0"/>
        </w:rPr>
        <w:t xml:space="preserve">(Lines 1143–1162)</w:t>
      </w:r>
      <w:r w:rsidDel="00000000" w:rsidR="00000000" w:rsidRPr="00000000">
        <w:rPr>
          <w:sz w:val="21"/>
          <w:szCs w:val="21"/>
          <w:rtl w:val="0"/>
        </w:rPr>
        <w:t xml:space="preserve">. The Introduction separately states that EngTrace is scoped as "a depth-oriented evaluation... across a principled engineering subset rather than full disciplinary coverage"</w:t>
      </w:r>
      <w:r w:rsidDel="00000000" w:rsidR="00000000" w:rsidRPr="00000000">
        <w:rPr>
          <w:b w:val="1"/>
          <w:bCs w:val="1"/>
          <w:sz w:val="21"/>
          <w:szCs w:val="21"/>
          <w:rtl w:val="0"/>
        </w:rPr>
        <w:t xml:space="preserve"> (§1, Lines 85–91)</w:t>
      </w:r>
      <w:r w:rsidDel="00000000" w:rsidR="00000000" w:rsidRPr="00000000">
        <w:rPr>
          <w:sz w:val="21"/>
          <w:szCs w:val="21"/>
          <w:rtl w:val="0"/>
        </w:rPr>
        <w:t xml:space="preserve">.</w:t>
      </w:r>
    </w:p>
    <w:p w:rsidR="00000000" w:rsidDel="00000000" w:rsidP="00000000" w:rsidRDefault="00000000" w:rsidRPr="00000000" w14:paraId="0000004F">
      <w:pPr>
        <w:spacing w:after="240" w:before="240" w:lineRule="auto"/>
        <w:jc w:val="both"/>
        <w:rPr/>
      </w:pPr>
      <w:r w:rsidDel="00000000" w:rsidR="00000000" w:rsidRPr="00000000">
        <w:rPr>
          <w:sz w:val="21"/>
          <w:szCs w:val="21"/>
          <w:rtl w:val="0"/>
        </w:rPr>
        <w:t xml:space="preserve">We will add a brief clarifying phrase alongside this line in the abstract to make the physical/linguistic distinction explicit on first read, for the camera-ready version.</w:t>
      </w: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r>
    </w:p>
    <w:p w:rsidR="00000000" w:rsidDel="00000000" w:rsidP="00000000" w:rsidRDefault="00000000" w:rsidRPr="00000000" w14:paraId="00000051">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2. Circularity: heterogeneous LLM judges scoring LLM reasoning risks importing shared model biases; ρ = 0.632 is only moderate for a benchmark framed as safety-critical.</w:t>
      </w:r>
      <w:r w:rsidDel="00000000" w:rsidR="00000000" w:rsidRPr="00000000">
        <w:rPr>
          <w:rtl w:val="0"/>
        </w:rPr>
      </w:r>
    </w:p>
    <w:p w:rsidR="00000000" w:rsidDel="00000000" w:rsidP="00000000" w:rsidRDefault="00000000" w:rsidRPr="00000000" w14:paraId="00000052">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53">
      <w:pPr>
        <w:spacing w:after="240" w:before="240" w:lineRule="auto"/>
        <w:jc w:val="both"/>
        <w:rPr>
          <w:sz w:val="21"/>
          <w:szCs w:val="21"/>
        </w:rPr>
      </w:pPr>
      <w:r w:rsidDel="00000000" w:rsidR="00000000" w:rsidRPr="00000000">
        <w:rPr>
          <w:sz w:val="21"/>
          <w:szCs w:val="21"/>
          <w:rtl w:val="0"/>
        </w:rPr>
        <w:t xml:space="preserve">We thank the reviewer for this observation. On the framing point: the "safety-critical" language describes the deployment context that motivates the benchmark </w:t>
      </w:r>
      <w:r w:rsidDel="00000000" w:rsidR="00000000" w:rsidRPr="00000000">
        <w:rPr>
          <w:b w:val="1"/>
          <w:bCs w:val="1"/>
          <w:sz w:val="21"/>
          <w:szCs w:val="21"/>
          <w:rtl w:val="0"/>
        </w:rPr>
        <w:t xml:space="preserve">(§1, Lines 35-42)</w:t>
      </w:r>
      <w:r w:rsidDel="00000000" w:rsidR="00000000" w:rsidRPr="00000000">
        <w:rPr>
          <w:sz w:val="21"/>
          <w:szCs w:val="21"/>
          <w:rtl w:val="0"/>
        </w:rPr>
        <w:t xml:space="preserve">, not a claim that EngTrace itself is validated to safety-critical standards. The Ethical Statement already states that current LLMs should not be deployed in safety-critical systems without hardware-in-the-loop verification </w:t>
      </w:r>
      <w:r w:rsidDel="00000000" w:rsidR="00000000" w:rsidRPr="00000000">
        <w:rPr>
          <w:b w:val="1"/>
          <w:bCs w:val="1"/>
          <w:sz w:val="21"/>
          <w:szCs w:val="21"/>
          <w:rtl w:val="0"/>
        </w:rPr>
        <w:t xml:space="preserve">(Lines 604-611)</w:t>
      </w:r>
      <w:r w:rsidDel="00000000" w:rsidR="00000000" w:rsidRPr="00000000">
        <w:rPr>
          <w:sz w:val="21"/>
          <w:szCs w:val="21"/>
          <w:rtl w:val="0"/>
        </w:rPr>
        <w:t xml:space="preserve">; we will make this distinction more explicit alongside the framing in the camera-ready version.</w:t>
      </w:r>
    </w:p>
    <w:p w:rsidR="00000000" w:rsidDel="00000000" w:rsidP="00000000" w:rsidRDefault="00000000" w:rsidRPr="00000000" w14:paraId="00000054">
      <w:pPr>
        <w:spacing w:after="240" w:before="240" w:lineRule="auto"/>
        <w:jc w:val="both"/>
        <w:rPr>
          <w:sz w:val="21"/>
          <w:szCs w:val="21"/>
        </w:rPr>
      </w:pPr>
      <w:r w:rsidDel="00000000" w:rsidR="00000000" w:rsidRPr="00000000">
        <w:rPr>
          <w:sz w:val="21"/>
          <w:szCs w:val="21"/>
          <w:rtl w:val="0"/>
        </w:rPr>
        <w:t xml:space="preserve">On the circularity mechanism: the human-alignment study already includes Gemini 3 Pro, one of the models with the closest judge-family overlap, and shows no sign of inflated agreement for that case </w:t>
      </w:r>
      <w:r w:rsidDel="00000000" w:rsidR="00000000" w:rsidRPr="00000000">
        <w:rPr>
          <w:b w:val="1"/>
          <w:bCs w:val="1"/>
          <w:sz w:val="21"/>
          <w:szCs w:val="21"/>
          <w:rtl w:val="0"/>
        </w:rPr>
        <w:t xml:space="preserve">(Appendix M, Table 12)</w:t>
      </w:r>
      <w:r w:rsidDel="00000000" w:rsidR="00000000" w:rsidRPr="00000000">
        <w:rPr>
          <w:sz w:val="21"/>
          <w:szCs w:val="21"/>
          <w:rtl w:val="0"/>
        </w:rPr>
        <w:t xml:space="preserve">. Removing the Tribunal from the pipeline degrades human alignment rather than improving it (ρ = 0.632 → 0.411), and the resulting ρ = 0.632 is close to double the correlation achieved by standard reference metrics (ρ = 0.325) on the same sample. We commit to a direct test of the mechanism itself for the camera-ready version: re-running Tier 2 verification for GPT-5 and the Claude and Gemini families with the same-family judge excluded from the panel, reported against a placebo condition (a non-family judge excluded instead) and the untouched models (DeepSeek, the open-weights models, and the math-specialized models, none of which share a family with any Tribunal judge) as controls.</w:t>
      </w:r>
    </w:p>
    <w:p w:rsidR="00000000" w:rsidDel="00000000" w:rsidP="00000000" w:rsidRDefault="00000000" w:rsidRPr="00000000" w14:paraId="00000055">
      <w:pPr>
        <w:spacing w:after="200" w:lineRule="auto"/>
        <w:jc w:val="both"/>
        <w:rPr/>
      </w:pPr>
      <w:r w:rsidDel="00000000" w:rsidR="00000000" w:rsidRPr="00000000">
        <w:rPr>
          <w:rtl w:val="0"/>
        </w:rPr>
      </w:r>
    </w:p>
    <w:p w:rsidR="00000000" w:rsidDel="00000000" w:rsidP="00000000" w:rsidRDefault="00000000" w:rsidRPr="00000000" w14:paraId="00000056">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3. Step-level scoring is coarse (1.0/0.5/0.0 with lowest-score tie-break), and threshold sensitivity is not established in the main text.</w:t>
      </w:r>
      <w:r w:rsidDel="00000000" w:rsidR="00000000" w:rsidRPr="00000000">
        <w:rPr>
          <w:rtl w:val="0"/>
        </w:rPr>
      </w:r>
    </w:p>
    <w:p w:rsidR="00000000" w:rsidDel="00000000" w:rsidP="00000000" w:rsidRDefault="00000000" w:rsidRPr="00000000" w14:paraId="00000057">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58">
      <w:pPr>
        <w:spacing w:after="240" w:before="240" w:lineRule="auto"/>
        <w:jc w:val="both"/>
        <w:rPr>
          <w:sz w:val="21"/>
          <w:szCs w:val="21"/>
        </w:rPr>
      </w:pPr>
      <w:r w:rsidDel="00000000" w:rsidR="00000000" w:rsidRPr="00000000">
        <w:rPr>
          <w:sz w:val="21"/>
          <w:szCs w:val="21"/>
          <w:rtl w:val="0"/>
        </w:rPr>
        <w:t xml:space="preserve">We thank the reviewer for this observation. The three-value mapping applies only to the subset of chains that fall below the τ = 0.8 alignment-ratio threshold in Tier 1 </w:t>
      </w:r>
      <w:r w:rsidDel="00000000" w:rsidR="00000000" w:rsidRPr="00000000">
        <w:rPr>
          <w:b w:val="1"/>
          <w:bCs w:val="1"/>
          <w:sz w:val="21"/>
          <w:szCs w:val="21"/>
          <w:rtl w:val="0"/>
        </w:rPr>
        <w:t xml:space="preserve">(§4.4, Lines 356-360)</w:t>
      </w:r>
      <w:r w:rsidDel="00000000" w:rsidR="00000000" w:rsidRPr="00000000">
        <w:rPr>
          <w:sz w:val="21"/>
          <w:szCs w:val="21"/>
          <w:rtl w:val="0"/>
        </w:rPr>
        <w:t xml:space="preserve">. Chains at or above threshold are accepted through the fine-grained, continuous Tier 1 verification, numeric tolerance and cross-encoder similarity (Eq. 5), not the coarse categorical scale; the coarse mapping applies only to the smaller escalated subset, where Tier 2 is classifying discrepancy type rather than measuring its magnitude.</w:t>
      </w:r>
    </w:p>
    <w:p w:rsidR="00000000" w:rsidDel="00000000" w:rsidP="00000000" w:rsidRDefault="00000000" w:rsidRPr="00000000" w14:paraId="00000059">
      <w:pPr>
        <w:spacing w:after="240" w:before="240" w:lineRule="auto"/>
        <w:jc w:val="both"/>
        <w:rPr>
          <w:sz w:val="21"/>
          <w:szCs w:val="21"/>
        </w:rPr>
      </w:pPr>
      <w:r w:rsidDel="00000000" w:rsidR="00000000" w:rsidRPr="00000000">
        <w:rPr>
          <w:sz w:val="21"/>
          <w:szCs w:val="21"/>
          <w:rtl w:val="0"/>
        </w:rPr>
        <w:t xml:space="preserve">This three-way scale is deliberately kept coarse to stay computable at F1-metric scale across 27 models; the paper separately provides a finer six-category causal taxonomy applied by human experts to 2,200 annotated failure traces for diagnostic purposes</w:t>
      </w:r>
      <w:r w:rsidDel="00000000" w:rsidR="00000000" w:rsidRPr="00000000">
        <w:rPr>
          <w:b w:val="1"/>
          <w:bCs w:val="1"/>
          <w:sz w:val="21"/>
          <w:szCs w:val="21"/>
          <w:rtl w:val="0"/>
        </w:rPr>
        <w:t xml:space="preserve"> (§5.4, Appendix R)</w:t>
      </w:r>
      <w:r w:rsidDel="00000000" w:rsidR="00000000" w:rsidRPr="00000000">
        <w:rPr>
          <w:sz w:val="21"/>
          <w:szCs w:val="21"/>
          <w:rtl w:val="0"/>
        </w:rPr>
        <w:t xml:space="preserve">.</w:t>
      </w:r>
    </w:p>
    <w:p w:rsidR="00000000" w:rsidDel="00000000" w:rsidP="00000000" w:rsidRDefault="00000000" w:rsidRPr="00000000" w14:paraId="0000005A">
      <w:pPr>
        <w:spacing w:after="240" w:before="240" w:lineRule="auto"/>
        <w:jc w:val="both"/>
        <w:rPr>
          <w:sz w:val="21"/>
          <w:szCs w:val="21"/>
        </w:rPr>
      </w:pPr>
      <w:r w:rsidDel="00000000" w:rsidR="00000000" w:rsidRPr="00000000">
        <w:rPr>
          <w:sz w:val="21"/>
          <w:szCs w:val="21"/>
          <w:rtl w:val="0"/>
        </w:rPr>
        <w:t xml:space="preserve">On threshold sensitivity specifically: the escalation-ratio threshold already has a sensitivity analysis in the current submission. Table 12 </w:t>
      </w:r>
      <w:r w:rsidDel="00000000" w:rsidR="00000000" w:rsidRPr="00000000">
        <w:rPr>
          <w:b w:val="1"/>
          <w:bCs w:val="1"/>
          <w:sz w:val="21"/>
          <w:szCs w:val="21"/>
          <w:rtl w:val="0"/>
        </w:rPr>
        <w:t xml:space="preserve">(Appendix M.2, Lines 1417-1420)</w:t>
      </w:r>
      <w:r w:rsidDel="00000000" w:rsidR="00000000" w:rsidRPr="00000000">
        <w:rPr>
          <w:sz w:val="21"/>
          <w:szCs w:val="21"/>
          <w:rtl w:val="0"/>
        </w:rPr>
        <w:t xml:space="preserve"> reports alignment at τ = 0.6, 0.8, and 0.95, staying within a 0.525-0.632 band throughout. </w:t>
      </w:r>
    </w:p>
    <w:p w:rsidR="00000000" w:rsidDel="00000000" w:rsidP="00000000" w:rsidRDefault="00000000" w:rsidRPr="00000000" w14:paraId="0000005B">
      <w:pPr>
        <w:spacing w:after="240" w:before="240" w:lineRule="auto"/>
        <w:jc w:val="both"/>
        <w:rPr>
          <w:sz w:val="21"/>
          <w:szCs w:val="21"/>
        </w:rPr>
      </w:pPr>
      <w:r w:rsidDel="00000000" w:rsidR="00000000" w:rsidRPr="00000000">
        <w:rPr>
          <w:sz w:val="21"/>
          <w:szCs w:val="21"/>
          <w:rtl w:val="0"/>
        </w:rPr>
        <w:t xml:space="preserve">The 2% numeric tolerance follows the domain-specific rationale already stated in the paper: engineering derivations frequently chain multiple computed quantities, so a looser threshold risks compounding error across steps in exactly the high-precision settings the benchmark targets </w:t>
      </w:r>
      <w:r w:rsidDel="00000000" w:rsidR="00000000" w:rsidRPr="00000000">
        <w:rPr>
          <w:b w:val="1"/>
          <w:bCs w:val="1"/>
          <w:sz w:val="21"/>
          <w:szCs w:val="21"/>
          <w:rtl w:val="0"/>
        </w:rPr>
        <w:t xml:space="preserve">(§4.2, Lines 320-322)</w:t>
      </w:r>
      <w:r w:rsidDel="00000000" w:rsidR="00000000" w:rsidRPr="00000000">
        <w:rPr>
          <w:sz w:val="21"/>
          <w:szCs w:val="21"/>
          <w:rtl w:val="0"/>
        </w:rPr>
        <w:t xml:space="preserve">. This places our choice at the stricter end of the range used in adjacent benchmark literature: SciBench (Wang et al., 2023) allows a 5% relative tolerance for grading numeric answers on college-level scientific problems, and ABench-Physics (Zhang et al., 2025b) uses a 1% tolerance for physics reasoning.</w:t>
      </w:r>
    </w:p>
    <w:p w:rsidR="00000000" w:rsidDel="00000000" w:rsidP="00000000" w:rsidRDefault="00000000" w:rsidRPr="00000000" w14:paraId="0000005C">
      <w:pPr>
        <w:spacing w:after="240" w:before="240" w:lineRule="auto"/>
        <w:jc w:val="both"/>
        <w:rPr>
          <w:sz w:val="21"/>
          <w:szCs w:val="21"/>
        </w:rPr>
      </w:pPr>
      <w:r w:rsidDel="00000000" w:rsidR="00000000" w:rsidRPr="00000000">
        <w:rPr>
          <w:sz w:val="21"/>
          <w:szCs w:val="21"/>
          <w:rtl w:val="0"/>
        </w:rPr>
        <w:t xml:space="preserve">We will highlight the existing escalation-ratio analysis more explicitly and extend the same sensitivity protocol to the numeric tolerance and the cross-encoder similarity threshold, reporting FAC and Reasoning F1 under a small grid of alternative values for each, for the camera-ready version. </w:t>
      </w:r>
    </w:p>
    <w:p w:rsidR="00000000" w:rsidDel="00000000" w:rsidP="00000000" w:rsidRDefault="00000000" w:rsidRPr="00000000" w14:paraId="0000005D">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05E">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4. Insufficient statistical rigor: Table 1 reports single-run point scores for 27 models with no seeds, variance, or significance testing, yet headline claims rest on a few percentage points.</w:t>
      </w:r>
      <w:r w:rsidDel="00000000" w:rsidR="00000000" w:rsidRPr="00000000">
        <w:rPr>
          <w:rtl w:val="0"/>
        </w:rPr>
      </w:r>
    </w:p>
    <w:p w:rsidR="00000000" w:rsidDel="00000000" w:rsidP="00000000" w:rsidRDefault="00000000" w:rsidRPr="00000000" w14:paraId="0000005F">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60">
      <w:pPr>
        <w:spacing w:after="200" w:lineRule="auto"/>
        <w:jc w:val="both"/>
        <w:rPr>
          <w:sz w:val="21"/>
          <w:szCs w:val="21"/>
        </w:rPr>
      </w:pPr>
      <w:r w:rsidDel="00000000" w:rsidR="00000000" w:rsidRPr="00000000">
        <w:rPr>
          <w:sz w:val="21"/>
          <w:szCs w:val="21"/>
          <w:rtl w:val="0"/>
        </w:rPr>
        <w:t xml:space="preserve">We thank the reviewer for this suggestion. The 15 seeded instances per template were already generated for this purpose </w:t>
      </w:r>
      <w:r w:rsidDel="00000000" w:rsidR="00000000" w:rsidRPr="00000000">
        <w:rPr>
          <w:b w:val="1"/>
          <w:bCs w:val="1"/>
          <w:sz w:val="21"/>
          <w:szCs w:val="21"/>
          <w:rtl w:val="0"/>
        </w:rPr>
        <w:t xml:space="preserve">(§5.2, Lines 428-431)</w:t>
      </w:r>
      <w:r w:rsidDel="00000000" w:rsidR="00000000" w:rsidRPr="00000000">
        <w:rPr>
          <w:sz w:val="21"/>
          <w:szCs w:val="21"/>
          <w:rtl w:val="0"/>
        </w:rPr>
        <w:t xml:space="preserve">; in response to this review we ran the corresponding variance and significance analysis on the existing evaluation data.</w:t>
      </w:r>
    </w:p>
    <w:p w:rsidR="00000000" w:rsidDel="00000000" w:rsidP="00000000" w:rsidRDefault="00000000" w:rsidRPr="00000000" w14:paraId="00000061">
      <w:pPr>
        <w:spacing w:after="240" w:before="240" w:lineRule="auto"/>
        <w:jc w:val="both"/>
        <w:rPr>
          <w:sz w:val="21"/>
          <w:szCs w:val="21"/>
        </w:rPr>
      </w:pPr>
      <w:r w:rsidDel="00000000" w:rsidR="00000000" w:rsidRPr="00000000">
        <w:rPr>
          <w:sz w:val="21"/>
          <w:szCs w:val="21"/>
          <w:rtl w:val="0"/>
        </w:rPr>
        <w:t xml:space="preserve">We would note one clarification on how to read the resulting numbers: the per-template standard deviations reported below describe seed-to-seed variability within a single template, not the uncertainty of the Table 1 aggregate score itself. Each Table 1 figure is a mean over 90 templates, not a single template, so the aggregate is considerably more stable than the per-template spread alone would suggest.</w:t>
      </w:r>
    </w:p>
    <w:p w:rsidR="00000000" w:rsidDel="00000000" w:rsidP="00000000" w:rsidRDefault="00000000" w:rsidRPr="00000000" w14:paraId="00000062">
      <w:pPr>
        <w:spacing w:after="240" w:before="240" w:lineRule="auto"/>
        <w:jc w:val="both"/>
        <w:rPr>
          <w:sz w:val="21"/>
          <w:szCs w:val="21"/>
        </w:rPr>
      </w:pPr>
      <w:r w:rsidDel="00000000" w:rsidR="00000000" w:rsidRPr="00000000">
        <w:rPr>
          <w:sz w:val="21"/>
          <w:szCs w:val="21"/>
          <w:rtl w:val="0"/>
        </w:rPr>
        <w:t xml:space="preserve">Across the 25 models with complete records, mean per-template standard deviation is 20.1 pp on Final Answer Accuracy (range 9.8-25.7 pp) and 15.6 pp on Recovered F1 (range 4.4-18.3 pp); we will add this as a column to Table 1 in the camera-ready version.</w:t>
      </w:r>
    </w:p>
    <w:p w:rsidR="00000000" w:rsidDel="00000000" w:rsidP="00000000" w:rsidRDefault="00000000" w:rsidRPr="00000000" w14:paraId="00000063">
      <w:pPr>
        <w:spacing w:after="240" w:before="240" w:lineRule="auto"/>
        <w:jc w:val="both"/>
        <w:rPr>
          <w:sz w:val="21"/>
          <w:szCs w:val="21"/>
        </w:rPr>
      </w:pPr>
      <w:r w:rsidDel="00000000" w:rsidR="00000000" w:rsidRPr="00000000">
        <w:rPr>
          <w:sz w:val="21"/>
          <w:szCs w:val="21"/>
          <w:rtl w:val="0"/>
        </w:rPr>
        <w:t xml:space="preserve">For the complexity cliff (Figure 4), we ran a template-level bootstrap (B = 10,000) on the Easy-to-Advanced accuracy gap for the four representative models: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265"/>
        <w:gridCol w:w="1790"/>
        <w:gridCol w:w="1085"/>
        <w:gridCol w:w="1610"/>
        <w:gridCol w:w="1340"/>
        <w:tblGridChange w:id="0">
          <w:tblGrid>
            <w:gridCol w:w="1700"/>
            <w:gridCol w:w="1265"/>
            <w:gridCol w:w="1790"/>
            <w:gridCol w:w="1085"/>
            <w:gridCol w:w="1610"/>
            <w:gridCol w:w="1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jc w:val="center"/>
              <w:rPr>
                <w:sz w:val="20"/>
                <w:szCs w:val="20"/>
              </w:rPr>
            </w:pPr>
            <w:r w:rsidDel="00000000" w:rsidR="00000000" w:rsidRPr="00000000">
              <w:rPr>
                <w:b w:val="1"/>
                <w:bCs w:val="1"/>
                <w:sz w:val="20"/>
                <w:szCs w:val="20"/>
                <w:rtl w:val="0"/>
              </w:rPr>
              <w:t xml:space="preserve">Easy FAC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jc w:val="center"/>
              <w:rPr>
                <w:sz w:val="20"/>
                <w:szCs w:val="20"/>
              </w:rPr>
            </w:pPr>
            <w:r w:rsidDel="00000000" w:rsidR="00000000" w:rsidRPr="00000000">
              <w:rPr>
                <w:b w:val="1"/>
                <w:bCs w:val="1"/>
                <w:sz w:val="20"/>
                <w:szCs w:val="20"/>
                <w:rtl w:val="0"/>
              </w:rPr>
              <w:t xml:space="preserve">Advanced FAC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jc w:val="center"/>
              <w:rPr>
                <w:sz w:val="20"/>
                <w:szCs w:val="20"/>
              </w:rPr>
            </w:pPr>
            <w:r w:rsidDel="00000000" w:rsidR="00000000" w:rsidRPr="00000000">
              <w:rPr>
                <w:b w:val="1"/>
                <w:bCs w:val="1"/>
                <w:sz w:val="20"/>
                <w:szCs w:val="20"/>
                <w:rtl w:val="0"/>
              </w:rPr>
              <w:t xml:space="preserve">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jc w:val="center"/>
              <w:rPr>
                <w:sz w:val="20"/>
                <w:szCs w:val="20"/>
              </w:rPr>
            </w:pPr>
            <w:r w:rsidDel="00000000" w:rsidR="00000000" w:rsidRPr="00000000">
              <w:rPr>
                <w:b w:val="1"/>
                <w:bCs w:val="1"/>
                <w:sz w:val="20"/>
                <w:szCs w:val="20"/>
                <w:rtl w:val="0"/>
              </w:rPr>
              <w:t xml:space="preserve">95% CI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jc w:val="center"/>
              <w:rPr>
                <w:sz w:val="20"/>
                <w:szCs w:val="20"/>
              </w:rPr>
            </w:pPr>
            <w:r w:rsidDel="00000000" w:rsidR="00000000" w:rsidRPr="00000000">
              <w:rPr>
                <w:b w:val="1"/>
                <w:bCs w:val="1"/>
                <w:sz w:val="20"/>
                <w:szCs w:val="20"/>
                <w:rtl w:val="0"/>
              </w:rPr>
              <w:t xml:space="preserve">Significant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Llama 3.1 70B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52.5%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23.3%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−29.2 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[−46.6, −11.1]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GPT-5 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67.8%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47.6%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−20.2 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CI includes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DeepSeek 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65.3%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47.0%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−18.3 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CI includes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Gemini 3.1 Pro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67.5%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49.7%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−17.8 pp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CI includes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082">
      <w:pPr>
        <w:spacing w:after="240" w:before="240" w:lineRule="auto"/>
        <w:jc w:val="both"/>
        <w:rPr>
          <w:sz w:val="21"/>
          <w:szCs w:val="21"/>
        </w:rPr>
      </w:pPr>
      <w:r w:rsidDel="00000000" w:rsidR="00000000" w:rsidRPr="00000000">
        <w:rPr>
          <w:sz w:val="21"/>
          <w:szCs w:val="21"/>
          <w:rtl w:val="0"/>
        </w:rPr>
        <w:t xml:space="preserve">The direction and magnitude are consistent across all four models: each shows a double-digit-point drop from Easy to Advanced (17.8-29.2 pp). Given only 22 Advanced-tier templates to bootstrap over, the resulting confidence intervals are correspondingly wide; at this template count, the gap reaches significance for Llama 3.1 70B, the model with the largest observed effect, and remains directionally consistent but not independently significant for the other three. On Recovered F1, the same test reaches significance for both Llama 3.1 70B and Gemini 3.1 Pro.</w:t>
      </w:r>
    </w:p>
    <w:p w:rsidR="00000000" w:rsidDel="00000000" w:rsidP="00000000" w:rsidRDefault="00000000" w:rsidRPr="00000000" w14:paraId="00000083">
      <w:pPr>
        <w:spacing w:after="240" w:before="240" w:lineRule="auto"/>
        <w:jc w:val="both"/>
        <w:rPr>
          <w:sz w:val="21"/>
          <w:szCs w:val="21"/>
        </w:rPr>
      </w:pPr>
      <w:r w:rsidDel="00000000" w:rsidR="00000000" w:rsidRPr="00000000">
        <w:rPr>
          <w:sz w:val="21"/>
          <w:szCs w:val="21"/>
          <w:rtl w:val="0"/>
        </w:rPr>
        <w:t xml:space="preserve">The math-enhanced underperformance claim rests on considerably wider margins than the other two: Mathstral 7B (19.70% FAC) and MetaMath-7B (6.07%) sit 15-30 percentage points below general-purpose models of comparable or smaller scale, such as Qwen2.5-7B (35.63%) and Llama 3.1 8B (23.70%), not the few-point differences the complexity cliff and decoupling claims involve.</w:t>
      </w:r>
    </w:p>
    <w:p w:rsidR="00000000" w:rsidDel="00000000" w:rsidP="00000000" w:rsidRDefault="00000000" w:rsidRPr="00000000" w14:paraId="00000084">
      <w:pPr>
        <w:spacing w:after="240" w:before="240" w:lineRule="auto"/>
        <w:jc w:val="both"/>
        <w:rPr/>
      </w:pPr>
      <w:r w:rsidDel="00000000" w:rsidR="00000000" w:rsidRPr="00000000">
        <w:rPr>
          <w:sz w:val="21"/>
          <w:szCs w:val="21"/>
          <w:rtl w:val="0"/>
        </w:rPr>
        <w:t xml:space="preserve">We are extending the same analysis to the FAC-vs-F1 decoupling claims (§5.3.1) and will report paired significance tests (McNemar for the binary FAC metric, Wilcoxon signed-rank for the continuous Recovered F1 metric) for the camera-ready version.</w:t>
      </w:r>
      <w:r w:rsidDel="00000000" w:rsidR="00000000" w:rsidRPr="00000000">
        <w:rPr>
          <w:rtl w:val="0"/>
        </w:rPr>
      </w:r>
    </w:p>
    <w:p w:rsidR="00000000" w:rsidDel="00000000" w:rsidP="00000000" w:rsidRDefault="00000000" w:rsidRPr="00000000" w14:paraId="00000085">
      <w:pPr>
        <w:spacing w:after="200" w:lineRule="auto"/>
        <w:jc w:val="both"/>
        <w:rPr/>
      </w:pPr>
      <w:r w:rsidDel="00000000" w:rsidR="00000000" w:rsidRPr="00000000">
        <w:rPr>
          <w:rtl w:val="0"/>
        </w:rPr>
      </w:r>
    </w:p>
    <w:p w:rsidR="00000000" w:rsidDel="00000000" w:rsidP="00000000" w:rsidRDefault="00000000" w:rsidRPr="00000000" w14:paraId="00000086">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5. Causal claims under-supported: the "math pre-training does not transfer" conclusion is drawn from a small set of math-enhanced 7B models, confounding specialization with scale and model family.</w:t>
      </w:r>
      <w:r w:rsidDel="00000000" w:rsidR="00000000" w:rsidRPr="00000000">
        <w:rPr>
          <w:rtl w:val="0"/>
        </w:rPr>
      </w:r>
    </w:p>
    <w:p w:rsidR="00000000" w:rsidDel="00000000" w:rsidP="00000000" w:rsidRDefault="00000000" w:rsidRPr="00000000" w14:paraId="00000087">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88">
      <w:pPr>
        <w:spacing w:after="240" w:before="240" w:lineRule="auto"/>
        <w:jc w:val="both"/>
        <w:rPr>
          <w:sz w:val="21"/>
          <w:szCs w:val="21"/>
        </w:rPr>
      </w:pPr>
      <w:r w:rsidDel="00000000" w:rsidR="00000000" w:rsidRPr="00000000">
        <w:rPr>
          <w:sz w:val="21"/>
          <w:szCs w:val="21"/>
          <w:rtl w:val="0"/>
        </w:rPr>
        <w:t xml:space="preserve">We thank the reviewer for this observation. The underperformance pattern is directionally consistent across all four math-specialized models in Table 1: each scores well below general-purpose models of comparable or smaller scale, for example Mathstral 7B (19.70% FAC) and WizardMath 7B (8.22%) against Qwen2.5-7B (35.63%) and Llama 3.1 8B (23.70%).</w:t>
      </w:r>
    </w:p>
    <w:p w:rsidR="00000000" w:rsidDel="00000000" w:rsidP="00000000" w:rsidRDefault="00000000" w:rsidRPr="00000000" w14:paraId="00000089">
      <w:pPr>
        <w:spacing w:after="240" w:before="240" w:lineRule="auto"/>
        <w:jc w:val="both"/>
        <w:rPr>
          <w:sz w:val="21"/>
          <w:szCs w:val="21"/>
        </w:rPr>
      </w:pPr>
      <w:r w:rsidDel="00000000" w:rsidR="00000000" w:rsidRPr="00000000">
        <w:rPr>
          <w:sz w:val="21"/>
          <w:szCs w:val="21"/>
          <w:rtl w:val="0"/>
        </w:rPr>
        <w:t xml:space="preserve">Table 1 also contains one controlled, same-family, same-scale comparison directly relevant to this concern: Qwen2.5-Math-7B (FAC 23.04%) underperforms its own base model, Qwen2.5-7B (FAC 35.63%), at identical architecture and parameter count, speaking against the gap being a scale or family artifact. Appendix U further shows Mathstral 7B and WizardMath 7B have conceptual error rates (58.0% and 69.5%; Table 18) well above any frontier model, with Mathstral's errors concentrated in Formula/Principle selection rather than arithmetic </w:t>
      </w:r>
      <w:r w:rsidDel="00000000" w:rsidR="00000000" w:rsidRPr="00000000">
        <w:rPr>
          <w:b w:val="1"/>
          <w:bCs w:val="1"/>
          <w:sz w:val="21"/>
          <w:szCs w:val="21"/>
          <w:rtl w:val="0"/>
        </w:rPr>
        <w:t xml:space="preserve">(§U.1, Lines 1749-1757)</w:t>
      </w:r>
      <w:r w:rsidDel="00000000" w:rsidR="00000000" w:rsidRPr="00000000">
        <w:rPr>
          <w:sz w:val="21"/>
          <w:szCs w:val="21"/>
          <w:rtl w:val="0"/>
        </w:rPr>
        <w:t xml:space="preserve">, pointing toward a knowledge gap rather than a scale confound.</w:t>
      </w:r>
    </w:p>
    <w:p w:rsidR="00000000" w:rsidDel="00000000" w:rsidP="00000000" w:rsidRDefault="00000000" w:rsidRPr="00000000" w14:paraId="0000008A">
      <w:pPr>
        <w:spacing w:after="240" w:before="240" w:lineRule="auto"/>
        <w:jc w:val="both"/>
        <w:rPr/>
      </w:pPr>
      <w:r w:rsidDel="00000000" w:rsidR="00000000" w:rsidRPr="00000000">
        <w:rPr>
          <w:sz w:val="21"/>
          <w:szCs w:val="21"/>
          <w:rtl w:val="0"/>
        </w:rPr>
        <w:t xml:space="preserve">We will extend this with branch-level FAC for all four math-specialized models, including MetaMath-7B, for the camera-ready version.</w:t>
      </w: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6. Presentation: a large share of validation (agreement statistics, threshold choices, ablations) is deferred to appendices, making the central claims hard to assess from the main paper alone.</w:t>
      </w:r>
      <w:r w:rsidDel="00000000" w:rsidR="00000000" w:rsidRPr="00000000">
        <w:rPr>
          <w:rtl w:val="0"/>
        </w:rPr>
      </w:r>
    </w:p>
    <w:p w:rsidR="00000000" w:rsidDel="00000000" w:rsidP="00000000" w:rsidRDefault="00000000" w:rsidRPr="00000000" w14:paraId="0000008D">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8E">
      <w:pPr>
        <w:spacing w:after="240" w:before="240" w:lineRule="auto"/>
        <w:jc w:val="both"/>
        <w:rPr>
          <w:sz w:val="21"/>
          <w:szCs w:val="21"/>
        </w:rPr>
      </w:pPr>
      <w:r w:rsidDel="00000000" w:rsidR="00000000" w:rsidRPr="00000000">
        <w:rPr>
          <w:sz w:val="21"/>
          <w:szCs w:val="21"/>
          <w:rtl w:val="0"/>
        </w:rPr>
        <w:t xml:space="preserve">We thank the reviewer for this observation. The appendix material is extensive because it is intended to support full reproducibility, prompts, thresholds, per-model breakdowns, and validation statistics are all reported in detail rather than summarized away, but we recognize that placement alone does not make the central claims easy to assess from the main text. We will summarize this more explicitly in Section 4 for the camera-ready version, with a short reproducibility-and-validation paragraph pointing readers to the full appendix versions. </w:t>
      </w:r>
    </w:p>
    <w:p w:rsidR="00000000" w:rsidDel="00000000" w:rsidP="00000000" w:rsidRDefault="00000000" w:rsidRPr="00000000" w14:paraId="0000008F">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090">
      <w:pPr>
        <w:spacing w:after="100" w:before="200" w:lineRule="auto"/>
        <w:jc w:val="both"/>
        <w:rPr>
          <w:shd w:fill="cfe2f3" w:val="clear"/>
        </w:rPr>
      </w:pPr>
      <w:r w:rsidDel="00000000" w:rsidR="00000000" w:rsidRPr="00000000">
        <w:rPr>
          <w:b w:val="1"/>
          <w:bCs w:val="1"/>
          <w:shd w:fill="cfe2f3" w:val="clear"/>
          <w:rtl w:val="0"/>
        </w:rPr>
        <w:t xml:space="preserve">Comments, suggestions, and typos</w:t>
      </w:r>
      <w:r w:rsidDel="00000000" w:rsidR="00000000" w:rsidRPr="00000000">
        <w:rPr>
          <w:rtl w:val="0"/>
        </w:rPr>
      </w:r>
    </w:p>
    <w:p w:rsidR="00000000" w:rsidDel="00000000" w:rsidP="00000000" w:rsidRDefault="00000000" w:rsidRPr="00000000" w14:paraId="00000091">
      <w:pPr>
        <w:spacing w:after="240" w:before="240" w:lineRule="auto"/>
        <w:jc w:val="both"/>
        <w:rPr>
          <w:sz w:val="21"/>
          <w:szCs w:val="21"/>
        </w:rPr>
      </w:pPr>
      <w:r w:rsidDel="00000000" w:rsidR="00000000" w:rsidRPr="00000000">
        <w:rPr>
          <w:b w:val="1"/>
          <w:bCs w:val="1"/>
          <w:color w:val="0b5394"/>
          <w:sz w:val="21"/>
          <w:szCs w:val="21"/>
          <w:rtl w:val="0"/>
        </w:rPr>
        <w:t xml:space="preserve">Broken "??" cross-reference:</w:t>
      </w:r>
      <w:r w:rsidDel="00000000" w:rsidR="00000000" w:rsidRPr="00000000">
        <w:rPr>
          <w:sz w:val="21"/>
          <w:szCs w:val="21"/>
          <w:rtl w:val="0"/>
        </w:rPr>
        <w:t xml:space="preserve"> thank you for catching this. It is a dangling LaTeX \ref left over from restructuring the Limitations section. We will correct it to point to §1 (Lines 85-91), where the scoping decision is first introduced, as part of a full proofreading pass for the camera-ready version.</w:t>
      </w:r>
    </w:p>
    <w:p w:rsidR="00000000" w:rsidDel="00000000" w:rsidP="00000000" w:rsidRDefault="00000000" w:rsidRPr="00000000" w14:paraId="00000092">
      <w:pPr>
        <w:spacing w:after="240" w:before="240" w:lineRule="auto"/>
        <w:jc w:val="both"/>
        <w:rPr>
          <w:sz w:val="21"/>
          <w:szCs w:val="21"/>
        </w:rPr>
      </w:pPr>
      <w:r w:rsidDel="00000000" w:rsidR="00000000" w:rsidRPr="00000000">
        <w:rPr>
          <w:b w:val="1"/>
          <w:bCs w:val="1"/>
          <w:color w:val="0b5394"/>
          <w:sz w:val="21"/>
          <w:szCs w:val="21"/>
          <w:rtl w:val="0"/>
        </w:rPr>
        <w:t xml:space="preserve">Datasets and Software listed as unavailable:</w:t>
      </w:r>
      <w:r w:rsidDel="00000000" w:rsidR="00000000" w:rsidRPr="00000000">
        <w:rPr>
          <w:sz w:val="21"/>
          <w:szCs w:val="21"/>
          <w:rtl w:val="0"/>
        </w:rPr>
        <w:t xml:space="preserve"> we noticed the review lists these as unavailable. The code and data archives were included with the original submission per the checklist (front matter: Software: zip, Data: zip); we are happy to help resolve any access issue that may have caused these to appear unavailable during review.</w:t>
      </w:r>
    </w:p>
    <w:p w:rsidR="00000000" w:rsidDel="00000000" w:rsidP="00000000" w:rsidRDefault="00000000" w:rsidRPr="00000000" w14:paraId="00000093">
      <w:pPr>
        <w:spacing w:after="240" w:before="240" w:lineRule="auto"/>
        <w:jc w:val="both"/>
        <w:rPr>
          <w:sz w:val="21"/>
          <w:szCs w:val="21"/>
        </w:rPr>
      </w:pPr>
      <w:r w:rsidDel="00000000" w:rsidR="00000000" w:rsidRPr="00000000">
        <w:rPr>
          <w:b w:val="1"/>
          <w:bCs w:val="1"/>
          <w:color w:val="0b5394"/>
          <w:sz w:val="21"/>
          <w:szCs w:val="21"/>
          <w:rtl w:val="0"/>
        </w:rPr>
        <w:t xml:space="preserve">Report inter-judge agreement within the Tribunal, separately from human alignment:</w:t>
      </w:r>
      <w:r w:rsidDel="00000000" w:rsidR="00000000" w:rsidRPr="00000000">
        <w:rPr>
          <w:sz w:val="21"/>
          <w:szCs w:val="21"/>
          <w:rtl w:val="0"/>
        </w:rPr>
        <w:t xml:space="preserve"> thank you for this suggestion. The pipeline already computes a per-template disagreement statistic among the three Tribunal judges (σmax, Eq. 2, §3.3, Lines 240-247) as part of the certification gate. We will report its aggregate value, plus pairwise inter-judge agreement (Gwet's AC1) on the binary certification decision, in a new appendix subsection for the camera-ready version.</w:t>
      </w:r>
    </w:p>
    <w:p w:rsidR="00000000" w:rsidDel="00000000" w:rsidP="00000000" w:rsidRDefault="00000000" w:rsidRPr="00000000" w14:paraId="00000094">
      <w:pPr>
        <w:spacing w:after="200" w:lineRule="auto"/>
        <w:jc w:val="both"/>
        <w:rPr>
          <w:b w:val="1"/>
          <w:bCs w:val="1"/>
        </w:rPr>
      </w:pPr>
      <w:r w:rsidDel="00000000" w:rsidR="00000000" w:rsidRPr="00000000">
        <w:rPr>
          <w:rtl w:val="0"/>
        </w:rPr>
      </w:r>
    </w:p>
    <w:p w:rsidR="00000000" w:rsidDel="00000000" w:rsidP="00000000" w:rsidRDefault="00000000" w:rsidRPr="00000000" w14:paraId="00000095">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l7p93eo21k" w:id="3"/>
      <w:bookmarkEnd w:id="3"/>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Reviewer ynoK</w:t>
      </w:r>
      <w:r w:rsidDel="00000000" w:rsidR="00000000" w:rsidRPr="00000000">
        <w:rPr>
          <w:rtl w:val="0"/>
        </w:rPr>
      </w:r>
    </w:p>
    <w:p w:rsidR="00000000" w:rsidDel="00000000" w:rsidP="00000000" w:rsidRDefault="00000000" w:rsidRPr="00000000" w14:paraId="00000097">
      <w:pPr>
        <w:pStyle w:val="Heading1"/>
        <w:pBdr>
          <w:bottom w:color="999999" w:space="4" w:sz="6" w:val="single"/>
        </w:pBdr>
        <w:spacing w:after="200" w:before="400" w:lineRule="auto"/>
        <w:jc w:val="both"/>
        <w:rPr/>
      </w:pPr>
      <w:bookmarkStart w:colFirst="0" w:colLast="0" w:name="_xq0ccjop69yb" w:id="4"/>
      <w:bookmarkEnd w:id="4"/>
      <w:r w:rsidDel="00000000" w:rsidR="00000000" w:rsidRPr="00000000">
        <w:rPr>
          <w:rtl w:val="0"/>
        </w:rPr>
        <w:t xml:space="preserve">Reviewer ynoK</w:t>
      </w:r>
    </w:p>
    <w:p w:rsidR="00000000" w:rsidDel="00000000" w:rsidP="00000000" w:rsidRDefault="00000000" w:rsidRPr="00000000" w14:paraId="00000098">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1. Breadth is limited to three engineering branches, which is still far from the scope of real-world engineering reasoning.</w:t>
      </w:r>
      <w:r w:rsidDel="00000000" w:rsidR="00000000" w:rsidRPr="00000000">
        <w:rPr>
          <w:rtl w:val="0"/>
        </w:rPr>
      </w:r>
    </w:p>
    <w:p w:rsidR="00000000" w:rsidDel="00000000" w:rsidP="00000000" w:rsidRDefault="00000000" w:rsidRPr="00000000" w14:paraId="00000099">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9A">
      <w:pPr>
        <w:spacing w:after="200" w:lineRule="auto"/>
        <w:jc w:val="both"/>
        <w:rPr>
          <w:sz w:val="21"/>
          <w:szCs w:val="21"/>
        </w:rPr>
      </w:pPr>
      <w:r w:rsidDel="00000000" w:rsidR="00000000" w:rsidRPr="00000000">
        <w:rPr>
          <w:sz w:val="21"/>
          <w:szCs w:val="21"/>
          <w:rtl w:val="0"/>
        </w:rPr>
        <w:t xml:space="preserve">We thank the reviewer for this observation. The three branches were selected as a principled starting point rather than an arbitrary limit: each is a core, well-defined discipline with established curricula and textbook grounding suitable for the symbolic template pipeline that verifiability depends on </w:t>
      </w:r>
      <w:r w:rsidDel="00000000" w:rsidR="00000000" w:rsidRPr="00000000">
        <w:rPr>
          <w:b w:val="1"/>
          <w:bCs w:val="1"/>
          <w:sz w:val="21"/>
          <w:szCs w:val="21"/>
          <w:rtl w:val="0"/>
        </w:rPr>
        <w:t xml:space="preserve">(§1, Lines 85-91)</w:t>
      </w:r>
      <w:r w:rsidDel="00000000" w:rsidR="00000000" w:rsidRPr="00000000">
        <w:rPr>
          <w:sz w:val="21"/>
          <w:szCs w:val="21"/>
          <w:rtl w:val="0"/>
        </w:rPr>
        <w:t xml:space="preserve">. We commit to extending the taxonomy with a fourth engineering branch (for example Civil or Aerospace Engineering, to be finalized in consultation with domain experts), authored through the same textbook-grounded template process described in </w:t>
      </w:r>
      <w:r w:rsidDel="00000000" w:rsidR="00000000" w:rsidRPr="00000000">
        <w:rPr>
          <w:b w:val="1"/>
          <w:bCs w:val="1"/>
          <w:sz w:val="21"/>
          <w:szCs w:val="21"/>
          <w:rtl w:val="0"/>
        </w:rPr>
        <w:t xml:space="preserve">(§3.1, Lines 179-193)</w:t>
      </w:r>
      <w:r w:rsidDel="00000000" w:rsidR="00000000" w:rsidRPr="00000000">
        <w:rPr>
          <w:sz w:val="21"/>
          <w:szCs w:val="21"/>
          <w:rtl w:val="0"/>
        </w:rPr>
        <w:t xml:space="preserve"> and Appendix C, for the camera-ready version. </w:t>
      </w:r>
    </w:p>
    <w:p w:rsidR="00000000" w:rsidDel="00000000" w:rsidP="00000000" w:rsidRDefault="00000000" w:rsidRPr="00000000" w14:paraId="0000009B">
      <w:pPr>
        <w:spacing w:after="200" w:lineRule="auto"/>
        <w:jc w:val="both"/>
        <w:rPr/>
      </w:pPr>
      <w:r w:rsidDel="00000000" w:rsidR="00000000" w:rsidRPr="00000000">
        <w:rPr>
          <w:rtl w:val="0"/>
        </w:rPr>
      </w:r>
    </w:p>
    <w:p w:rsidR="00000000" w:rsidDel="00000000" w:rsidP="00000000" w:rsidRDefault="00000000" w:rsidRPr="00000000" w14:paraId="0000009C">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2. The benchmark is generated entirely from synthetic symbolic templates, creating a gap with real-world engineering cases.</w:t>
      </w:r>
      <w:r w:rsidDel="00000000" w:rsidR="00000000" w:rsidRPr="00000000">
        <w:rPr>
          <w:rtl w:val="0"/>
        </w:rPr>
      </w:r>
    </w:p>
    <w:p w:rsidR="00000000" w:rsidDel="00000000" w:rsidP="00000000" w:rsidRDefault="00000000" w:rsidRPr="00000000" w14:paraId="0000009D">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t xml:space="preserve">We thank the reviewer for this observation. The synthetic design is a deliberate tradeoff rather than an oversight: verifiable, gold-standard reasoning traces, the paper's central contribution, are only guaranteed through controlled symbolic generation </w:t>
      </w:r>
      <w:r w:rsidDel="00000000" w:rsidR="00000000" w:rsidRPr="00000000">
        <w:rPr>
          <w:b w:val="1"/>
          <w:bCs w:val="1"/>
          <w:rtl w:val="0"/>
        </w:rPr>
        <w:t xml:space="preserve">(§1, Lines 85-91)</w:t>
      </w:r>
      <w:r w:rsidDel="00000000" w:rsidR="00000000" w:rsidRPr="00000000">
        <w:rPr>
          <w:rtl w:val="0"/>
        </w:rPr>
        <w:t xml:space="preserve">, and Appendix G shows that templates vary structurally, not just parametrically, the sampled parameters can change the governing equation and required reasoning path entirely, not just the numbers involved.</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Linguistic and contextual diversity, paraphrased problem wording and non-textual inputs such as diagrams or schematics, is a separate axis from this structural diversity, and one we have not yet addressed. This is stated directly in the Limitations section </w:t>
      </w:r>
      <w:r w:rsidDel="00000000" w:rsidR="00000000" w:rsidRPr="00000000">
        <w:rPr>
          <w:b w:val="1"/>
          <w:bCs w:val="1"/>
          <w:rtl w:val="0"/>
        </w:rPr>
        <w:t xml:space="preserve">(Lines 585-595)</w:t>
      </w:r>
      <w:r w:rsidDel="00000000" w:rsidR="00000000" w:rsidRPr="00000000">
        <w:rPr>
          <w:rtl w:val="0"/>
        </w:rPr>
        <w:t xml:space="preserve">, with multi-modal, real-world-artifact-seeded generation named as a direction we are pursuing.</w:t>
      </w:r>
    </w:p>
    <w:p w:rsidR="00000000" w:rsidDel="00000000" w:rsidP="00000000" w:rsidRDefault="00000000" w:rsidRPr="00000000" w14:paraId="000000A0">
      <w:pPr>
        <w:spacing w:after="120" w:before="240" w:lineRule="auto"/>
        <w:jc w:val="both"/>
        <w:rPr>
          <w:b w:val="1"/>
          <w:bCs w:val="1"/>
        </w:rPr>
      </w:pPr>
      <w:r w:rsidDel="00000000" w:rsidR="00000000" w:rsidRPr="00000000">
        <w:rPr>
          <w:rtl w:val="0"/>
        </w:rPr>
      </w:r>
    </w:p>
    <w:p w:rsidR="00000000" w:rsidDel="00000000" w:rsidP="00000000" w:rsidRDefault="00000000" w:rsidRPr="00000000" w14:paraId="000000A1">
      <w:pPr>
        <w:spacing w:after="120" w:before="240" w:lineRule="auto"/>
        <w:jc w:val="both"/>
        <w:rPr>
          <w:i w:val="1"/>
          <w:iCs w:val="1"/>
          <w:shd w:fill="cfe2f3" w:val="clear"/>
        </w:rPr>
      </w:pPr>
      <w:r w:rsidDel="00000000" w:rsidR="00000000" w:rsidRPr="00000000">
        <w:rPr>
          <w:b w:val="1"/>
          <w:bCs w:val="1"/>
          <w:i w:val="1"/>
          <w:iCs w:val="1"/>
          <w:shd w:fill="cfe2f3" w:val="clear"/>
          <w:rtl w:val="0"/>
        </w:rPr>
        <w:t xml:space="preserve">3. The benchmark lacks tool-augmented baselines, even though tool use is natural in real-world engineering practice.</w:t>
      </w:r>
      <w:r w:rsidDel="00000000" w:rsidR="00000000" w:rsidRPr="00000000">
        <w:rPr>
          <w:rtl w:val="0"/>
        </w:rPr>
      </w:r>
    </w:p>
    <w:p w:rsidR="00000000" w:rsidDel="00000000" w:rsidP="00000000" w:rsidRDefault="00000000" w:rsidRPr="00000000" w14:paraId="000000A2">
      <w:pPr>
        <w:spacing w:after="100" w:lineRule="auto"/>
        <w:jc w:val="both"/>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A3">
      <w:pPr>
        <w:spacing w:after="240" w:before="240" w:lineRule="auto"/>
        <w:jc w:val="both"/>
        <w:rPr/>
      </w:pPr>
      <w:r w:rsidDel="00000000" w:rsidR="00000000" w:rsidRPr="00000000">
        <w:rPr>
          <w:rtl w:val="0"/>
        </w:rPr>
        <w:t xml:space="preserve">We thank the reviewer for this observation. The current tool-free setting is a deliberate design choice to isolate intrinsic reasoning ability from tool-use competence </w:t>
      </w:r>
      <w:r w:rsidDel="00000000" w:rsidR="00000000" w:rsidRPr="00000000">
        <w:rPr>
          <w:b w:val="1"/>
          <w:bCs w:val="1"/>
          <w:rtl w:val="0"/>
        </w:rPr>
        <w:t xml:space="preserve">(§5.2, Lines 439-442)</w:t>
      </w:r>
      <w:r w:rsidDel="00000000" w:rsidR="00000000" w:rsidRPr="00000000">
        <w:rPr>
          <w:rtl w:val="0"/>
        </w:rPr>
        <w:t xml:space="preserve">, and it has already produced a diagnostic result relevant to this question: the error taxonomy in §5.4 shows frontier-model failures are overwhelmingly arithmetic rather than conceptual (e.g., Gemini 3.1 Pro: 79.5% Calculation Errors vs. 14.5% conceptual), separating execution failures from reasoning failures within the tool-free setting itself.</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Tool-augmented and retrieval-augmented evaluation is already named as future work in both the Conclusion </w:t>
      </w:r>
      <w:r w:rsidDel="00000000" w:rsidR="00000000" w:rsidRPr="00000000">
        <w:rPr>
          <w:b w:val="1"/>
          <w:bCs w:val="1"/>
          <w:rtl w:val="0"/>
        </w:rPr>
        <w:t xml:space="preserve">(Lines 570-575)</w:t>
      </w:r>
      <w:r w:rsidDel="00000000" w:rsidR="00000000" w:rsidRPr="00000000">
        <w:rPr>
          <w:rtl w:val="0"/>
        </w:rPr>
        <w:t xml:space="preserve"> and the Limitations section </w:t>
      </w:r>
      <w:r w:rsidDel="00000000" w:rsidR="00000000" w:rsidRPr="00000000">
        <w:rPr>
          <w:b w:val="1"/>
          <w:bCs w:val="1"/>
          <w:rtl w:val="0"/>
        </w:rPr>
        <w:t xml:space="preserve">(Lines 576-584)</w:t>
      </w:r>
      <w:r w:rsidDel="00000000" w:rsidR="00000000" w:rsidRPr="00000000">
        <w:rPr>
          <w:rtl w:val="0"/>
        </w:rPr>
        <w:t xml:space="preserve">.</w:t>
      </w:r>
    </w:p>
    <w:p w:rsidR="00000000" w:rsidDel="00000000" w:rsidP="00000000" w:rsidRDefault="00000000" w:rsidRPr="00000000" w14:paraId="000000A5">
      <w:pPr>
        <w:spacing w:after="100" w:before="200" w:lineRule="auto"/>
        <w:jc w:val="both"/>
        <w:rPr>
          <w:shd w:fill="cfe2f3" w:val="clear"/>
        </w:rPr>
      </w:pPr>
      <w:r w:rsidDel="00000000" w:rsidR="00000000" w:rsidRPr="00000000">
        <w:rPr>
          <w:b w:val="1"/>
          <w:bCs w:val="1"/>
          <w:shd w:fill="cfe2f3" w:val="clear"/>
          <w:rtl w:val="0"/>
        </w:rPr>
        <w:t xml:space="preserve">Comments, suggestions, and typos</w:t>
      </w:r>
      <w:r w:rsidDel="00000000" w:rsidR="00000000" w:rsidRPr="00000000">
        <w:rPr>
          <w:rtl w:val="0"/>
        </w:rPr>
      </w:r>
    </w:p>
    <w:p w:rsidR="00000000" w:rsidDel="00000000" w:rsidP="00000000" w:rsidRDefault="00000000" w:rsidRPr="00000000" w14:paraId="000000A6">
      <w:pPr>
        <w:spacing w:after="200" w:lineRule="auto"/>
        <w:jc w:val="both"/>
        <w:rPr>
          <w:sz w:val="21"/>
          <w:szCs w:val="21"/>
        </w:rPr>
      </w:pPr>
      <w:r w:rsidDel="00000000" w:rsidR="00000000" w:rsidRPr="00000000">
        <w:rPr>
          <w:b w:val="1"/>
          <w:bCs w:val="1"/>
          <w:color w:val="0b5394"/>
          <w:sz w:val="21"/>
          <w:szCs w:val="21"/>
          <w:rtl w:val="0"/>
        </w:rPr>
        <w:t xml:space="preserve">Broken cross-reference to Table ?? in the Limitations section:</w:t>
      </w:r>
      <w:r w:rsidDel="00000000" w:rsidR="00000000" w:rsidRPr="00000000">
        <w:rPr>
          <w:b w:val="1"/>
          <w:bCs w:val="1"/>
          <w:sz w:val="21"/>
          <w:szCs w:val="21"/>
          <w:rtl w:val="0"/>
        </w:rPr>
        <w:t xml:space="preserve"> </w:t>
      </w:r>
      <w:r w:rsidDel="00000000" w:rsidR="00000000" w:rsidRPr="00000000">
        <w:rPr>
          <w:sz w:val="21"/>
          <w:szCs w:val="21"/>
          <w:rtl w:val="0"/>
        </w:rPr>
        <w:t xml:space="preserve">thank you for catching this. It is a dangling LaTeX \ref left over from restructuring the Limitations section. We will correct it to point to §1 (Lines 85-91), where the scoping decision is first introduced, as part of a full proofreading pass for the camera-ready version. </w:t>
      </w:r>
    </w:p>
    <w:p w:rsidR="00000000" w:rsidDel="00000000" w:rsidP="00000000" w:rsidRDefault="00000000" w:rsidRPr="00000000" w14:paraId="000000A7">
      <w:pPr>
        <w:spacing w:after="200" w:lineRule="auto"/>
        <w:jc w:val="both"/>
        <w:rPr>
          <w:sz w:val="21"/>
          <w:szCs w:val="21"/>
        </w:rPr>
      </w:pPr>
      <w:r w:rsidDel="00000000" w:rsidR="00000000" w:rsidRPr="00000000">
        <w:rPr>
          <w:b w:val="1"/>
          <w:bCs w:val="1"/>
          <w:color w:val="0b5394"/>
          <w:sz w:val="21"/>
          <w:szCs w:val="21"/>
          <w:rtl w:val="0"/>
        </w:rPr>
        <w:t xml:space="preserve">Redundant "**" and other typographical issues:</w:t>
      </w:r>
      <w:r w:rsidDel="00000000" w:rsidR="00000000" w:rsidRPr="00000000">
        <w:rPr>
          <w:sz w:val="21"/>
          <w:szCs w:val="21"/>
          <w:rtl w:val="0"/>
        </w:rPr>
        <w:t xml:space="preserve"> thank you for flagging these. We will do a full proofreading pass across the manuscript for the camera-ready version to catch these formatting artifacts.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