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Calibri" w:cs="Calibri" w:eastAsia="Calibri" w:hAnsi="Calibri"/>
          <w:b/>
          <w:bCs/>
          <w:color w:val="1F2A37"/>
          <w:sz w:val="44"/>
          <w:szCs w:val="44"/>
        </w:rPr>
        <w:t xml:space="preserve">EngTrace inference pricing</w:t>
      </w:r>
    </w:p>
    <w:p>
      <w:pPr>
        <w:spacing w:after="200" w:before="0"/>
      </w:pPr>
      <w:r>
        <w:rPr>
          <w:rFonts w:ascii="Calibri" w:cs="Calibri" w:eastAsia="Calibri" w:hAnsi="Calibri"/>
          <w:color w:val="5B6472"/>
          <w:sz w:val="21"/>
          <w:szCs w:val="21"/>
        </w:rPr>
        <w:t xml:space="preserve">Inference is each model solving every EngTrace problem once: 150 templates × 15 instances = 2,250 runs per model.</w:t>
      </w:r>
    </w:p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Open-weight models, through OpenRouter</w:t>
      </w:r>
    </w:p>
    <w:p>
      <w:pPr>
        <w:keepNext/>
        <w:spacing w:after="100" w:before="0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Cheapest upstream serving fp8 or better.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500"/>
        <w:gridCol w:w="1500"/>
        <w:gridCol w:w="1800"/>
      </w:tblGrid>
      <w:tr>
        <w:trPr>
          <w:cantSplit/>
          <w:tblHeader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Est. cost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openai/gpt-oss-20b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0.018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0.090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$1.07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google/gemma-4-26b-a4b-it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0.090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$3.59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google/gemma-4-31b-it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0.130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0.380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$4.55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deepseek/deepseek-v4-flash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0.036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0.071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$0.86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deepseek/deepseek-v4.1-flash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0.140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0.420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$5.03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qwen/qwen3-235b-a22b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0.087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$4.17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qwen/qwen3.8-27b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0.150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1.875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z-ai/glm-5.3-flash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0.075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$2.99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z-ai/glm-5.3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1.400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4.400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meta/muse-glimmer-30b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1.100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moonshotai/kimi-k3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2.100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10.950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$130</w:t>
            </w:r>
          </w:p>
        </w:tc>
      </w:tr>
    </w:tbl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OpenAI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500"/>
        <w:gridCol w:w="1500"/>
        <w:gridCol w:w="1800"/>
      </w:tblGrid>
      <w:tr>
        <w:trPr>
          <w:cantSplit/>
          <w:tblHeader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Est. cost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gpt-5-nano †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0.05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0.40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$4.74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gpt-5.6-luna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1.20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gpt-5.4-nano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1.25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gpt-5-mini †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$24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gpt-5.4-mini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0.75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4.50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$53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 †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1.25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$118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gpt-5.6-terra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12.00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$142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gpt-5.6-sol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4.00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20.00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$238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gpt-5.5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30.00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$356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gpt-6-astra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50.00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$595</w:t>
            </w:r>
          </w:p>
        </w:tc>
      </w:tr>
    </w:tbl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Google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500"/>
        <w:gridCol w:w="1500"/>
        <w:gridCol w:w="1800"/>
      </w:tblGrid>
      <w:tr>
        <w:trPr>
          <w:cantSplit/>
          <w:tblHeader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Est. cost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gemini-2.5-flash-lite †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0.10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0.40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$4.77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gemini-3.1-flash-lite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0.25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$18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gemini-2.5-flash †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0.30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2.50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$30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gemini-3.6 / 3.7 / 3.8-flash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0.75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3.75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$45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gemini-2.5-pro †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1.25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$118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gemini-3.5-flash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1.50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9.00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$107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gemini-3.1-pro-preview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12.00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$142</w:t>
            </w:r>
          </w:p>
        </w:tc>
      </w:tr>
    </w:tbl>
    <w:p>
      <w:pPr>
        <w:pStyle w:val="Heading2"/>
        <w:keepNext/>
        <w:spacing w:after="60" w:before="30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Anthropic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1500"/>
        <w:gridCol w:w="1500"/>
        <w:gridCol w:w="1800"/>
      </w:tblGrid>
      <w:tr>
        <w:trPr>
          <w:cantSplit/>
          <w:tblHeader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Model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Input $/M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Output $/M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E8EDF3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B3A5C"/>
                <w:sz w:val="18"/>
                <w:szCs w:val="18"/>
              </w:rPr>
              <w:t xml:space="preserve">Est. cost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claude-haiku-4.5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$59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claude-sonnet-5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$119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claude-opus-5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25.00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$297</w:t>
            </w:r>
          </w:p>
        </w:tc>
      </w:tr>
      <w:tr>
        <w:trPr>
          <w:cantSplit/>
        </w:trPr>
        <w:tc>
          <w:tcPr>
            <w:tcW w:type="dxa" w:w="456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lef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claude-fable-5-1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10.00</w:t>
            </w:r>
          </w:p>
        </w:tc>
        <w:tc>
          <w:tcPr>
            <w:tcW w:type="dxa" w:w="15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color w:val="1F2A37"/>
                <w:sz w:val="19"/>
                <w:szCs w:val="19"/>
              </w:rPr>
              <w:t xml:space="preserve">50.00</w:t>
            </w:r>
          </w:p>
        </w:tc>
        <w:tc>
          <w:tcPr>
            <w:tcW w:type="dxa" w:w="1800"/>
            <w:tcBorders>
              <w:top w:val="single" w:color="D5DBE3" w:sz="4"/>
              <w:left w:val="single" w:color="D5DBE3" w:sz="4"/>
              <w:bottom w:val="single" w:color="D5DBE3" w:sz="4"/>
              <w:right w:val="single" w:color="D5DBE3" w:sz="4"/>
            </w:tcBorders>
            <w:shd w:fill="F7F9FB" w:color="auto" w:val="clear"/>
            <w:tcMar>
              <w:top w:type="dxa" w:w="48"/>
              <w:left w:type="dxa" w:w="110"/>
              <w:bottom w:type="dxa" w:w="48"/>
              <w:right w:type="dxa" w:w="110"/>
            </w:tcMar>
          </w:tcPr>
          <w:p>
            <w:pPr>
              <w:keepNext w:val="false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2A37"/>
                <w:sz w:val="19"/>
                <w:szCs w:val="19"/>
              </w:rPr>
              <w:t xml:space="preserve">$595</w:t>
            </w:r>
          </w:p>
        </w:tc>
      </w:tr>
    </w:tbl>
    <w:p>
      <w:pPr>
        <w:spacing w:after="120" w:before="200"/>
      </w:pPr>
      <w:r>
        <w:rPr>
          <w:rFonts w:ascii="Calibri" w:cs="Calibri" w:eastAsia="Calibri" w:hAnsi="Calibri"/>
          <w:color w:val="5B6472"/>
          <w:sz w:val="18"/>
          <w:szCs w:val="18"/>
        </w:rPr>
        <w:t xml:space="preserve">† Retires before publication: gpt-5, gpt-5-mini and gpt-5-nano on 11 December 2026; the Gemini 2.5 models from 20 October 2026.</w:t>
      </w:r>
    </w:p>
    <w:p>
      <w:pPr>
        <w:pStyle w:val="Heading2"/>
        <w:spacing w:after="100" w:before="240"/>
      </w:pPr>
      <w:r>
        <w:rPr>
          <w:rFonts w:ascii="Calibri" w:cs="Calibri" w:eastAsia="Calibri" w:hAnsi="Calibri"/>
          <w:b/>
          <w:bCs/>
          <w:color w:val="1B3A5C"/>
          <w:sz w:val="26"/>
          <w:szCs w:val="26"/>
        </w:rPr>
        <w:t xml:space="preserve">How the estimates are made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Est. cost = 2,250 × (input tokens × input price + output tokens × output price) ÷ 1,000,000, the full cost of all 2,250 runs.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It assumes each model writes as much as GPT-5 did in EngTrace’s evaluator pilot: about 270 input and 5,232 output tokens per problem, reasoning included. A model that answers without reasoning writes about 800 output tokens and would cost roughly a sixth of the figure shown.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Not included: re-runs of truncated or failed answers (0–15% extra for most models in the pilot) and half-price batch endpoints.</w:t>
      </w:r>
    </w:p>
    <w:p>
      <w:pPr>
        <w:pStyle w:val="ListParagraph"/>
        <w:numPr>
          <w:ilvl w:val="0"/>
          <w:numId w:val="2"/>
        </w:numPr>
        <w:spacing w:after="90"/>
      </w:pPr>
      <w:r>
        <w:rPr>
          <w:rFonts w:ascii="Calibri" w:cs="Calibri" w:eastAsia="Calibri" w:hAnsi="Calibri"/>
          <w:color w:val="1F2A37"/>
          <w:sz w:val="20"/>
          <w:szCs w:val="20"/>
        </w:rPr>
        <w:t xml:space="preserve">Prices as read on OpenRouter, 19–21 September 2026; they move between upstreams from day to day.</w:t>
      </w:r>
    </w:p>
    <w:sectPr>
      <w:footerReference w:type="default" r:id="rId7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472"/>
        <w:sz w:val="16"/>
        <w:szCs w:val="16"/>
      </w:rPr>
      <w:t xml:space="preserve">EngTrace inference pricing · 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EngTrace inference pricing</dc:title>
  <dc:creator>EngTrace</dc:creator>
  <cp:lastModifiedBy>Un-named</cp:lastModifiedBy>
  <cp:revision>1</cp:revision>
  <dcterms:created xsi:type="dcterms:W3CDTF">2026-09-22T13:21:02.714Z</dcterms:created>
  <dcterms:modified xsi:type="dcterms:W3CDTF">2026-09-22T13:21:02.728Z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