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Times New Roman" w:cs="Times New Roman" w:eastAsia="Times New Roman" w:hAnsi="Times New Roman"/>
          <w:b w:val="1"/>
          <w:bCs w:val="1"/>
          <w:sz w:val="30"/>
          <w:szCs w:val="30"/>
          <w:rtl w:val="0"/>
        </w:rPr>
        <w:t xml:space="preserve">Author Response </w:t>
      </w:r>
      <w:r w:rsidDel="00000000" w:rsidR="00000000" w:rsidRPr="00000000">
        <w:rPr>
          <w:b w:val="1"/>
          <w:bCs w:val="1"/>
          <w:sz w:val="30"/>
          <w:szCs w:val="30"/>
          <w:rtl w:val="0"/>
        </w:rPr>
        <w:t xml:space="preserve">of Resubmission</w:t>
      </w: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EngTrace: A Symbolic Benchmark for Verifiable Process Supervision of Engineering Reasoning</w:t>
      </w:r>
      <w:r w:rsidDel="00000000" w:rsidR="00000000" w:rsidRPr="00000000">
        <w:rPr>
          <w:rtl w:val="0"/>
        </w:rPr>
      </w:r>
    </w:p>
    <w:p w:rsidR="00000000" w:rsidDel="00000000" w:rsidP="00000000" w:rsidRDefault="00000000" w:rsidRPr="00000000" w14:paraId="00000003">
      <w:pPr>
        <w:spacing w:after="100" w:lineRule="auto"/>
        <w:jc w:val="both"/>
        <w:rPr/>
      </w:pPr>
      <w:r w:rsidDel="00000000" w:rsidR="00000000" w:rsidRPr="00000000">
        <w:rPr>
          <w:rFonts w:ascii="Times New Roman" w:cs="Times New Roman" w:eastAsia="Times New Roman" w:hAnsi="Times New Roman"/>
          <w:sz w:val="22"/>
          <w:szCs w:val="22"/>
          <w:rtl w:val="0"/>
        </w:rPr>
        <w:t xml:space="preserve">Dear Reviewers, Area Chair, and Program Chair,</w:t>
      </w:r>
      <w:r w:rsidDel="00000000" w:rsidR="00000000" w:rsidRPr="00000000">
        <w:rPr>
          <w:rtl w:val="0"/>
        </w:rPr>
      </w:r>
    </w:p>
    <w:p w:rsidR="00000000" w:rsidDel="00000000" w:rsidP="00000000" w:rsidRDefault="00000000" w:rsidRPr="00000000" w14:paraId="00000004">
      <w:pPr>
        <w:spacing w:after="100" w:lineRule="auto"/>
        <w:jc w:val="both"/>
        <w:rPr/>
      </w:pPr>
      <w:r w:rsidDel="00000000" w:rsidR="00000000" w:rsidRPr="00000000">
        <w:rPr>
          <w:rFonts w:ascii="Times New Roman" w:cs="Times New Roman" w:eastAsia="Times New Roman" w:hAnsi="Times New Roman"/>
          <w:sz w:val="22"/>
          <w:szCs w:val="22"/>
          <w:rtl w:val="0"/>
        </w:rPr>
        <w:t xml:space="preserve">We thank the reviewers and the area chair for their constructive feedback. In this revision, we made the following concrete updates to address the raised concerns.</w:t>
      </w: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tl w:val="0"/>
        </w:rPr>
        <w:t xml:space="preserve">First, we introduced a comprehensive error analysis with six fine-grained categories ordered by causal severity: Hallucination, Setup/Assumption Error, Formula/Principle Error, Unit/Dimensional Error, Sign/Direction Error, and Calculation Error (Appendix R). We annotated 2,200 failure traces across 11 models stratified by difficulty tier; the full sampling strategy and selection criteria are detailed in Appendix S. Inter-annotator agreement results are reported in Appendix T. In-depth analysis for three representative models is provided in the main paper (Section 5.4), and the extended analysis covering all remaining models is provided in Appendix U.</w:t>
      </w:r>
    </w:p>
    <w:p w:rsidR="00000000" w:rsidDel="00000000" w:rsidP="00000000" w:rsidRDefault="00000000" w:rsidRPr="00000000" w14:paraId="00000006">
      <w:pPr>
        <w:spacing w:after="100" w:lineRule="auto"/>
        <w:jc w:val="both"/>
        <w:rPr/>
      </w:pPr>
      <w:r w:rsidDel="00000000" w:rsidR="00000000" w:rsidRPr="00000000">
        <w:rPr>
          <w:rFonts w:ascii="Times New Roman" w:cs="Times New Roman" w:eastAsia="Times New Roman" w:hAnsi="Times New Roman"/>
          <w:sz w:val="22"/>
          <w:szCs w:val="22"/>
          <w:rtl w:val="0"/>
        </w:rPr>
        <w:t xml:space="preserve">Second, we rewrote the entire results section (Section 5.3) to surface meaningful structural insights rather than purely numerical description, explaining why observed patterns arise across branches, domains, and difficulty tiers.</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Third, we strengthened the inter-annotator agreement reporting in Section 3.3 and Appendix K. Gwet's AC2 is now reported as the primary ordinal metric alongside Krippendorff's α, with formal justification for the range-restriction artifact and empirical verification via pairwise score difference analysis. The AI–human alignment metric is changed from Spearman's ρ to Mean Absolute Difference (MAD). Plank (2022) is formally cited.</w:t>
      </w:r>
    </w:p>
    <w:p w:rsidR="00000000" w:rsidDel="00000000" w:rsidP="00000000" w:rsidRDefault="00000000" w:rsidRPr="00000000" w14:paraId="00000008">
      <w:pPr>
        <w:spacing w:after="100" w:lineRule="auto"/>
        <w:jc w:val="both"/>
        <w:rPr/>
      </w:pPr>
      <w:r w:rsidDel="00000000" w:rsidR="00000000" w:rsidRPr="00000000">
        <w:rPr>
          <w:rFonts w:ascii="Times New Roman" w:cs="Times New Roman" w:eastAsia="Times New Roman" w:hAnsi="Times New Roman"/>
          <w:sz w:val="22"/>
          <w:szCs w:val="22"/>
          <w:rtl w:val="0"/>
        </w:rPr>
        <w:t xml:space="preserve">Fourth, we clarified template authorship in Section 3.1, explicitly stating that all 90 symbolic Python templates were fully authored by domain experts.</w:t>
      </w: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t xml:space="preserve">Fifth, we added three complete representative template implementations spanning Basic, Intermediate, and Advanced difficulty tiers to Appendix G, with accompanying explanation of the structural diversity across templates.</w:t>
      </w:r>
    </w:p>
    <w:p w:rsidR="00000000" w:rsidDel="00000000" w:rsidP="00000000" w:rsidRDefault="00000000" w:rsidRPr="00000000" w14:paraId="0000000A">
      <w:pPr>
        <w:spacing w:after="100" w:lineRule="auto"/>
        <w:jc w:val="both"/>
        <w:rPr/>
      </w:pPr>
      <w:r w:rsidDel="00000000" w:rsidR="00000000" w:rsidRPr="00000000">
        <w:rPr>
          <w:rFonts w:ascii="Times New Roman" w:cs="Times New Roman" w:eastAsia="Times New Roman" w:hAnsi="Times New Roman"/>
          <w:sz w:val="22"/>
          <w:szCs w:val="22"/>
          <w:rtl w:val="0"/>
        </w:rPr>
        <w:t xml:space="preserve">Sixth, we strengthened the justification for the 100-sample validation study in Appendix M, clarifying that stratified design rather than scale is what makes the sample representative.</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Seventh, we added a branch-level performance figure (Figure 8) in Appendix Q, corrected the legend color in the difficulty-level performance figure (Figure 5), and ensured consistent styling across all figures.</w:t>
      </w:r>
    </w:p>
    <w:p w:rsidR="00000000" w:rsidDel="00000000" w:rsidP="00000000" w:rsidRDefault="00000000" w:rsidRPr="00000000" w14:paraId="0000000C">
      <w:pPr>
        <w:spacing w:after="100" w:lineRule="auto"/>
        <w:jc w:val="both"/>
        <w:rPr/>
      </w:pPr>
      <w:r w:rsidDel="00000000" w:rsidR="00000000" w:rsidRPr="00000000">
        <w:rPr>
          <w:rFonts w:ascii="Times New Roman" w:cs="Times New Roman" w:eastAsia="Times New Roman" w:hAnsi="Times New Roman"/>
          <w:sz w:val="22"/>
          <w:szCs w:val="22"/>
          <w:rtl w:val="0"/>
        </w:rPr>
        <w:t xml:space="preserve">Finally, we expanded the evaluation suite by adding three new frontier models </w:t>
      </w:r>
      <w:r w:rsidDel="00000000" w:rsidR="00000000" w:rsidRPr="00000000">
        <w:rPr>
          <w:rtl w:val="0"/>
        </w:rPr>
        <w:t xml:space="preserve">(</w:t>
      </w:r>
      <w:r w:rsidDel="00000000" w:rsidR="00000000" w:rsidRPr="00000000">
        <w:rPr>
          <w:rFonts w:ascii="Times New Roman" w:cs="Times New Roman" w:eastAsia="Times New Roman" w:hAnsi="Times New Roman"/>
          <w:sz w:val="22"/>
          <w:szCs w:val="22"/>
          <w:rtl w:val="0"/>
        </w:rPr>
        <w:t xml:space="preserve">DeepSeek V4 Pro, Gemini 3.1 Pro, and Claude Opus 4.7</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bringing the total from 24 to 27 models (Section 5.1, Table 1, Table 13).</w:t>
      </w:r>
      <w:r w:rsidDel="00000000" w:rsidR="00000000" w:rsidRPr="00000000">
        <w:rPr>
          <w:rtl w:val="0"/>
        </w:rPr>
      </w:r>
    </w:p>
    <w:p w:rsidR="00000000" w:rsidDel="00000000" w:rsidP="00000000" w:rsidRDefault="00000000" w:rsidRPr="00000000" w14:paraId="0000000D">
      <w:pPr>
        <w:spacing w:after="100" w:lineRule="auto"/>
        <w:jc w:val="both"/>
        <w:rPr/>
      </w:pPr>
      <w:r w:rsidDel="00000000" w:rsidR="00000000" w:rsidRPr="00000000">
        <w:rPr>
          <w:rFonts w:ascii="Times New Roman" w:cs="Times New Roman" w:eastAsia="Times New Roman" w:hAnsi="Times New Roman"/>
          <w:sz w:val="22"/>
          <w:szCs w:val="22"/>
          <w:rtl w:val="0"/>
        </w:rPr>
        <w:t xml:space="preserve">Below, we address each reviewer’s comments in detail.</w:t>
      </w:r>
      <w:r w:rsidDel="00000000" w:rsidR="00000000" w:rsidRPr="00000000">
        <w:rPr>
          <w:rtl w:val="0"/>
        </w:rPr>
      </w:r>
    </w:p>
    <w:p w:rsidR="00000000" w:rsidDel="00000000" w:rsidP="00000000" w:rsidRDefault="00000000" w:rsidRPr="00000000" w14:paraId="0000000E">
      <w:pPr>
        <w:pStyle w:val="Heading1"/>
        <w:pBdr>
          <w:bottom w:color="2e75b6" w:space="4" w:sz="4" w:val="single"/>
        </w:pBdr>
        <w:spacing w:after="140" w:before="280" w:lineRule="auto"/>
        <w:jc w:val="both"/>
        <w:rPr>
          <w:b w:val="1"/>
          <w:bCs w:val="1"/>
          <w:color w:val="000000"/>
        </w:rPr>
      </w:pPr>
      <w:bookmarkStart w:colFirst="0" w:colLast="0" w:name="_p7kt2w9xtlfy" w:id="0"/>
      <w:bookmarkEnd w:id="0"/>
      <w:r w:rsidDel="00000000" w:rsidR="00000000" w:rsidRPr="00000000">
        <w:rPr>
          <w:b w:val="1"/>
          <w:bCs w:val="1"/>
          <w:color w:val="000000"/>
          <w:rtl w:val="0"/>
        </w:rPr>
        <w:t xml:space="preserve">For Area Chair XUmw (Meta-Reviewer)</w:t>
      </w:r>
    </w:p>
    <w:p w:rsidR="00000000" w:rsidDel="00000000" w:rsidP="00000000" w:rsidRDefault="00000000" w:rsidRPr="00000000" w14:paraId="0000000F">
      <w:pPr>
        <w:spacing w:after="60" w:before="160"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Suggested Revision 1: Expand beyond three engineering branches to strengthen generalizability.</w:t>
      </w:r>
      <w:r w:rsidDel="00000000" w:rsidR="00000000" w:rsidRPr="00000000">
        <w:rPr>
          <w:rtl w:val="0"/>
        </w:rPr>
      </w:r>
    </w:p>
    <w:p w:rsidR="00000000" w:rsidDel="00000000" w:rsidP="00000000" w:rsidRDefault="00000000" w:rsidRPr="00000000" w14:paraId="00000010">
      <w:pPr>
        <w:spacing w:after="100" w:lineRule="auto"/>
        <w:jc w:val="both"/>
        <w:rPr/>
      </w:pPr>
      <w:r w:rsidDel="00000000" w:rsidR="00000000" w:rsidRPr="00000000">
        <w:rPr>
          <w:rtl w:val="0"/>
        </w:rPr>
        <w:t xml:space="preserve">We acknowledge this limitation directly in the Limitations section. The three covered branches represent core, well-defined engineering disciplines with established curricula and authoritative textbook grounding, making them a principled starting point for verifiable process supervision. All findings are scoped to these branches, and expanding the taxonomy to cover additional fields such as civil, aerospace, and biomedical engineering in collaboration with domain experts is a committed next step. </w:t>
      </w:r>
    </w:p>
    <w:p w:rsidR="00000000" w:rsidDel="00000000" w:rsidP="00000000" w:rsidRDefault="00000000" w:rsidRPr="00000000" w14:paraId="00000011">
      <w:pPr>
        <w:spacing w:after="100"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Suggested Revision 2: Add retrieval-augmented and tool-assisted baselines for realistic evaluation.</w:t>
      </w:r>
      <w:r w:rsidDel="00000000" w:rsidR="00000000" w:rsidRPr="00000000">
        <w:rPr>
          <w:rtl w:val="0"/>
        </w:rPr>
      </w:r>
    </w:p>
    <w:p w:rsidR="00000000" w:rsidDel="00000000" w:rsidP="00000000" w:rsidRDefault="00000000" w:rsidRPr="00000000" w14:paraId="00000012">
      <w:pPr>
        <w:spacing w:after="100" w:lineRule="auto"/>
        <w:jc w:val="both"/>
        <w:rPr/>
      </w:pPr>
      <w:r w:rsidDel="00000000" w:rsidR="00000000" w:rsidRPr="00000000">
        <w:rPr>
          <w:rtl w:val="0"/>
        </w:rPr>
        <w:t xml:space="preserve">We agree that tool-augmented and retrieval-augmented baselines would reflect real-world engineering workflows and are committed as a separate future setting, as noted in the Conclusion and Limitations sections. In the current work, the tool-free setting is an intentional design choice to establish a strict baseline for intrinsic physical reasoning. The new error analysis (Section 5.4) supports the diagnostic value of this choice by showing that frontier model failures are overwhelmingly arithmetic rather than knowledge retrieval failures, but we do not claim this replaces tool-augmented evaluation. </w:t>
      </w:r>
    </w:p>
    <w:p w:rsidR="00000000" w:rsidDel="00000000" w:rsidP="00000000" w:rsidRDefault="00000000" w:rsidRPr="00000000" w14:paraId="00000013">
      <w:pPr>
        <w:spacing w:after="60" w:before="160"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Suggested Revision 3: Diversify problem templates with paraphrased or naturally-sourced formulations.</w:t>
      </w:r>
      <w:r w:rsidDel="00000000" w:rsidR="00000000" w:rsidRPr="00000000">
        <w:rPr>
          <w:rtl w:val="0"/>
        </w:rPr>
      </w:r>
    </w:p>
    <w:p w:rsidR="00000000" w:rsidDel="00000000" w:rsidP="00000000" w:rsidRDefault="00000000" w:rsidRPr="00000000" w14:paraId="00000014">
      <w:pPr>
        <w:spacing w:after="100" w:lineRule="auto"/>
        <w:jc w:val="both"/>
        <w:rPr/>
      </w:pPr>
      <w:r w:rsidDel="00000000" w:rsidR="00000000" w:rsidRPr="00000000">
        <w:rPr>
          <w:rtl w:val="0"/>
        </w:rPr>
        <w:t xml:space="preserve">The new Appendix G demonstrates that templates go beyond variable substitution, each of the three representative implementations requires a qualitatively distinct reasoning chain, addressing the concern about structural diversity. However, we acknowledge that linguistic diversity through paraphrased or naturally sourced problem wording is a separate concern that is not addressed in this work and remains a limitation. This is explicitly stated in the Limitations section, with future work committed on multi-modal tasks and real-world engineering artifacts as problem seeds. </w:t>
      </w:r>
    </w:p>
    <w:p w:rsidR="00000000" w:rsidDel="00000000" w:rsidP="00000000" w:rsidRDefault="00000000" w:rsidRPr="00000000" w14:paraId="00000015">
      <w:pPr>
        <w:pStyle w:val="Heading1"/>
        <w:pBdr>
          <w:bottom w:color="2e75b6" w:space="4" w:sz="4" w:val="single"/>
        </w:pBdr>
        <w:spacing w:after="140" w:before="280" w:lineRule="auto"/>
        <w:jc w:val="both"/>
        <w:rPr>
          <w:b w:val="1"/>
          <w:bCs w:val="1"/>
          <w:color w:val="000000"/>
        </w:rPr>
      </w:pPr>
      <w:bookmarkStart w:colFirst="0" w:colLast="0" w:name="_c6qvx38k5dd8" w:id="1"/>
      <w:bookmarkEnd w:id="1"/>
      <w:r w:rsidDel="00000000" w:rsidR="00000000" w:rsidRPr="00000000">
        <w:rPr>
          <w:b w:val="1"/>
          <w:bCs w:val="1"/>
          <w:color w:val="000000"/>
          <w:rtl w:val="0"/>
        </w:rPr>
        <w:t xml:space="preserve">For Reviewer gFWV</w:t>
      </w:r>
    </w:p>
    <w:p w:rsidR="00000000" w:rsidDel="00000000" w:rsidP="00000000" w:rsidRDefault="00000000" w:rsidRPr="00000000" w14:paraId="00000016">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1</w:t>
      </w:r>
      <w:r w:rsidDel="00000000" w:rsidR="00000000" w:rsidRPr="00000000">
        <w:rPr>
          <w:rtl w:val="0"/>
        </w:rPr>
      </w:r>
    </w:p>
    <w:p w:rsidR="00000000" w:rsidDel="00000000" w:rsidP="00000000" w:rsidRDefault="00000000" w:rsidRPr="00000000" w14:paraId="00000017">
      <w:pPr>
        <w:pBdr>
          <w:left w:color="2e75b6" w:space="8" w:sz="6" w:val="single"/>
        </w:pBdr>
        <w:spacing w:after="60" w:before="60" w:lineRule="auto"/>
        <w:ind w:left="720" w:firstLine="0"/>
        <w:jc w:val="both"/>
        <w:rPr/>
      </w:pPr>
      <w:r w:rsidDel="00000000" w:rsidR="00000000" w:rsidRPr="00000000">
        <w:rPr>
          <w:rFonts w:ascii="Cardo" w:cs="Cardo" w:eastAsia="Cardo" w:hAnsi="Cardo"/>
          <w:i w:val="1"/>
          <w:iCs w:val="1"/>
          <w:color w:val="444444"/>
          <w:sz w:val="22"/>
          <w:szCs w:val="22"/>
          <w:rtl w:val="0"/>
        </w:rPr>
        <w:t xml:space="preserve">Weak inter-annotator agreement on subjective dimensions. Physical Plausibility (α ≈ 0.44) and Pedagogical Clarity (α ≈ 0.27) fall well below standard acceptability thresholds (α ≥ 0.67). This undermines the claim of rigorous human certification.</w:t>
      </w:r>
      <w:r w:rsidDel="00000000" w:rsidR="00000000" w:rsidRPr="00000000">
        <w:rPr>
          <w:rtl w:val="0"/>
        </w:rPr>
      </w:r>
    </w:p>
    <w:p w:rsidR="00000000" w:rsidDel="00000000" w:rsidP="00000000" w:rsidRDefault="00000000" w:rsidRPr="00000000" w14:paraId="00000018">
      <w:pPr>
        <w:spacing w:after="100" w:lineRule="auto"/>
        <w:jc w:val="both"/>
        <w:rPr/>
      </w:pPr>
      <w:r w:rsidDel="00000000" w:rsidR="00000000" w:rsidRPr="00000000">
        <w:rPr>
          <w:rFonts w:ascii="Times New Roman" w:cs="Times New Roman" w:eastAsia="Times New Roman" w:hAnsi="Times New Roman"/>
          <w:sz w:val="22"/>
          <w:szCs w:val="22"/>
          <w:rtl w:val="0"/>
        </w:rPr>
        <w:t xml:space="preserve">We now report Gwet’s AC2 as the primary ordinal metric in Table 7 (Appendix K.2, lines 1238–1299). AC2 uses a chance estimator robust to score concentration and avoids the kappa paradox that artificially deflates α when scores cluster in a narrow band (Feinstein and Cicchetti, 1990). The revised results are unambiguous: Physical Plausibility yields α = 0.437 but AC2 = 0.934; Pedagogical Clarity yields α = 0.269 but AC2 = 0.824.</w:t>
      </w:r>
      <w:r w:rsidDel="00000000" w:rsidR="00000000" w:rsidRPr="00000000">
        <w:rPr>
          <w:rtl w:val="0"/>
        </w:rPr>
      </w:r>
    </w:p>
    <w:p w:rsidR="00000000" w:rsidDel="00000000" w:rsidP="00000000" w:rsidRDefault="00000000" w:rsidRPr="00000000" w14:paraId="00000019">
      <w:pPr>
        <w:spacing w:after="100" w:lineRule="auto"/>
        <w:jc w:val="both"/>
        <w:rPr/>
      </w:pPr>
      <w:r w:rsidDel="00000000" w:rsidR="00000000" w:rsidRPr="00000000">
        <w:rPr>
          <w:rFonts w:ascii="Times New Roman" w:cs="Times New Roman" w:eastAsia="Times New Roman" w:hAnsi="Times New Roman"/>
          <w:sz w:val="22"/>
          <w:szCs w:val="22"/>
          <w:rtl w:val="0"/>
        </w:rPr>
        <w:t xml:space="preserve">We further provide empirical verification via pairwise score difference analysis for the most extreme case (Mechanical Engineering Pedagogical Clarity, α = 0.078, AC2 = 0.745): 70% of comparisons showed exact agreement, 30% differed by exactly one point, no comparison exceeded one point, and no annotator assigned below 4 on any template. The near-zero α is entirely a distributional artifact, not genuine disagreement. The residual one-point variation reflects Human Label Variation (Plank, 2022), now formally cited.</w:t>
      </w:r>
      <w:r w:rsidDel="00000000" w:rsidR="00000000" w:rsidRPr="00000000">
        <w:rPr>
          <w:rtl w:val="0"/>
        </w:rPr>
      </w:r>
    </w:p>
    <w:p w:rsidR="00000000" w:rsidDel="00000000" w:rsidP="00000000" w:rsidRDefault="00000000" w:rsidRPr="00000000" w14:paraId="0000001A">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2</w:t>
      </w:r>
      <w:r w:rsidDel="00000000" w:rsidR="00000000" w:rsidRPr="00000000">
        <w:rPr>
          <w:rtl w:val="0"/>
        </w:rPr>
      </w:r>
    </w:p>
    <w:p w:rsidR="00000000" w:rsidDel="00000000" w:rsidP="00000000" w:rsidRDefault="00000000" w:rsidRPr="00000000" w14:paraId="0000001B">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AI-Human alignment is not demonstrated. The near-zero rank correlation (ρ = 0.065, p = 0.54) is not statistically significant.</w:t>
      </w:r>
      <w:r w:rsidDel="00000000" w:rsidR="00000000" w:rsidRPr="00000000">
        <w:rPr>
          <w:rtl w:val="0"/>
        </w:rPr>
      </w:r>
    </w:p>
    <w:p w:rsidR="00000000" w:rsidDel="00000000" w:rsidP="00000000" w:rsidRDefault="00000000" w:rsidRPr="00000000" w14:paraId="0000001C">
      <w:pPr>
        <w:spacing w:after="100" w:lineRule="auto"/>
        <w:jc w:val="both"/>
        <w:rPr/>
      </w:pPr>
      <w:r w:rsidDel="00000000" w:rsidR="00000000" w:rsidRPr="00000000">
        <w:rPr>
          <w:rtl w:val="0"/>
        </w:rPr>
        <w:t xml:space="preserve">Spearman's ρ is less informative under the narrow score range produced by Stage 1 pre-filtering, where scores concentrate in {4, 5} and rank correlation is dominated by tie-breaking noise rather than systematic disagreement. We therefore report Mean Absolute Difference (MAD) as the primary alignment metric (Section 3.3, Table 8), which operates in original scale units and is robust to score concentration. All three quality dimensions fall well within MAD &lt; 0.5 (half a scale step): Mathematical Correctness 0.156, Physical Plausibility 0.167, Pedagogical Clarity 0.233, Overall 0.174. Across all dimensions, 77–84% of AI–human comparisons show exact score agreement with no comparison exceeding a one-point gap. Spearman's ρ is retained for completeness alongside MAD. </w:t>
      </w:r>
    </w:p>
    <w:p w:rsidR="00000000" w:rsidDel="00000000" w:rsidP="00000000" w:rsidRDefault="00000000" w:rsidRPr="00000000" w14:paraId="0000001D">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3</w:t>
      </w:r>
      <w:r w:rsidDel="00000000" w:rsidR="00000000" w:rsidRPr="00000000">
        <w:rPr>
          <w:rtl w:val="0"/>
        </w:rPr>
      </w:r>
    </w:p>
    <w:p w:rsidR="00000000" w:rsidDel="00000000" w:rsidP="00000000" w:rsidRDefault="00000000" w:rsidRPr="00000000" w14:paraId="0000001E">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Instance-level verification is shallow, relying solely on automated sanity checks.</w:t>
      </w:r>
      <w:r w:rsidDel="00000000" w:rsidR="00000000" w:rsidRPr="00000000">
        <w:rPr>
          <w:rtl w:val="0"/>
        </w:rPr>
      </w:r>
    </w:p>
    <w:p w:rsidR="00000000" w:rsidDel="00000000" w:rsidP="00000000" w:rsidRDefault="00000000" w:rsidRPr="00000000" w14:paraId="0000001F">
      <w:pPr>
        <w:spacing w:after="100" w:lineRule="auto"/>
        <w:jc w:val="both"/>
        <w:rPr/>
      </w:pPr>
      <w:r w:rsidDel="00000000" w:rsidR="00000000" w:rsidRPr="00000000">
        <w:rPr>
          <w:rFonts w:ascii="Times New Roman" w:cs="Times New Roman" w:eastAsia="Times New Roman" w:hAnsi="Times New Roman"/>
          <w:sz w:val="22"/>
          <w:szCs w:val="22"/>
          <w:rtl w:val="0"/>
        </w:rPr>
        <w:t xml:space="preserve">Two mechanisms address this. The human certification interface (Appendix J, lines 1195–1200) allows reviewers to dynamically regenerate instances across multiple seeds to stress-test parameterization logic. Domain-aware validation loops in the template code (Appendix F) enforce physical plausibility, monotonicity, and numerical sanity bounds. The new Appendix G provides three complete template implementations (lines 1137–1167) concretely demonstrating these mechanisms.</w:t>
      </w:r>
      <w:r w:rsidDel="00000000" w:rsidR="00000000" w:rsidRPr="00000000">
        <w:rPr>
          <w:rtl w:val="0"/>
        </w:rPr>
      </w:r>
    </w:p>
    <w:p w:rsidR="00000000" w:rsidDel="00000000" w:rsidP="00000000" w:rsidRDefault="00000000" w:rsidRPr="00000000" w14:paraId="00000020">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4</w:t>
      </w:r>
      <w:r w:rsidDel="00000000" w:rsidR="00000000" w:rsidRPr="00000000">
        <w:rPr>
          <w:rtl w:val="0"/>
        </w:rPr>
      </w:r>
    </w:p>
    <w:p w:rsidR="00000000" w:rsidDel="00000000" w:rsidP="00000000" w:rsidRDefault="00000000" w:rsidRPr="00000000" w14:paraId="00000021">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The human validation study in Appendix M uses only 100 responses, which is relatively small.</w:t>
      </w:r>
      <w:r w:rsidDel="00000000" w:rsidR="00000000" w:rsidRPr="00000000">
        <w:rPr>
          <w:rtl w:val="0"/>
        </w:rPr>
      </w:r>
    </w:p>
    <w:p w:rsidR="00000000" w:rsidDel="00000000" w:rsidP="00000000" w:rsidRDefault="00000000" w:rsidRPr="00000000" w14:paraId="00000022">
      <w:pPr>
        <w:spacing w:after="100" w:lineRule="auto"/>
        <w:jc w:val="both"/>
        <w:rPr/>
      </w:pPr>
      <w:r w:rsidDel="00000000" w:rsidR="00000000" w:rsidRPr="00000000">
        <w:rPr>
          <w:rtl w:val="0"/>
        </w:rPr>
        <w:t xml:space="preserve">The revised Appendix M clarifies that the 100-response study is a targeted, stratified validation set designed specifically for comparing evaluator variants rather than a complete validation of all model outputs. Five models representing contrasting capability profiles and 20 questions covering all branch–difficulty combinations yield a set that is representative by design for this purpose. </w:t>
      </w:r>
      <w:r w:rsidDel="00000000" w:rsidR="00000000" w:rsidRPr="00000000">
        <w:rPr>
          <w:rFonts w:ascii="Times New Roman" w:cs="Times New Roman" w:eastAsia="Times New Roman" w:hAnsi="Times New Roman"/>
          <w:sz w:val="22"/>
          <w:szCs w:val="22"/>
          <w:rtl w:val="0"/>
        </w:rPr>
        <w:t xml:space="preserve">This is consistent with standard practice in NLP human evaluation studies.</w:t>
      </w:r>
      <w:r w:rsidDel="00000000" w:rsidR="00000000" w:rsidRPr="00000000">
        <w:rPr>
          <w:rtl w:val="0"/>
        </w:rPr>
      </w:r>
    </w:p>
    <w:p w:rsidR="00000000" w:rsidDel="00000000" w:rsidP="00000000" w:rsidRDefault="00000000" w:rsidRPr="00000000" w14:paraId="00000023">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5</w:t>
      </w:r>
      <w:r w:rsidDel="00000000" w:rsidR="00000000" w:rsidRPr="00000000">
        <w:rPr>
          <w:rtl w:val="0"/>
        </w:rPr>
      </w:r>
    </w:p>
    <w:p w:rsidR="00000000" w:rsidDel="00000000" w:rsidP="00000000" w:rsidRDefault="00000000" w:rsidRPr="00000000" w14:paraId="00000024">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Template authorship is ambiguous.</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Times New Roman" w:cs="Times New Roman" w:eastAsia="Times New Roman" w:hAnsi="Times New Roman"/>
          <w:sz w:val="22"/>
          <w:szCs w:val="22"/>
          <w:rtl w:val="0"/>
        </w:rPr>
        <w:t xml:space="preserve">Section 3.1 (lines 173–177) now explicitly states: “The 90 symbolic Python templates were fully authored by domain experts, grounded directly in foundational textbooks and authoritative engineering handbooks.” LLMs were used exclusively for supplementary tasks (taxonomy validation, pedagogical scoring) and played no role in template authorship.</w:t>
      </w:r>
      <w:r w:rsidDel="00000000" w:rsidR="00000000" w:rsidRPr="00000000">
        <w:rPr>
          <w:rtl w:val="0"/>
        </w:rPr>
      </w:r>
    </w:p>
    <w:p w:rsidR="00000000" w:rsidDel="00000000" w:rsidP="00000000" w:rsidRDefault="00000000" w:rsidRPr="00000000" w14:paraId="00000026">
      <w:pPr>
        <w:pStyle w:val="Heading1"/>
        <w:pBdr>
          <w:bottom w:color="2e75b6" w:space="4" w:sz="4" w:val="single"/>
        </w:pBdr>
        <w:spacing w:after="140" w:before="280" w:lineRule="auto"/>
        <w:jc w:val="both"/>
        <w:rPr>
          <w:b w:val="1"/>
          <w:bCs w:val="1"/>
          <w:color w:val="000000"/>
        </w:rPr>
      </w:pPr>
      <w:bookmarkStart w:colFirst="0" w:colLast="0" w:name="_oiyi3hvautl6" w:id="2"/>
      <w:bookmarkEnd w:id="2"/>
      <w:r w:rsidDel="00000000" w:rsidR="00000000" w:rsidRPr="00000000">
        <w:rPr>
          <w:b w:val="1"/>
          <w:bCs w:val="1"/>
          <w:color w:val="000000"/>
          <w:rtl w:val="0"/>
        </w:rPr>
        <w:t xml:space="preserve">For Reviewer nWW3</w:t>
      </w:r>
    </w:p>
    <w:p w:rsidR="00000000" w:rsidDel="00000000" w:rsidP="00000000" w:rsidRDefault="00000000" w:rsidRPr="00000000" w14:paraId="00000027">
      <w:pPr>
        <w:spacing w:after="80" w:before="200" w:lineRule="auto"/>
        <w:jc w:val="both"/>
        <w:rPr/>
      </w:pPr>
      <w:r w:rsidDel="00000000" w:rsidR="00000000" w:rsidRPr="00000000">
        <w:rPr>
          <w:b w:val="1"/>
          <w:bCs w:val="1"/>
          <w:color w:val="2e75b6"/>
          <w:sz w:val="23"/>
          <w:szCs w:val="23"/>
          <w:rtl w:val="0"/>
        </w:rPr>
        <w:t xml:space="preserve">Weakness 1</w:t>
      </w:r>
      <w:r w:rsidDel="00000000" w:rsidR="00000000" w:rsidRPr="00000000">
        <w:rPr>
          <w:rtl w:val="0"/>
        </w:rPr>
      </w:r>
    </w:p>
    <w:p w:rsidR="00000000" w:rsidDel="00000000" w:rsidP="00000000" w:rsidRDefault="00000000" w:rsidRPr="00000000" w14:paraId="00000028">
      <w:pPr>
        <w:pBdr>
          <w:left w:color="2e75b6" w:space="8" w:sz="6" w:val="single"/>
        </w:pBdr>
        <w:spacing w:after="60" w:before="60" w:lineRule="auto"/>
        <w:ind w:left="720" w:firstLine="0"/>
        <w:jc w:val="both"/>
        <w:rPr/>
      </w:pPr>
      <w:r w:rsidDel="00000000" w:rsidR="00000000" w:rsidRPr="00000000">
        <w:rPr>
          <w:i w:val="1"/>
          <w:iCs w:val="1"/>
          <w:color w:val="444444"/>
          <w:rtl w:val="0"/>
        </w:rPr>
        <w:t xml:space="preserve">Is it necessary to construct templates (datasets) that cover comprehensive engineering fields? If comprehensiveness is the only requirement, integrating existing datasets from multiple engineering fields could also examine comprehensive engineering areas. </w:t>
      </w:r>
      <w:r w:rsidDel="00000000" w:rsidR="00000000" w:rsidRPr="00000000">
        <w:rPr>
          <w:rtl w:val="0"/>
        </w:rPr>
      </w:r>
    </w:p>
    <w:p w:rsidR="00000000" w:rsidDel="00000000" w:rsidP="00000000" w:rsidRDefault="00000000" w:rsidRPr="00000000" w14:paraId="00000029">
      <w:pPr>
        <w:spacing w:after="100" w:lineRule="auto"/>
        <w:jc w:val="both"/>
        <w:rPr>
          <w:b w:val="1"/>
          <w:bCs w:val="1"/>
          <w:color w:val="2e75b6"/>
          <w:sz w:val="23"/>
          <w:szCs w:val="23"/>
        </w:rPr>
      </w:pPr>
      <w:r w:rsidDel="00000000" w:rsidR="00000000" w:rsidRPr="00000000">
        <w:rPr>
          <w:rFonts w:ascii="Gungsuh" w:cs="Gungsuh" w:eastAsia="Gungsuh" w:hAnsi="Gungsuh"/>
          <w:rtl w:val="0"/>
        </w:rPr>
        <w:t xml:space="preserve">Integrating existing datasets cannot provide verifiable process supervision as current benchmarks rely on static, outcome-based evaluations lacking the verifiable reasoning traces needed to assess true problem-solving. EngTrace addresses this through a symbolic pipeline generating contamination-resistant instances paired with gold-standard reasoning traces. The dataset is intentionally stratified into three difficulty tiers, with the Advanced tier (22 templates, ≈25%) demanding complex multi-physics integration beyond textbook simplifications (Appendix L). The complexity cliff finding (Figure 5) empirically validates this depth: frontier models degrade to ≈50% accuracy and open-weights models collapse to ≈23% on advanced tasks, confirming the benchmark is sufficiently rigorous to stress-test the frontier. </w:t>
      </w:r>
      <w:r w:rsidDel="00000000" w:rsidR="00000000" w:rsidRPr="00000000">
        <w:rPr>
          <w:rtl w:val="0"/>
        </w:rPr>
      </w:r>
    </w:p>
    <w:p w:rsidR="00000000" w:rsidDel="00000000" w:rsidP="00000000" w:rsidRDefault="00000000" w:rsidRPr="00000000" w14:paraId="0000002A">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w:t>
      </w:r>
      <w:r w:rsidDel="00000000" w:rsidR="00000000" w:rsidRPr="00000000">
        <w:rPr>
          <w:b w:val="1"/>
          <w:bCs w:val="1"/>
          <w:color w:val="2e75b6"/>
          <w:sz w:val="23"/>
          <w:szCs w:val="23"/>
          <w:rtl w:val="0"/>
        </w:rPr>
        <w:t xml:space="preserve">2</w:t>
      </w:r>
      <w:r w:rsidDel="00000000" w:rsidR="00000000" w:rsidRPr="00000000">
        <w:rPr>
          <w:rtl w:val="0"/>
        </w:rPr>
      </w:r>
    </w:p>
    <w:p w:rsidR="00000000" w:rsidDel="00000000" w:rsidP="00000000" w:rsidRDefault="00000000" w:rsidRPr="00000000" w14:paraId="0000002B">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Different instances of the same template seem to differ only in variables. 90 templates may be equivalent to 90 problems, which is very limited.</w:t>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Fonts w:ascii="Times New Roman" w:cs="Times New Roman" w:eastAsia="Times New Roman" w:hAnsi="Times New Roman"/>
          <w:sz w:val="22"/>
          <w:szCs w:val="22"/>
          <w:rtl w:val="0"/>
        </w:rPr>
        <w:t xml:space="preserve">The new Appendix G (lines 1137–1167) directly addresses this with three complete template implementations framed around structural</w:t>
      </w:r>
      <w:r w:rsidDel="00000000" w:rsidR="00000000" w:rsidRPr="00000000">
        <w:rPr>
          <w:rtl w:val="0"/>
        </w:rPr>
        <w:t xml:space="preserve"> diversity, not</w:t>
      </w:r>
      <w:r w:rsidDel="00000000" w:rsidR="00000000" w:rsidRPr="00000000">
        <w:rPr>
          <w:rFonts w:ascii="Times New Roman" w:cs="Times New Roman" w:eastAsia="Times New Roman" w:hAnsi="Times New Roman"/>
          <w:sz w:val="22"/>
          <w:szCs w:val="22"/>
          <w:rtl w:val="0"/>
        </w:rPr>
        <w:t xml:space="preserve"> just parametric. The Basic template requires direct formula application under dual unit systems; the Intermediate template requires multi-step frequency-domain reasoning where the sampling constraint determines which formula applies; the Advanced template requires constructing and solving a system of equations from equilibrium and compatibility conditions before any stress calculation is possible. As stated in the appendix, every template introduces a qualitatively distinct reasoning chain. Many templates additionally involve structural branching based on sampled geometry or physical regime, meaning different instances can require different governing equations and critical thresholds, not just different numbers.</w:t>
      </w:r>
      <w:r w:rsidDel="00000000" w:rsidR="00000000" w:rsidRPr="00000000">
        <w:rPr>
          <w:rtl w:val="0"/>
        </w:rPr>
      </w:r>
    </w:p>
    <w:p w:rsidR="00000000" w:rsidDel="00000000" w:rsidP="00000000" w:rsidRDefault="00000000" w:rsidRPr="00000000" w14:paraId="0000002D">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w:t>
      </w:r>
      <w:r w:rsidDel="00000000" w:rsidR="00000000" w:rsidRPr="00000000">
        <w:rPr>
          <w:b w:val="1"/>
          <w:bCs w:val="1"/>
          <w:color w:val="2e75b6"/>
          <w:sz w:val="23"/>
          <w:szCs w:val="23"/>
          <w:rtl w:val="0"/>
        </w:rPr>
        <w:t xml:space="preserve">3</w:t>
      </w:r>
      <w:r w:rsidDel="00000000" w:rsidR="00000000" w:rsidRPr="00000000">
        <w:rPr>
          <w:rtl w:val="0"/>
        </w:rPr>
      </w:r>
    </w:p>
    <w:p w:rsidR="00000000" w:rsidDel="00000000" w:rsidP="00000000" w:rsidRDefault="00000000" w:rsidRPr="00000000" w14:paraId="0000002E">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Lack of profound insights. The experimental analysis is limited to statements about model performance.</w:t>
      </w:r>
      <w:r w:rsidDel="00000000" w:rsidR="00000000" w:rsidRPr="00000000">
        <w:rPr>
          <w:rtl w:val="0"/>
        </w:rPr>
      </w:r>
    </w:p>
    <w:p w:rsidR="00000000" w:rsidDel="00000000" w:rsidP="00000000" w:rsidRDefault="00000000" w:rsidRPr="00000000" w14:paraId="0000002F">
      <w:pPr>
        <w:spacing w:after="100" w:lineRule="auto"/>
        <w:jc w:val="both"/>
        <w:rPr/>
      </w:pPr>
      <w:r w:rsidDel="00000000" w:rsidR="00000000" w:rsidRPr="00000000">
        <w:rPr>
          <w:rFonts w:ascii="Times New Roman" w:cs="Times New Roman" w:eastAsia="Times New Roman" w:hAnsi="Times New Roman"/>
          <w:sz w:val="22"/>
          <w:szCs w:val="22"/>
          <w:rtl w:val="0"/>
        </w:rPr>
        <w:t xml:space="preserve">The entire results section (Section 5.3, lines 432–505) has been rewritten to surface structural explanations. Section 5.3.2 (lines 446–466) explains why the branch difficulty ordering is structural rather than a scaling artifact. Section 5.3.3 (lines 468–489) interprets domain-level capability spikes</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Transport Phenomena is a persistent floor (max FAC 26.67%) due to coupled transport equations; Mechanics of Materials is nearly solved by frontier models (94.00%) while Fluid Mechanics remains a ceiling (54.00%) due to non-linear dynamics. Section 5.3.4 (lines 490–504) explains why efficiency-oriented models remain competitive at Easy while the Advanced tier produces sharp divergence, and confirms that math-enhanced models fail to close the gap at any tier.</w:t>
      </w:r>
      <w:r w:rsidDel="00000000" w:rsidR="00000000" w:rsidRPr="00000000">
        <w:rPr>
          <w:rtl w:val="0"/>
        </w:rPr>
      </w:r>
    </w:p>
    <w:p w:rsidR="00000000" w:rsidDel="00000000" w:rsidP="00000000" w:rsidRDefault="00000000" w:rsidRPr="00000000" w14:paraId="00000030">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w:t>
      </w:r>
      <w:r w:rsidDel="00000000" w:rsidR="00000000" w:rsidRPr="00000000">
        <w:rPr>
          <w:b w:val="1"/>
          <w:bCs w:val="1"/>
          <w:color w:val="2e75b6"/>
          <w:sz w:val="23"/>
          <w:szCs w:val="23"/>
          <w:rtl w:val="0"/>
        </w:rPr>
        <w:t xml:space="preserve">4</w:t>
      </w:r>
      <w:r w:rsidDel="00000000" w:rsidR="00000000" w:rsidRPr="00000000">
        <w:rPr>
          <w:rtl w:val="0"/>
        </w:rPr>
      </w:r>
    </w:p>
    <w:p w:rsidR="00000000" w:rsidDel="00000000" w:rsidP="00000000" w:rsidRDefault="00000000" w:rsidRPr="00000000" w14:paraId="00000031">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Error analysis is too coarse-grained, categorizing model error types solely into calculation errors and conceptual errors.</w:t>
      </w:r>
      <w:r w:rsidDel="00000000" w:rsidR="00000000" w:rsidRPr="00000000">
        <w:rPr>
          <w:rtl w:val="0"/>
        </w:rPr>
      </w:r>
    </w:p>
    <w:p w:rsidR="00000000" w:rsidDel="00000000" w:rsidP="00000000" w:rsidRDefault="00000000" w:rsidRPr="00000000" w14:paraId="00000032">
      <w:pPr>
        <w:spacing w:after="100" w:lineRule="auto"/>
        <w:jc w:val="both"/>
        <w:rPr/>
      </w:pPr>
      <w:r w:rsidDel="00000000" w:rsidR="00000000" w:rsidRPr="00000000">
        <w:rPr>
          <w:rFonts w:ascii="Times New Roman" w:cs="Times New Roman" w:eastAsia="Times New Roman" w:hAnsi="Times New Roman"/>
          <w:sz w:val="22"/>
          <w:szCs w:val="22"/>
          <w:rtl w:val="0"/>
        </w:rPr>
        <w:t xml:space="preserve">This is the most substantive revision. The new Section 5.4 (lines 506–548) introduces a six-category taxonomy applied by human experts to 2,200 annotated failure traces across 11 models. The taxonomy and its strict causal decision hierarchy are defined in Appendix R (lines 1499–1547). The main text focuses on three representative models: Gemini 3.1 Pro (79.5% Calculation Errors; fails overwhelmingly on arithmetic), DeepSeek R1 (21.5% Setup/Assumption errors; explains the FAC-vs-F1 tension), and Llama 3.1 70B (41.8 pp conceptual complexity cliff; Formula/Principle errors surge from 14.5% at Easy to 49.0% at Advanced). Appendix U (lines 1692–178</w:t>
      </w:r>
      <w:r w:rsidDel="00000000" w:rsidR="00000000" w:rsidRPr="00000000">
        <w:rPr>
          <w:rtl w:val="0"/>
        </w:rPr>
        <w:t xml:space="preserve">9</w:t>
      </w:r>
      <w:r w:rsidDel="00000000" w:rsidR="00000000" w:rsidRPr="00000000">
        <w:rPr>
          <w:rFonts w:ascii="Times New Roman" w:cs="Times New Roman" w:eastAsia="Times New Roman" w:hAnsi="Times New Roman"/>
          <w:sz w:val="22"/>
          <w:szCs w:val="22"/>
          <w:rtl w:val="0"/>
        </w:rPr>
        <w:t xml:space="preserve">) extends this to all 11 models with per-difficulty and per-branch aggregates, and Appendix T reports inter-annotator agreement (Fleiss’ κ = 0.524, Gwet’s AC1 = 0.682).</w:t>
      </w:r>
      <w:r w:rsidDel="00000000" w:rsidR="00000000" w:rsidRPr="00000000">
        <w:rPr>
          <w:rtl w:val="0"/>
        </w:rPr>
      </w:r>
    </w:p>
    <w:p w:rsidR="00000000" w:rsidDel="00000000" w:rsidP="00000000" w:rsidRDefault="00000000" w:rsidRPr="00000000" w14:paraId="00000033">
      <w:pPr>
        <w:pStyle w:val="Heading1"/>
        <w:pBdr>
          <w:bottom w:color="2e75b6" w:space="4" w:sz="4" w:val="single"/>
        </w:pBdr>
        <w:spacing w:after="140" w:before="280" w:lineRule="auto"/>
        <w:jc w:val="both"/>
        <w:rPr>
          <w:b w:val="1"/>
          <w:bCs w:val="1"/>
          <w:color w:val="000000"/>
        </w:rPr>
      </w:pPr>
      <w:bookmarkStart w:colFirst="0" w:colLast="0" w:name="_jkwuq2hglmm8" w:id="3"/>
      <w:bookmarkEnd w:id="3"/>
      <w:r w:rsidDel="00000000" w:rsidR="00000000" w:rsidRPr="00000000">
        <w:rPr>
          <w:b w:val="1"/>
          <w:bCs w:val="1"/>
          <w:color w:val="000000"/>
          <w:rtl w:val="0"/>
        </w:rPr>
        <w:t xml:space="preserve">For Reviewer cqGs</w:t>
      </w:r>
    </w:p>
    <w:p w:rsidR="00000000" w:rsidDel="00000000" w:rsidP="00000000" w:rsidRDefault="00000000" w:rsidRPr="00000000" w14:paraId="00000034">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1</w:t>
      </w:r>
      <w:r w:rsidDel="00000000" w:rsidR="00000000" w:rsidRPr="00000000">
        <w:rPr>
          <w:rtl w:val="0"/>
        </w:rPr>
      </w:r>
    </w:p>
    <w:p w:rsidR="00000000" w:rsidDel="00000000" w:rsidP="00000000" w:rsidRDefault="00000000" w:rsidRPr="00000000" w14:paraId="00000035">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The evaluation is limited to closed-book, tool-free settings, potentially conflating arithmetic execution with engineering reasoning ability.</w:t>
      </w:r>
      <w:r w:rsidDel="00000000" w:rsidR="00000000" w:rsidRPr="00000000">
        <w:rPr>
          <w:rtl w:val="0"/>
        </w:rPr>
      </w:r>
    </w:p>
    <w:p w:rsidR="00000000" w:rsidDel="00000000" w:rsidP="00000000" w:rsidRDefault="00000000" w:rsidRPr="00000000" w14:paraId="00000036">
      <w:pPr>
        <w:spacing w:after="100" w:lineRule="auto"/>
        <w:jc w:val="both"/>
        <w:rPr/>
      </w:pPr>
      <w:r w:rsidDel="00000000" w:rsidR="00000000" w:rsidRPr="00000000">
        <w:rPr>
          <w:rtl w:val="0"/>
        </w:rPr>
        <w:t xml:space="preserve">The new six-category error taxonomy (Section 5.4) directly addresses the conflation concern. By separating Calculation Errors from the five conceptual categories using a causal decision hierarchy, we demonstrate that the two failure modes are empirically distinct: frontier models fail overwhelmingly on arithmetic (Gemini 3.1 Pro: 79.5%; DeepSeek R1: 72.0%) while open-weights models fail conceptually (Llama 3.1 70B: 41.8 pp conceptual cliff). We acknowledge that this does not replace a tool-augmented baseline, but it provides diagnostic evidence that arithmetic execution and physical reasoning can be separated within the tool-free setting. Tool-augmented and RAG evaluation are committed as future work in </w:t>
      </w:r>
      <w:r w:rsidDel="00000000" w:rsidR="00000000" w:rsidRPr="00000000">
        <w:rPr>
          <w:rFonts w:ascii="Times New Roman" w:cs="Times New Roman" w:eastAsia="Times New Roman" w:hAnsi="Times New Roman"/>
          <w:sz w:val="22"/>
          <w:szCs w:val="22"/>
          <w:rtl w:val="0"/>
        </w:rPr>
        <w:t xml:space="preserve">(Conclusion, lines 560–564; Limitations, lines 573–575).</w:t>
      </w:r>
      <w:r w:rsidDel="00000000" w:rsidR="00000000" w:rsidRPr="00000000">
        <w:rPr>
          <w:rtl w:val="0"/>
        </w:rPr>
      </w:r>
    </w:p>
    <w:p w:rsidR="00000000" w:rsidDel="00000000" w:rsidP="00000000" w:rsidRDefault="00000000" w:rsidRPr="00000000" w14:paraId="00000037">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2</w:t>
      </w:r>
      <w:r w:rsidDel="00000000" w:rsidR="00000000" w:rsidRPr="00000000">
        <w:rPr>
          <w:rtl w:val="0"/>
        </w:rPr>
      </w:r>
    </w:p>
    <w:p w:rsidR="00000000" w:rsidDel="00000000" w:rsidP="00000000" w:rsidRDefault="00000000" w:rsidRPr="00000000" w14:paraId="00000038">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Problem statements are generated from a fixed set of symbolic templates, limiting linguistic diversity and potentially allowing models to exploit template-level patterns.</w:t>
      </w:r>
      <w:r w:rsidDel="00000000" w:rsidR="00000000" w:rsidRPr="00000000">
        <w:rPr>
          <w:rtl w:val="0"/>
        </w:rPr>
      </w:r>
    </w:p>
    <w:p w:rsidR="00000000" w:rsidDel="00000000" w:rsidP="00000000" w:rsidRDefault="00000000" w:rsidRPr="00000000" w14:paraId="00000039">
      <w:pPr>
        <w:spacing w:after="100" w:lineRule="auto"/>
        <w:jc w:val="both"/>
        <w:rPr/>
      </w:pPr>
      <w:r w:rsidDel="00000000" w:rsidR="00000000" w:rsidRPr="00000000">
        <w:rPr>
          <w:rFonts w:ascii="Times New Roman" w:cs="Times New Roman" w:eastAsia="Times New Roman" w:hAnsi="Times New Roman"/>
          <w:sz w:val="22"/>
          <w:szCs w:val="22"/>
          <w:rtl w:val="0"/>
        </w:rPr>
        <w:t xml:space="preserve">Appendix G (lines 1137–1167) demonstrates that diversity operates at the structural level. Template exploitation is further prevented by domain-aware parameterization (Appendix F): sampling the flow geometry in the Reynolds Number template, for instance, changes the characteristic length definition, regime thresholds, and required reasoning path, not just numerical values. The linguistic diversity constraint is acknowledged in the Limitations section (lines 576–587) with future work committed on multi-modal tasks and real-world engineering document seeds.</w:t>
      </w:r>
      <w:r w:rsidDel="00000000" w:rsidR="00000000" w:rsidRPr="00000000">
        <w:rPr>
          <w:rtl w:val="0"/>
        </w:rPr>
      </w:r>
    </w:p>
    <w:p w:rsidR="00000000" w:rsidDel="00000000" w:rsidP="00000000" w:rsidRDefault="00000000" w:rsidRPr="00000000" w14:paraId="0000003A">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3</w:t>
      </w:r>
      <w:r w:rsidDel="00000000" w:rsidR="00000000" w:rsidRPr="00000000">
        <w:rPr>
          <w:rtl w:val="0"/>
        </w:rPr>
      </w:r>
    </w:p>
    <w:p w:rsidR="00000000" w:rsidDel="00000000" w:rsidP="00000000" w:rsidRDefault="00000000" w:rsidRPr="00000000" w14:paraId="0000003B">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The analysis remains largely descriptive, with limited investigation into underlying causes such as long-context effects, error accumulation, or data sparsity.</w:t>
      </w:r>
      <w:r w:rsidDel="00000000" w:rsidR="00000000" w:rsidRPr="00000000">
        <w:rPr>
          <w:rtl w:val="0"/>
        </w:rPr>
      </w:r>
    </w:p>
    <w:p w:rsidR="00000000" w:rsidDel="00000000" w:rsidP="00000000" w:rsidRDefault="00000000" w:rsidRPr="00000000" w14:paraId="0000003C">
      <w:pPr>
        <w:spacing w:after="100" w:lineRule="auto"/>
        <w:jc w:val="both"/>
        <w:rPr/>
      </w:pPr>
      <w:r w:rsidDel="00000000" w:rsidR="00000000" w:rsidRPr="00000000">
        <w:rPr>
          <w:rFonts w:ascii="Cardo" w:cs="Cardo" w:eastAsia="Cardo" w:hAnsi="Cardo"/>
          <w:sz w:val="22"/>
          <w:szCs w:val="22"/>
          <w:rtl w:val="0"/>
        </w:rPr>
        <w:t xml:space="preserve">The revised results section and the new error analysis provide a mechanistic explanation of the complexity cliff. Appendix U.2 (lines 1756–1788) shows that the cliff is driven by surging Formula/Principle errors (Easy: 6.5% → Advanced: 18.8%) and Setup/Assumption errors (14.5% → 19.8%), while Unit/Dimensional errors peak at Intermediate and nearly vanish at Advanced as the challenge shifts from unit bookkeeping to deeper physical reasoning. Advanced problems filter physical understanding, not arithmetic skill. A full investigation into pre-training data sparsity or long-context attention decay is beyond the scope of a benchmark paper and is noted as future work in the Limitations section.</w:t>
      </w:r>
      <w:r w:rsidDel="00000000" w:rsidR="00000000" w:rsidRPr="00000000">
        <w:rPr>
          <w:rtl w:val="0"/>
        </w:rPr>
      </w:r>
    </w:p>
    <w:p w:rsidR="00000000" w:rsidDel="00000000" w:rsidP="00000000" w:rsidRDefault="00000000" w:rsidRPr="00000000" w14:paraId="0000003D">
      <w:pPr>
        <w:spacing w:after="80" w:before="200" w:lineRule="auto"/>
        <w:jc w:val="both"/>
        <w:rPr/>
      </w:pPr>
      <w:r w:rsidDel="00000000" w:rsidR="00000000" w:rsidRPr="00000000">
        <w:rPr>
          <w:rFonts w:ascii="Times New Roman" w:cs="Times New Roman" w:eastAsia="Times New Roman" w:hAnsi="Times New Roman"/>
          <w:b w:val="1"/>
          <w:bCs w:val="1"/>
          <w:color w:val="2e75b6"/>
          <w:sz w:val="23"/>
          <w:szCs w:val="23"/>
          <w:rtl w:val="0"/>
        </w:rPr>
        <w:t xml:space="preserve">Weakness 4</w:t>
      </w:r>
      <w:r w:rsidDel="00000000" w:rsidR="00000000" w:rsidRPr="00000000">
        <w:rPr>
          <w:rtl w:val="0"/>
        </w:rPr>
      </w:r>
    </w:p>
    <w:p w:rsidR="00000000" w:rsidDel="00000000" w:rsidP="00000000" w:rsidRDefault="00000000" w:rsidRPr="00000000" w14:paraId="0000003E">
      <w:pPr>
        <w:pBdr>
          <w:left w:color="2e75b6" w:space="8" w:sz="6" w:val="single"/>
        </w:pBdr>
        <w:spacing w:after="60" w:before="60" w:lineRule="auto"/>
        <w:ind w:left="720" w:firstLine="0"/>
        <w:jc w:val="both"/>
        <w:rPr/>
      </w:pPr>
      <w:r w:rsidDel="00000000" w:rsidR="00000000" w:rsidRPr="00000000">
        <w:rPr>
          <w:rFonts w:ascii="Times New Roman" w:cs="Times New Roman" w:eastAsia="Times New Roman" w:hAnsi="Times New Roman"/>
          <w:i w:val="1"/>
          <w:iCs w:val="1"/>
          <w:color w:val="444444"/>
          <w:sz w:val="22"/>
          <w:szCs w:val="22"/>
          <w:rtl w:val="0"/>
        </w:rPr>
        <w:t xml:space="preserve">The absence of retrieval-augmented baselines prevents evaluation of model performance when consulting authoritative engineering references.</w:t>
      </w: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rtl w:val="0"/>
        </w:rPr>
        <w:t xml:space="preserve">The new error analysis suggests that a substantial proportion of frontier model failures are arithmetic rather than formula recall failures, which may limit the impact of RAG on the dominant failure mode at the frontier. However, we acknowledge that this does not substitute for an actual RAG baseline, and retrieval-augmented evaluation remains </w:t>
      </w:r>
      <w:r w:rsidDel="00000000" w:rsidR="00000000" w:rsidRPr="00000000">
        <w:rPr>
          <w:rtl w:val="0"/>
        </w:rPr>
        <w:t xml:space="preserve">necessary future</w:t>
      </w:r>
      <w:r w:rsidDel="00000000" w:rsidR="00000000" w:rsidRPr="00000000">
        <w:rPr>
          <w:rtl w:val="0"/>
        </w:rPr>
        <w:t xml:space="preserve"> work, as committed in the Conclusion and Limitations sections. </w:t>
      </w:r>
    </w:p>
    <w:p w:rsidR="00000000" w:rsidDel="00000000" w:rsidP="00000000" w:rsidRDefault="00000000" w:rsidRPr="00000000" w14:paraId="00000040">
      <w:pPr>
        <w:spacing w:after="100" w:before="280" w:lineRule="auto"/>
        <w:jc w:val="both"/>
        <w:rPr/>
      </w:pPr>
      <w:r w:rsidDel="00000000" w:rsidR="00000000" w:rsidRPr="00000000">
        <w:rPr>
          <w:i w:val="1"/>
          <w:iCs w:val="1"/>
          <w:rtl w:val="0"/>
        </w:rPr>
        <w:t xml:space="preserve">We hope these revisions clarify the scope, strengthen the validation evidence, and address the main concerns while making the remaining limitations explicit.</w:t>
      </w:r>
      <w:r w:rsidDel="00000000" w:rsidR="00000000" w:rsidRPr="00000000">
        <w:rPr>
          <w:rtl w:val="0"/>
        </w:rPr>
      </w:r>
    </w:p>
    <w:p w:rsidR="00000000" w:rsidDel="00000000" w:rsidP="00000000" w:rsidRDefault="00000000" w:rsidRPr="00000000" w14:paraId="00000041">
      <w:pPr>
        <w:spacing w:after="100" w:lineRule="auto"/>
        <w:jc w:val="both"/>
        <w:rPr/>
      </w:pPr>
      <w:r w:rsidDel="00000000" w:rsidR="00000000" w:rsidRPr="00000000">
        <w:rPr>
          <w:rFonts w:ascii="Times New Roman" w:cs="Times New Roman" w:eastAsia="Times New Roman" w:hAnsi="Times New Roman"/>
          <w:sz w:val="22"/>
          <w:szCs w:val="22"/>
          <w:rtl w:val="0"/>
        </w:rPr>
        <w:t xml:space="preserve">Sincerely,</w:t>
      </w:r>
      <w:r w:rsidDel="00000000" w:rsidR="00000000" w:rsidRPr="00000000">
        <w:rPr>
          <w:rtl w:val="0"/>
        </w:rPr>
      </w:r>
    </w:p>
    <w:p w:rsidR="00000000" w:rsidDel="00000000" w:rsidP="00000000" w:rsidRDefault="00000000" w:rsidRPr="00000000" w14:paraId="00000042">
      <w:pPr>
        <w:spacing w:after="100" w:lineRule="auto"/>
        <w:jc w:val="both"/>
        <w:rPr/>
      </w:pPr>
      <w:r w:rsidDel="00000000" w:rsidR="00000000" w:rsidRPr="00000000">
        <w:rPr>
          <w:rFonts w:ascii="Times New Roman" w:cs="Times New Roman" w:eastAsia="Times New Roman" w:hAnsi="Times New Roman"/>
          <w:sz w:val="22"/>
          <w:szCs w:val="22"/>
          <w:rtl w:val="0"/>
        </w:rPr>
        <w:t xml:space="preserve">The Authors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