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080"/>
      </w:tblGrid>
      <w:tr>
        <w:tc>
          <w:tcPr>
            <w:tcW w:type="dxa" w:w="10080"/>
            <w:shd w:fill="0F4C3A"/>
            <w:tcMar>
              <w:top w:w="140" w:type="dxa"/>
              <w:bottom w:w="140" w:type="dxa"/>
              <w:left w:w="200" w:type="dxa"/>
              <w:right w:w="200" w:type="dxa"/>
            </w:tcMar>
          </w:tcPr>
          <w:p>
            <w:pPr>
              <w:jc w:val="center"/>
            </w:pPr>
            <w:r>
              <w:rPr>
                <w:rFonts w:ascii="Calibri" w:hAnsi="Calibri"/>
                <w:b/>
                <w:color w:val="FFFFFF"/>
                <w:sz w:val="20"/>
              </w:rPr>
              <w:t>B.TECH CAPSTONE RESEARCH REPORT  •  ARTIFICIAL INTELLIGENCE &amp; DATA SCIENCE</w:t>
            </w:r>
          </w:p>
        </w:tc>
      </w:tr>
    </w:tbl>
    <w:p>
      <w:pPr>
        <w:spacing w:before="280" w:after="0"/>
      </w:pPr>
    </w:p>
    <w:p>
      <w:pPr>
        <w:spacing w:before="0" w:after="80"/>
      </w:pPr>
      <w:r>
        <w:rPr>
          <w:rFonts w:ascii="Calibri" w:hAnsi="Calibri"/>
          <w:b/>
          <w:color w:val="0F4C3A"/>
          <w:sz w:val="48"/>
        </w:rPr>
        <w:t>Spatiotemporal CNN–LSTM Framework for Maharashtra Kharif Crop Failure Prediction</w:t>
      </w:r>
    </w:p>
    <w:p>
      <w:pPr>
        <w:spacing w:before="0" w:after="240"/>
      </w:pPr>
      <w:r>
        <w:rPr>
          <w:rFonts w:ascii="Calibri" w:hAnsi="Calibri"/>
          <w:i/>
          <w:color w:val="0F766E"/>
          <w:sz w:val="25"/>
        </w:rPr>
        <w:t>A Unified Multi-Crop Deep Learning &amp; Geospatial Analytics System for ENSO-Driven Agricultural Shock Early Warning</w:t>
      </w:r>
    </w:p>
    <w:p>
      <w:pPr>
        <w:spacing w:before="40" w:after="240"/>
        <w:jc w:val="center"/>
      </w:pPr>
      <w:r>
        <w:drawing>
          <wp:inline xmlns:a="http://schemas.openxmlformats.org/drawingml/2006/main" xmlns:pic="http://schemas.openxmlformats.org/drawingml/2006/picture">
            <wp:extent cx="5852160" cy="3293590"/>
            <wp:docPr id="1" name="Picture 1"/>
            <wp:cNvGraphicFramePr>
              <a:graphicFrameLocks noChangeAspect="1"/>
            </wp:cNvGraphicFramePr>
            <a:graphic>
              <a:graphicData uri="http://schemas.openxmlformats.org/drawingml/2006/picture">
                <pic:pic>
                  <pic:nvPicPr>
                    <pic:cNvPr id="0" name="Western India Satellite Terrain Map.png"/>
                    <pic:cNvPicPr/>
                  </pic:nvPicPr>
                  <pic:blipFill>
                    <a:blip r:embed="rId9"/>
                    <a:stretch>
                      <a:fillRect/>
                    </a:stretch>
                  </pic:blipFill>
                  <pic:spPr>
                    <a:xfrm>
                      <a:off x="0" y="0"/>
                      <a:ext cx="5852160" cy="3293590"/>
                    </a:xfrm>
                    <a:prstGeom prst="rect"/>
                  </pic:spPr>
                </pic:pic>
              </a:graphicData>
            </a:graphic>
          </wp:inline>
        </w:drawing>
      </w:r>
    </w:p>
    <w:tbl>
      <w:tblPr>
        <w:tblW w:type="auto" w:w="0"/>
        <w:jc w:val="center"/>
        <w:tblLook w:firstColumn="1" w:firstRow="1" w:lastColumn="0" w:lastRow="0" w:noHBand="0" w:noVBand="1" w:val="04A0"/>
        <w:tblBorders>
          <w:top w:val="single" w:sz="6" w:space="0" w:color="CBD5E1"/>
          <w:bottom w:val="single" w:sz="8" w:space="0" w:color="CBD5E1"/>
          <w:insideH w:val="single" w:sz="4" w:space="0" w:color="CBD5E1"/>
          <w:insideV w:val="none"/>
          <w:left w:val="none"/>
          <w:right w:val="none"/>
        </w:tblBorders>
      </w:tblPr>
      <w:tblGrid>
        <w:gridCol w:w="5040"/>
        <w:gridCol w:w="5040"/>
      </w:tblGrid>
      <w:tr>
        <w:tc>
          <w:tcPr>
            <w:tcW w:type="dxa" w:w="5040"/>
            <w:shd w:fill="F1F5F9"/>
            <w:tcMar>
              <w:top w:w="70" w:type="dxa"/>
              <w:bottom w:w="70" w:type="dxa"/>
              <w:left w:w="120" w:type="dxa"/>
              <w:right w:w="120" w:type="dxa"/>
            </w:tcMar>
          </w:tcPr>
          <w:p>
            <w:pPr>
              <w:spacing w:after="0"/>
            </w:pPr>
            <w:r>
              <w:rPr>
                <w:rFonts w:ascii="Calibri" w:hAnsi="Calibri"/>
                <w:b/>
                <w:color w:val="0F4C3A"/>
                <w:sz w:val="17"/>
              </w:rPr>
              <w:t>Target Scope &amp; Geography</w:t>
            </w:r>
          </w:p>
        </w:tc>
        <w:tc>
          <w:tcPr>
            <w:tcW w:type="dxa" w:w="5040"/>
            <w:shd w:fill="FFFFFF"/>
            <w:tcMar>
              <w:top w:w="70" w:type="dxa"/>
              <w:bottom w:w="70" w:type="dxa"/>
              <w:left w:w="120" w:type="dxa"/>
              <w:right w:w="120" w:type="dxa"/>
            </w:tcMar>
          </w:tcPr>
          <w:p>
            <w:pPr>
              <w:spacing w:after="0"/>
            </w:pPr>
            <w:r>
              <w:rPr>
                <w:rFonts w:ascii="Calibri" w:hAnsi="Calibri"/>
                <w:color w:val="1E293B"/>
                <w:sz w:val="17"/>
              </w:rPr>
              <w:t>36 Districts of Maharashtra State, Western India (Deccan &amp; Coastal Konkan)</w:t>
            </w:r>
          </w:p>
        </w:tc>
      </w:tr>
      <w:tr>
        <w:tc>
          <w:tcPr>
            <w:tcW w:type="dxa" w:w="5040"/>
            <w:shd w:fill="F1F5F9"/>
            <w:tcMar>
              <w:top w:w="70" w:type="dxa"/>
              <w:bottom w:w="70" w:type="dxa"/>
              <w:left w:w="120" w:type="dxa"/>
              <w:right w:w="120" w:type="dxa"/>
            </w:tcMar>
          </w:tcPr>
          <w:p>
            <w:pPr>
              <w:spacing w:after="0"/>
            </w:pPr>
            <w:r>
              <w:rPr>
                <w:rFonts w:ascii="Calibri" w:hAnsi="Calibri"/>
                <w:b/>
                <w:color w:val="0F4C3A"/>
                <w:sz w:val="17"/>
              </w:rPr>
              <w:t>Primary Kharif Crops</w:t>
            </w:r>
          </w:p>
        </w:tc>
        <w:tc>
          <w:tcPr>
            <w:tcW w:type="dxa" w:w="5040"/>
            <w:shd w:fill="F8FAFC"/>
            <w:tcMar>
              <w:top w:w="70" w:type="dxa"/>
              <w:bottom w:w="70" w:type="dxa"/>
              <w:left w:w="120" w:type="dxa"/>
              <w:right w:w="120" w:type="dxa"/>
            </w:tcMar>
          </w:tcPr>
          <w:p>
            <w:pPr>
              <w:spacing w:after="0"/>
            </w:pPr>
            <w:r>
              <w:rPr>
                <w:rFonts w:ascii="Calibri" w:hAnsi="Calibri"/>
                <w:color w:val="1E293B"/>
                <w:sz w:val="17"/>
              </w:rPr>
              <w:t>6 Crop Conditioning Identity Modes: Rice, Soybean, Cotton, Bajra, Jowar, Tur</w:t>
            </w:r>
          </w:p>
        </w:tc>
      </w:tr>
      <w:tr>
        <w:tc>
          <w:tcPr>
            <w:tcW w:type="dxa" w:w="5040"/>
            <w:shd w:fill="F1F5F9"/>
            <w:tcMar>
              <w:top w:w="70" w:type="dxa"/>
              <w:bottom w:w="70" w:type="dxa"/>
              <w:left w:w="120" w:type="dxa"/>
              <w:right w:w="120" w:type="dxa"/>
            </w:tcMar>
          </w:tcPr>
          <w:p>
            <w:pPr>
              <w:spacing w:after="0"/>
            </w:pPr>
            <w:r>
              <w:rPr>
                <w:rFonts w:ascii="Calibri" w:hAnsi="Calibri"/>
                <w:b/>
                <w:color w:val="0F4C3A"/>
                <w:sz w:val="17"/>
              </w:rPr>
              <w:t>Ground Truth Benchmark</w:t>
            </w:r>
          </w:p>
        </w:tc>
        <w:tc>
          <w:tcPr>
            <w:tcW w:type="dxa" w:w="5040"/>
            <w:shd w:fill="FFFFFF"/>
            <w:tcMar>
              <w:top w:w="70" w:type="dxa"/>
              <w:bottom w:w="70" w:type="dxa"/>
              <w:left w:w="120" w:type="dxa"/>
              <w:right w:w="120" w:type="dxa"/>
            </w:tcMar>
          </w:tcPr>
          <w:p>
            <w:pPr>
              <w:spacing w:after="0"/>
            </w:pPr>
            <w:r>
              <w:rPr>
                <w:rFonts w:ascii="Calibri" w:hAnsi="Calibri"/>
                <w:color w:val="1E293B"/>
                <w:sz w:val="17"/>
              </w:rPr>
              <w:t>PMFBY 5-Year Rolling Olympic Baseline (Yield Deficit Threshold &gt;= 15.0%)</w:t>
            </w:r>
          </w:p>
        </w:tc>
      </w:tr>
      <w:tr>
        <w:tc>
          <w:tcPr>
            <w:tcW w:type="dxa" w:w="5040"/>
            <w:shd w:fill="F1F5F9"/>
            <w:tcMar>
              <w:top w:w="70" w:type="dxa"/>
              <w:bottom w:w="70" w:type="dxa"/>
              <w:left w:w="120" w:type="dxa"/>
              <w:right w:w="120" w:type="dxa"/>
            </w:tcMar>
          </w:tcPr>
          <w:p>
            <w:pPr>
              <w:spacing w:after="0"/>
            </w:pPr>
            <w:r>
              <w:rPr>
                <w:rFonts w:ascii="Calibri" w:hAnsi="Calibri"/>
                <w:b/>
                <w:color w:val="0F4C3A"/>
                <w:sz w:val="17"/>
              </w:rPr>
              <w:t>Spatiotemporal Deep Learning</w:t>
            </w:r>
          </w:p>
        </w:tc>
        <w:tc>
          <w:tcPr>
            <w:tcW w:type="dxa" w:w="5040"/>
            <w:shd w:fill="F8FAFC"/>
            <w:tcMar>
              <w:top w:w="70" w:type="dxa"/>
              <w:bottom w:w="70" w:type="dxa"/>
              <w:left w:w="120" w:type="dxa"/>
              <w:right w:w="120" w:type="dxa"/>
            </w:tcMar>
          </w:tcPr>
          <w:p>
            <w:pPr>
              <w:spacing w:after="0"/>
            </w:pPr>
            <w:r>
              <w:rPr>
                <w:rFonts w:ascii="Calibri" w:hAnsi="Calibri"/>
                <w:color w:val="1E293B"/>
                <w:sz w:val="17"/>
              </w:rPr>
              <w:t>2D Spatial CNN Extractor + Bidirectional LSTM (T=6) + 6D One-Hot Conditioning</w:t>
            </w:r>
          </w:p>
        </w:tc>
      </w:tr>
      <w:tr>
        <w:tc>
          <w:tcPr>
            <w:tcW w:type="dxa" w:w="5040"/>
            <w:shd w:fill="F1F5F9"/>
            <w:tcMar>
              <w:top w:w="70" w:type="dxa"/>
              <w:bottom w:w="70" w:type="dxa"/>
              <w:left w:w="120" w:type="dxa"/>
              <w:right w:w="120" w:type="dxa"/>
            </w:tcMar>
          </w:tcPr>
          <w:p>
            <w:pPr>
              <w:spacing w:after="0"/>
            </w:pPr>
            <w:r>
              <w:rPr>
                <w:rFonts w:ascii="Calibri" w:hAnsi="Calibri"/>
                <w:b/>
                <w:color w:val="0F4C3A"/>
                <w:sz w:val="17"/>
              </w:rPr>
              <w:t>Evaluation Protocol</w:t>
            </w:r>
          </w:p>
        </w:tc>
        <w:tc>
          <w:tcPr>
            <w:tcW w:type="dxa" w:w="5040"/>
            <w:shd w:fill="FFFFFF"/>
            <w:tcMar>
              <w:top w:w="70" w:type="dxa"/>
              <w:bottom w:w="70" w:type="dxa"/>
              <w:left w:w="120" w:type="dxa"/>
              <w:right w:w="120" w:type="dxa"/>
            </w:tcMar>
          </w:tcPr>
          <w:p>
            <w:pPr>
              <w:spacing w:after="0"/>
            </w:pPr>
            <w:r>
              <w:rPr>
                <w:rFonts w:ascii="Calibri" w:hAnsi="Calibri"/>
                <w:color w:val="1E293B"/>
                <w:sz w:val="17"/>
              </w:rPr>
              <w:t>Leave-One-Season-Out (LOSO) Cross-Validation: 98.3% Disaster Recall, 0.987 ROC-AUC</w:t>
            </w:r>
          </w:p>
        </w:tc>
      </w:tr>
    </w:tbl>
    <w:p>
      <w:pPr>
        <w:spacing w:before="200" w:after="0"/>
      </w:pPr>
      <w:r>
        <w:rPr>
          <w:rFonts w:ascii="Calibri" w:hAnsi="Calibri"/>
          <w:i/>
          <w:color w:val="475569"/>
          <w:sz w:val="17"/>
        </w:rPr>
        <w:t>Production Release v2.4.0  •  Hugging Face Hub: UsmanSait/elnino-crop-failure-pbl  •  October 2026</w:t>
      </w:r>
    </w:p>
    <w:p>
      <w:pPr>
        <w:sectPr>
          <w:pgSz w:w="12240" w:h="15840"/>
          <w:pgMar w:top="1080" w:right="1080" w:bottom="1080" w:left="1080" w:header="720" w:footer="720" w:gutter="0"/>
          <w:cols w:space="720"/>
          <w:docGrid w:linePitch="360"/>
        </w:sectPr>
      </w:pPr>
    </w:p>
    <w:p>
      <w:pPr>
        <w:pStyle w:val="Heading1"/>
        <w:keepNext/>
        <w:spacing w:before="80" w:after="120"/>
      </w:pPr>
      <w:r>
        <w:rPr>
          <w:rFonts w:ascii="Calibri" w:hAnsi="Calibri"/>
          <w:b/>
          <w:color w:val="0F4C3A"/>
          <w:sz w:val="33"/>
        </w:rPr>
        <w:t>Table of Contents</w:t>
      </w:r>
    </w:p>
    <w:tbl>
      <w:tblPr>
        <w:tblW w:type="auto" w:w="0"/>
        <w:jc w:val="center"/>
        <w:tblLook w:firstColumn="1" w:firstRow="1" w:lastColumn="0" w:lastRow="0" w:noHBand="0" w:noVBand="1" w:val="04A0"/>
        <w:tblBorders>
          <w:top w:val="single" w:sz="6" w:space="0" w:color="E2E8F0"/>
          <w:bottom w:val="single" w:sz="8" w:space="0" w:color="E2E8F0"/>
          <w:insideH w:val="single" w:sz="4" w:space="0" w:color="E2E8F0"/>
          <w:insideV w:val="none"/>
          <w:left w:val="none"/>
          <w:right w:val="none"/>
        </w:tblBorders>
      </w:tblPr>
      <w:tblGrid>
        <w:gridCol w:w="5040"/>
        <w:gridCol w:w="5040"/>
      </w:tblGrid>
      <w:tr>
        <w:tc>
          <w:tcPr>
            <w:tcW w:type="dxa" w:w="5040"/>
            <w:shd w:fill="F8FAFC"/>
            <w:tcMar>
              <w:top w:w="50" w:type="dxa"/>
              <w:bottom w:w="50" w:type="dxa"/>
              <w:left w:w="100" w:type="dxa"/>
              <w:right w:w="100" w:type="dxa"/>
            </w:tcMar>
          </w:tcPr>
          <w:p>
            <w:r>
              <w:rPr>
                <w:rFonts w:ascii="Calibri" w:hAnsi="Calibri"/>
                <w:b/>
                <w:color w:val="0F4C3A"/>
                <w:sz w:val="17"/>
              </w:rPr>
              <w:t>1. Executive Summary &amp; Problem Statement</w:t>
            </w:r>
          </w:p>
        </w:tc>
        <w:tc>
          <w:tcPr>
            <w:tcW w:type="dxa" w:w="5040"/>
            <w:shd w:fill="F8FAFC"/>
            <w:tcMar>
              <w:top w:w="50" w:type="dxa"/>
              <w:bottom w:w="50" w:type="dxa"/>
              <w:left w:w="100" w:type="dxa"/>
              <w:right w:w="100" w:type="dxa"/>
            </w:tcMar>
          </w:tcPr>
          <w:p>
            <w:r>
              <w:rPr>
                <w:rFonts w:ascii="Calibri" w:hAnsi="Calibri"/>
                <w:color w:val="475569"/>
                <w:sz w:val="16"/>
              </w:rPr>
              <w:t>Context, Agronomic Vulnerability, Initial Conceptual Blueprint</w:t>
            </w:r>
          </w:p>
        </w:tc>
      </w:tr>
      <w:tr>
        <w:tc>
          <w:tcPr>
            <w:tcW w:type="dxa" w:w="5040"/>
            <w:shd w:fill="FFFFFF"/>
            <w:tcMar>
              <w:top w:w="50" w:type="dxa"/>
              <w:bottom w:w="50" w:type="dxa"/>
              <w:left w:w="100" w:type="dxa"/>
              <w:right w:w="100" w:type="dxa"/>
            </w:tcMar>
          </w:tcPr>
          <w:p>
            <w:r>
              <w:rPr>
                <w:rFonts w:ascii="Calibri" w:hAnsi="Calibri"/>
                <w:b/>
                <w:color w:val="0F4C3A"/>
                <w:sz w:val="17"/>
              </w:rPr>
              <w:t>2. End-to-End System Architecture</w:t>
            </w:r>
          </w:p>
        </w:tc>
        <w:tc>
          <w:tcPr>
            <w:tcW w:type="dxa" w:w="5040"/>
            <w:shd w:fill="FFFFFF"/>
            <w:tcMar>
              <w:top w:w="50" w:type="dxa"/>
              <w:bottom w:w="50" w:type="dxa"/>
              <w:left w:w="100" w:type="dxa"/>
              <w:right w:w="100" w:type="dxa"/>
            </w:tcMar>
          </w:tcPr>
          <w:p>
            <w:r>
              <w:rPr>
                <w:rFonts w:ascii="Calibri" w:hAnsi="Calibri"/>
                <w:color w:val="475569"/>
                <w:sz w:val="16"/>
              </w:rPr>
              <w:t>Data Layer, Feature Engineering, Neural Network, GIS Dashboard</w:t>
            </w:r>
          </w:p>
        </w:tc>
      </w:tr>
      <w:tr>
        <w:tc>
          <w:tcPr>
            <w:tcW w:type="dxa" w:w="5040"/>
            <w:shd w:fill="F8FAFC"/>
            <w:tcMar>
              <w:top w:w="50" w:type="dxa"/>
              <w:bottom w:w="50" w:type="dxa"/>
              <w:left w:w="100" w:type="dxa"/>
              <w:right w:w="100" w:type="dxa"/>
            </w:tcMar>
          </w:tcPr>
          <w:p>
            <w:r>
              <w:rPr>
                <w:rFonts w:ascii="Calibri" w:hAnsi="Calibri"/>
                <w:b/>
                <w:color w:val="0F4C3A"/>
                <w:sz w:val="17"/>
              </w:rPr>
              <w:t>3. Multi-Source Data Ingestion &amp; Provenance</w:t>
            </w:r>
          </w:p>
        </w:tc>
        <w:tc>
          <w:tcPr>
            <w:tcW w:type="dxa" w:w="5040"/>
            <w:shd w:fill="F8FAFC"/>
            <w:tcMar>
              <w:top w:w="50" w:type="dxa"/>
              <w:bottom w:w="50" w:type="dxa"/>
              <w:left w:w="100" w:type="dxa"/>
              <w:right w:w="100" w:type="dxa"/>
            </w:tcMar>
          </w:tcPr>
          <w:p>
            <w:r>
              <w:rPr>
                <w:rFonts w:ascii="Calibri" w:hAnsi="Calibri"/>
                <w:color w:val="475569"/>
                <w:sz w:val="16"/>
              </w:rPr>
              <w:t>DES Statistics, IMD Rainfall, NOAA ONI, Sentinel-2 L2A Rasters</w:t>
            </w:r>
          </w:p>
        </w:tc>
      </w:tr>
      <w:tr>
        <w:tc>
          <w:tcPr>
            <w:tcW w:type="dxa" w:w="5040"/>
            <w:shd w:fill="FFFFFF"/>
            <w:tcMar>
              <w:top w:w="50" w:type="dxa"/>
              <w:bottom w:w="50" w:type="dxa"/>
              <w:left w:w="100" w:type="dxa"/>
              <w:right w:w="100" w:type="dxa"/>
            </w:tcMar>
          </w:tcPr>
          <w:p>
            <w:r>
              <w:rPr>
                <w:rFonts w:ascii="Calibri" w:hAnsi="Calibri"/>
                <w:b/>
                <w:color w:val="0F4C3A"/>
                <w:sz w:val="17"/>
              </w:rPr>
              <w:t>4. Agricultural Ground Truth &amp; Olympic Baseline</w:t>
            </w:r>
          </w:p>
        </w:tc>
        <w:tc>
          <w:tcPr>
            <w:tcW w:type="dxa" w:w="5040"/>
            <w:shd w:fill="FFFFFF"/>
            <w:tcMar>
              <w:top w:w="50" w:type="dxa"/>
              <w:bottom w:w="50" w:type="dxa"/>
              <w:left w:w="100" w:type="dxa"/>
              <w:right w:w="100" w:type="dxa"/>
            </w:tcMar>
          </w:tcPr>
          <w:p>
            <w:r>
              <w:rPr>
                <w:rFonts w:ascii="Calibri" w:hAnsi="Calibri"/>
                <w:color w:val="475569"/>
                <w:sz w:val="16"/>
              </w:rPr>
              <w:t>PMFBY 5-Year Rolling Olympic Average, Mathematical Formulation</w:t>
            </w:r>
          </w:p>
        </w:tc>
      </w:tr>
      <w:tr>
        <w:tc>
          <w:tcPr>
            <w:tcW w:type="dxa" w:w="5040"/>
            <w:shd w:fill="F8FAFC"/>
            <w:tcMar>
              <w:top w:w="50" w:type="dxa"/>
              <w:bottom w:w="50" w:type="dxa"/>
              <w:left w:w="100" w:type="dxa"/>
              <w:right w:w="100" w:type="dxa"/>
            </w:tcMar>
          </w:tcPr>
          <w:p>
            <w:r>
              <w:rPr>
                <w:rFonts w:ascii="Calibri" w:hAnsi="Calibri"/>
                <w:b/>
                <w:color w:val="0F4C3A"/>
                <w:sz w:val="17"/>
              </w:rPr>
              <w:t>5. Spatiotemporal CNN–LSTM Neural Network</w:t>
            </w:r>
          </w:p>
        </w:tc>
        <w:tc>
          <w:tcPr>
            <w:tcW w:type="dxa" w:w="5040"/>
            <w:shd w:fill="F8FAFC"/>
            <w:tcMar>
              <w:top w:w="50" w:type="dxa"/>
              <w:bottom w:w="50" w:type="dxa"/>
              <w:left w:w="100" w:type="dxa"/>
              <w:right w:w="100" w:type="dxa"/>
            </w:tcMar>
          </w:tcPr>
          <w:p>
            <w:r>
              <w:rPr>
                <w:rFonts w:ascii="Calibri" w:hAnsi="Calibri"/>
                <w:color w:val="475569"/>
                <w:sz w:val="16"/>
              </w:rPr>
              <w:t>2D-CNN Spatial Extractor, BiLSTM Recurrent Modeling, BCE Loss</w:t>
            </w:r>
          </w:p>
        </w:tc>
      </w:tr>
      <w:tr>
        <w:tc>
          <w:tcPr>
            <w:tcW w:type="dxa" w:w="5040"/>
            <w:shd w:fill="FFFFFF"/>
            <w:tcMar>
              <w:top w:w="50" w:type="dxa"/>
              <w:bottom w:w="50" w:type="dxa"/>
              <w:left w:w="100" w:type="dxa"/>
              <w:right w:w="100" w:type="dxa"/>
            </w:tcMar>
          </w:tcPr>
          <w:p>
            <w:r>
              <w:rPr>
                <w:rFonts w:ascii="Calibri" w:hAnsi="Calibri"/>
                <w:b/>
                <w:color w:val="0F4C3A"/>
                <w:sz w:val="17"/>
              </w:rPr>
              <w:t>6. Crop Conditioning &amp; Cropland Proxy Disclosure</w:t>
            </w:r>
          </w:p>
        </w:tc>
        <w:tc>
          <w:tcPr>
            <w:tcW w:type="dxa" w:w="5040"/>
            <w:shd w:fill="FFFFFF"/>
            <w:tcMar>
              <w:top w:w="50" w:type="dxa"/>
              <w:bottom w:w="50" w:type="dxa"/>
              <w:left w:w="100" w:type="dxa"/>
              <w:right w:w="100" w:type="dxa"/>
            </w:tcMar>
          </w:tcPr>
          <w:p>
            <w:r>
              <w:rPr>
                <w:rFonts w:ascii="Calibri" w:hAnsi="Calibri"/>
                <w:color w:val="475569"/>
                <w:sz w:val="16"/>
              </w:rPr>
              <w:t>6D One-Hot Representation, Regional Canopy Proxy vs Parcel Segmentation</w:t>
            </w:r>
          </w:p>
        </w:tc>
      </w:tr>
      <w:tr>
        <w:tc>
          <w:tcPr>
            <w:tcW w:type="dxa" w:w="5040"/>
            <w:shd w:fill="F8FAFC"/>
            <w:tcMar>
              <w:top w:w="50" w:type="dxa"/>
              <w:bottom w:w="50" w:type="dxa"/>
              <w:left w:w="100" w:type="dxa"/>
              <w:right w:w="100" w:type="dxa"/>
            </w:tcMar>
          </w:tcPr>
          <w:p>
            <w:r>
              <w:rPr>
                <w:rFonts w:ascii="Calibri" w:hAnsi="Calibri"/>
                <w:b/>
                <w:color w:val="0F4C3A"/>
                <w:sz w:val="17"/>
              </w:rPr>
              <w:t>7. Leave-One-Season-Out (LOSO) Validation</w:t>
            </w:r>
          </w:p>
        </w:tc>
        <w:tc>
          <w:tcPr>
            <w:tcW w:type="dxa" w:w="5040"/>
            <w:shd w:fill="F8FAFC"/>
            <w:tcMar>
              <w:top w:w="50" w:type="dxa"/>
              <w:bottom w:w="50" w:type="dxa"/>
              <w:left w:w="100" w:type="dxa"/>
              <w:right w:w="100" w:type="dxa"/>
            </w:tcMar>
          </w:tcPr>
          <w:p>
            <w:r>
              <w:rPr>
                <w:rFonts w:ascii="Calibri" w:hAnsi="Calibri"/>
                <w:color w:val="475569"/>
                <w:sz w:val="16"/>
              </w:rPr>
              <w:t>Out-of-Season Evaluation (2019-2022), Per-Crop Metrics, Confusion Matrices</w:t>
            </w:r>
          </w:p>
        </w:tc>
      </w:tr>
      <w:tr>
        <w:tc>
          <w:tcPr>
            <w:tcW w:type="dxa" w:w="5040"/>
            <w:shd w:fill="FFFFFF"/>
            <w:tcMar>
              <w:top w:w="50" w:type="dxa"/>
              <w:bottom w:w="50" w:type="dxa"/>
              <w:left w:w="100" w:type="dxa"/>
              <w:right w:w="100" w:type="dxa"/>
            </w:tcMar>
          </w:tcPr>
          <w:p>
            <w:r>
              <w:rPr>
                <w:rFonts w:ascii="Calibri" w:hAnsi="Calibri"/>
                <w:b/>
                <w:color w:val="0F4C3A"/>
                <w:sz w:val="17"/>
              </w:rPr>
              <w:t>8. Geospatial Satellite Terrain Pipeline</w:t>
            </w:r>
          </w:p>
        </w:tc>
        <w:tc>
          <w:tcPr>
            <w:tcW w:type="dxa" w:w="5040"/>
            <w:shd w:fill="FFFFFF"/>
            <w:tcMar>
              <w:top w:w="50" w:type="dxa"/>
              <w:bottom w:w="50" w:type="dxa"/>
              <w:left w:w="100" w:type="dxa"/>
              <w:right w:w="100" w:type="dxa"/>
            </w:tcMar>
          </w:tcPr>
          <w:p>
            <w:r>
              <w:rPr>
                <w:rFonts w:ascii="Calibri" w:hAnsi="Calibri"/>
                <w:color w:val="475569"/>
                <w:sz w:val="16"/>
              </w:rPr>
              <w:t>Google Earth Engine MODIS Export, High-Res Blending, SVG Alignment</w:t>
            </w:r>
          </w:p>
        </w:tc>
      </w:tr>
      <w:tr>
        <w:tc>
          <w:tcPr>
            <w:tcW w:type="dxa" w:w="5040"/>
            <w:shd w:fill="F8FAFC"/>
            <w:tcMar>
              <w:top w:w="50" w:type="dxa"/>
              <w:bottom w:w="50" w:type="dxa"/>
              <w:left w:w="100" w:type="dxa"/>
              <w:right w:w="100" w:type="dxa"/>
            </w:tcMar>
          </w:tcPr>
          <w:p>
            <w:r>
              <w:rPr>
                <w:rFonts w:ascii="Calibri" w:hAnsi="Calibri"/>
                <w:b/>
                <w:color w:val="0F4C3A"/>
                <w:sz w:val="17"/>
              </w:rPr>
              <w:t>9. Frontend Decision-Support Dashboard</w:t>
            </w:r>
          </w:p>
        </w:tc>
        <w:tc>
          <w:tcPr>
            <w:tcW w:type="dxa" w:w="5040"/>
            <w:shd w:fill="F8FAFC"/>
            <w:tcMar>
              <w:top w:w="50" w:type="dxa"/>
              <w:bottom w:w="50" w:type="dxa"/>
              <w:left w:w="100" w:type="dxa"/>
              <w:right w:w="100" w:type="dxa"/>
            </w:tcMar>
          </w:tcPr>
          <w:p>
            <w:r>
              <w:rPr>
                <w:rFonts w:ascii="Calibri" w:hAnsi="Calibri"/>
                <w:color w:val="475569"/>
                <w:sz w:val="16"/>
              </w:rPr>
              <w:t>React 18 Architecture, SVG Choropleth Map, Dual-Axis Analytics</w:t>
            </w:r>
          </w:p>
        </w:tc>
      </w:tr>
      <w:tr>
        <w:tc>
          <w:tcPr>
            <w:tcW w:type="dxa" w:w="5040"/>
            <w:shd w:fill="FFFFFF"/>
            <w:tcMar>
              <w:top w:w="50" w:type="dxa"/>
              <w:bottom w:w="50" w:type="dxa"/>
              <w:left w:w="100" w:type="dxa"/>
              <w:right w:w="100" w:type="dxa"/>
            </w:tcMar>
          </w:tcPr>
          <w:p>
            <w:r>
              <w:rPr>
                <w:rFonts w:ascii="Calibri" w:hAnsi="Calibri"/>
                <w:b/>
                <w:color w:val="0F4C3A"/>
                <w:sz w:val="17"/>
              </w:rPr>
              <w:t>10. Future Climate Shock Simulator</w:t>
            </w:r>
          </w:p>
        </w:tc>
        <w:tc>
          <w:tcPr>
            <w:tcW w:type="dxa" w:w="5040"/>
            <w:shd w:fill="FFFFFF"/>
            <w:tcMar>
              <w:top w:w="50" w:type="dxa"/>
              <w:bottom w:w="50" w:type="dxa"/>
              <w:left w:w="100" w:type="dxa"/>
              <w:right w:w="100" w:type="dxa"/>
            </w:tcMar>
          </w:tcPr>
          <w:p>
            <w:r>
              <w:rPr>
                <w:rFonts w:ascii="Calibri" w:hAnsi="Calibri"/>
                <w:color w:val="475569"/>
                <w:sz w:val="16"/>
              </w:rPr>
              <w:t>Synthetic ENSO SST Warming Shocks (+0.5°C to +2.5°C), Policy Implications</w:t>
            </w:r>
          </w:p>
        </w:tc>
      </w:tr>
      <w:tr>
        <w:tc>
          <w:tcPr>
            <w:tcW w:type="dxa" w:w="5040"/>
            <w:shd w:fill="F8FAFC"/>
            <w:tcMar>
              <w:top w:w="50" w:type="dxa"/>
              <w:bottom w:w="50" w:type="dxa"/>
              <w:left w:w="100" w:type="dxa"/>
              <w:right w:w="100" w:type="dxa"/>
            </w:tcMar>
          </w:tcPr>
          <w:p>
            <w:r>
              <w:rPr>
                <w:rFonts w:ascii="Calibri" w:hAnsi="Calibri"/>
                <w:b/>
                <w:color w:val="0F4C3A"/>
                <w:sz w:val="17"/>
              </w:rPr>
              <w:t>11. Deployment, Reproduction &amp; Code Inventory</w:t>
            </w:r>
          </w:p>
        </w:tc>
        <w:tc>
          <w:tcPr>
            <w:tcW w:type="dxa" w:w="5040"/>
            <w:shd w:fill="F8FAFC"/>
            <w:tcMar>
              <w:top w:w="50" w:type="dxa"/>
              <w:bottom w:w="50" w:type="dxa"/>
              <w:left w:w="100" w:type="dxa"/>
              <w:right w:w="100" w:type="dxa"/>
            </w:tcMar>
          </w:tcPr>
          <w:p>
            <w:r>
              <w:rPr>
                <w:rFonts w:ascii="Calibri" w:hAnsi="Calibri"/>
                <w:color w:val="475569"/>
                <w:sz w:val="16"/>
              </w:rPr>
              <w:t>Environment Setup, Training Execution, Hugging Face Hub Data Sync</w:t>
            </w:r>
          </w:p>
        </w:tc>
      </w:tr>
    </w:tbl>
    <w:p>
      <w:pPr>
        <w:spacing w:after="200"/>
      </w:pPr>
    </w:p>
    <w:p>
      <w:pPr>
        <w:pStyle w:val="Heading1"/>
        <w:keepNext/>
        <w:spacing w:before="320" w:after="120"/>
      </w:pPr>
      <w:r>
        <w:rPr>
          <w:rFonts w:ascii="Calibri" w:hAnsi="Calibri"/>
          <w:b/>
          <w:color w:val="0F4C3A"/>
          <w:sz w:val="33"/>
        </w:rPr>
        <w:t>1. Executive Summary &amp; Problem Statement</w:t>
      </w:r>
    </w:p>
    <w:p>
      <w:pPr>
        <w:spacing w:line="276" w:lineRule="auto" w:before="0" w:after="100"/>
      </w:pPr>
      <w:r>
        <w:rPr>
          <w:rFonts w:ascii="Calibri" w:hAnsi="Calibri"/>
          <w:color w:val="1E293B"/>
          <w:sz w:val="20"/>
        </w:rPr>
        <w:t>Maharashtra is among India's foremost agricultural agrarian economies, producing a significant share of the nation's pulses, oilseeds, cotton, and staple coarse cereals. However, over 70% of Maharashtra's cultivated Kharif acreage is completely rainfed and intensely vulnerable to meteorological anomalies driven by the El Niño Southern Oscillation (ENSO) and the Indian Ocean Dipole (IOD). Anomalous positive sea-surface temperature warming in the equatorial Pacific (Niño 3.4 index) disrupts the seasonal monsoon trough, delaying onset, inducing prolonged in-season dry spells, and depleting root-zone soil moisture. This manifests in catastrophic yield shocks across staple Kharif crops: Rice in the Konkan coastal belt and eastern Vidarbha, Soybean across Marathwada, Cotton in Vidarbha, and coarse cereals (Bajra and Jowar) in the rain-shadow western plateau.</w:t>
      </w:r>
    </w:p>
    <w:p>
      <w:pPr>
        <w:spacing w:line="276" w:lineRule="auto" w:before="0" w:after="100"/>
      </w:pPr>
      <w:r>
        <w:rPr>
          <w:rFonts w:ascii="Calibri" w:hAnsi="Calibri"/>
          <w:color w:val="1E293B"/>
          <w:sz w:val="20"/>
        </w:rPr>
        <w:t>Historically, agricultural disaster management and crop insurance under the Pradhan Mantri Fasal Bima Yojana (PMFBY) have relied on post-harvest manual Crop Cutting Experiments (CCEs). This legacy approach introduces severe administrative delays (often 4 to 9 months post-harvest), human measurement errors, and a total inability to execute preventive in-season agronomic interventions. This capstone engineering research project addresses these critical challenges by conceiving, training, and deploying a unified spatiotemporal deep learning framework that provides automated, in-season crop failure early warnings.</w:t>
      </w:r>
    </w:p>
    <w:p>
      <w:pPr>
        <w:pStyle w:val="Heading3"/>
        <w:keepNext/>
        <w:spacing w:before="160" w:after="40"/>
      </w:pPr>
      <w:r>
        <w:rPr>
          <w:rFonts w:ascii="Calibri" w:hAnsi="Calibri"/>
          <w:b/>
          <w:color w:val="1E293B"/>
          <w:sz w:val="21"/>
        </w:rPr>
        <w:t>Table 1.1: Core Engineering &amp; Algorithmic Summary Metrics</w:t>
      </w:r>
    </w:p>
    <w:tbl>
      <w:tblPr>
        <w:tblW w:type="auto" w:w="0"/>
        <w:jc w:val="center"/>
        <w:tblLook w:firstColumn="1" w:firstRow="1" w:lastColumn="0" w:lastRow="0" w:noHBand="0" w:noVBand="1" w:val="04A0"/>
        <w:tblBorders>
          <w:top w:val="single" w:sz="6" w:space="0" w:color="CBD5E1"/>
          <w:bottom w:val="single" w:sz="8" w:space="0" w:color="CBD5E1"/>
          <w:insideH w:val="single" w:sz="4" w:space="0" w:color="CBD5E1"/>
          <w:insideV w:val="none"/>
          <w:left w:val="none"/>
          <w:right w:val="none"/>
        </w:tblBorders>
      </w:tblPr>
      <w:tblGrid>
        <w:gridCol w:w="2520"/>
        <w:gridCol w:w="2520"/>
        <w:gridCol w:w="2520"/>
        <w:gridCol w:w="2520"/>
      </w:tblGrid>
      <w:tr>
        <w:tc>
          <w:tcPr>
            <w:tcW w:type="dxa" w:w="2520"/>
            <w:shd w:fill="0F4C3A"/>
            <w:tcMar>
              <w:top w:w="80" w:type="dxa"/>
              <w:bottom w:w="80" w:type="dxa"/>
              <w:left w:w="100" w:type="dxa"/>
              <w:right w:w="100" w:type="dxa"/>
            </w:tcMar>
          </w:tcPr>
          <w:p>
            <w:r>
              <w:rPr>
                <w:rFonts w:ascii="Calibri" w:hAnsi="Calibri"/>
                <w:b/>
                <w:color w:val="FFFFFF"/>
                <w:sz w:val="16"/>
              </w:rPr>
              <w:t>Metric / Dimension</w:t>
            </w:r>
          </w:p>
        </w:tc>
        <w:tc>
          <w:tcPr>
            <w:tcW w:type="dxa" w:w="2520"/>
            <w:shd w:fill="0F4C3A"/>
            <w:tcMar>
              <w:top w:w="80" w:type="dxa"/>
              <w:bottom w:w="80" w:type="dxa"/>
              <w:left w:w="100" w:type="dxa"/>
              <w:right w:w="100" w:type="dxa"/>
            </w:tcMar>
          </w:tcPr>
          <w:p>
            <w:r>
              <w:rPr>
                <w:rFonts w:ascii="Calibri" w:hAnsi="Calibri"/>
                <w:b/>
                <w:color w:val="FFFFFF"/>
                <w:sz w:val="16"/>
              </w:rPr>
              <w:t>Production Specification</w:t>
            </w:r>
          </w:p>
        </w:tc>
        <w:tc>
          <w:tcPr>
            <w:tcW w:type="dxa" w:w="2520"/>
            <w:shd w:fill="0F4C3A"/>
            <w:tcMar>
              <w:top w:w="80" w:type="dxa"/>
              <w:bottom w:w="80" w:type="dxa"/>
              <w:left w:w="100" w:type="dxa"/>
              <w:right w:w="100" w:type="dxa"/>
            </w:tcMar>
          </w:tcPr>
          <w:p>
            <w:r>
              <w:rPr>
                <w:rFonts w:ascii="Calibri" w:hAnsi="Calibri"/>
                <w:b/>
                <w:color w:val="FFFFFF"/>
                <w:sz w:val="16"/>
              </w:rPr>
              <w:t>Validation Baseline</w:t>
            </w:r>
          </w:p>
        </w:tc>
        <w:tc>
          <w:tcPr>
            <w:tcW w:type="dxa" w:w="2520"/>
            <w:shd w:fill="0F4C3A"/>
            <w:tcMar>
              <w:top w:w="80" w:type="dxa"/>
              <w:bottom w:w="80" w:type="dxa"/>
              <w:left w:w="100" w:type="dxa"/>
              <w:right w:w="100" w:type="dxa"/>
            </w:tcMar>
          </w:tcPr>
          <w:p>
            <w:r>
              <w:rPr>
                <w:rFonts w:ascii="Calibri" w:hAnsi="Calibri"/>
                <w:b/>
                <w:color w:val="FFFFFF"/>
                <w:sz w:val="16"/>
              </w:rPr>
              <w:t>Significance</w:t>
            </w:r>
          </w:p>
        </w:tc>
      </w:tr>
      <w:tr>
        <w:tc>
          <w:tcPr>
            <w:tcW w:type="dxa" w:w="2520"/>
            <w:shd w:fill="F8FAFC"/>
            <w:tcMar>
              <w:top w:w="60" w:type="dxa"/>
              <w:bottom w:w="60" w:type="dxa"/>
              <w:left w:w="100" w:type="dxa"/>
              <w:right w:w="100" w:type="dxa"/>
            </w:tcMar>
          </w:tcPr>
          <w:p>
            <w:r>
              <w:rPr>
                <w:rFonts w:ascii="Calibri" w:hAnsi="Calibri"/>
                <w:b/>
                <w:color w:val="1E293B"/>
                <w:sz w:val="16"/>
              </w:rPr>
              <w:t>Geographic Extent</w:t>
            </w:r>
          </w:p>
        </w:tc>
        <w:tc>
          <w:tcPr>
            <w:tcW w:type="dxa" w:w="2520"/>
            <w:shd w:fill="F8FAFC"/>
            <w:tcMar>
              <w:top w:w="60" w:type="dxa"/>
              <w:bottom w:w="60" w:type="dxa"/>
              <w:left w:w="100" w:type="dxa"/>
              <w:right w:w="100" w:type="dxa"/>
            </w:tcMar>
          </w:tcPr>
          <w:p>
            <w:r>
              <w:rPr>
                <w:rFonts w:ascii="Calibri" w:hAnsi="Calibri"/>
                <w:color w:val="1E293B"/>
                <w:sz w:val="16"/>
              </w:rPr>
              <w:t>36 Districts of Maharashtra</w:t>
            </w:r>
          </w:p>
        </w:tc>
        <w:tc>
          <w:tcPr>
            <w:tcW w:type="dxa" w:w="2520"/>
            <w:shd w:fill="F8FAFC"/>
            <w:tcMar>
              <w:top w:w="60" w:type="dxa"/>
              <w:bottom w:w="60" w:type="dxa"/>
              <w:left w:w="100" w:type="dxa"/>
              <w:right w:w="100" w:type="dxa"/>
            </w:tcMar>
          </w:tcPr>
          <w:p>
            <w:r>
              <w:rPr>
                <w:rFonts w:ascii="Calibri" w:hAnsi="Calibri"/>
                <w:color w:val="1E293B"/>
                <w:sz w:val="16"/>
              </w:rPr>
              <w:t>DES Harvest Records (1966–2023)</w:t>
            </w:r>
          </w:p>
        </w:tc>
        <w:tc>
          <w:tcPr>
            <w:tcW w:type="dxa" w:w="2520"/>
            <w:shd w:fill="F8FAFC"/>
            <w:tcMar>
              <w:top w:w="60" w:type="dxa"/>
              <w:bottom w:w="60" w:type="dxa"/>
              <w:left w:w="100" w:type="dxa"/>
              <w:right w:w="100" w:type="dxa"/>
            </w:tcMar>
          </w:tcPr>
          <w:p>
            <w:r>
              <w:rPr>
                <w:rFonts w:ascii="Calibri" w:hAnsi="Calibri"/>
                <w:color w:val="1E293B"/>
                <w:sz w:val="16"/>
              </w:rPr>
              <w:t>Complete state-level coverage</w:t>
            </w:r>
          </w:p>
        </w:tc>
      </w:tr>
      <w:tr>
        <w:tc>
          <w:tcPr>
            <w:tcW w:type="dxa" w:w="2520"/>
            <w:shd w:fill="FFFFFF"/>
            <w:tcMar>
              <w:top w:w="60" w:type="dxa"/>
              <w:bottom w:w="60" w:type="dxa"/>
              <w:left w:w="100" w:type="dxa"/>
              <w:right w:w="100" w:type="dxa"/>
            </w:tcMar>
          </w:tcPr>
          <w:p>
            <w:r>
              <w:rPr>
                <w:rFonts w:ascii="Calibri" w:hAnsi="Calibri"/>
                <w:b/>
                <w:color w:val="1E293B"/>
                <w:sz w:val="16"/>
              </w:rPr>
              <w:t>Crop Multi-Modal Space</w:t>
            </w:r>
          </w:p>
        </w:tc>
        <w:tc>
          <w:tcPr>
            <w:tcW w:type="dxa" w:w="2520"/>
            <w:shd w:fill="FFFFFF"/>
            <w:tcMar>
              <w:top w:w="60" w:type="dxa"/>
              <w:bottom w:w="60" w:type="dxa"/>
              <w:left w:w="100" w:type="dxa"/>
              <w:right w:w="100" w:type="dxa"/>
            </w:tcMar>
          </w:tcPr>
          <w:p>
            <w:r>
              <w:rPr>
                <w:rFonts w:ascii="Calibri" w:hAnsi="Calibri"/>
                <w:color w:val="1E293B"/>
                <w:sz w:val="16"/>
              </w:rPr>
              <w:t>6 Primary Kharif Crops</w:t>
            </w:r>
          </w:p>
        </w:tc>
        <w:tc>
          <w:tcPr>
            <w:tcW w:type="dxa" w:w="2520"/>
            <w:shd w:fill="FFFFFF"/>
            <w:tcMar>
              <w:top w:w="60" w:type="dxa"/>
              <w:bottom w:w="60" w:type="dxa"/>
              <w:left w:w="100" w:type="dxa"/>
              <w:right w:w="100" w:type="dxa"/>
            </w:tcMar>
          </w:tcPr>
          <w:p>
            <w:r>
              <w:rPr>
                <w:rFonts w:ascii="Calibri" w:hAnsi="Calibri"/>
                <w:color w:val="1E293B"/>
                <w:sz w:val="16"/>
              </w:rPr>
              <w:t>One-Hot Conditioned Vector</w:t>
            </w:r>
          </w:p>
        </w:tc>
        <w:tc>
          <w:tcPr>
            <w:tcW w:type="dxa" w:w="2520"/>
            <w:shd w:fill="FFFFFF"/>
            <w:tcMar>
              <w:top w:w="60" w:type="dxa"/>
              <w:bottom w:w="60" w:type="dxa"/>
              <w:left w:w="100" w:type="dxa"/>
              <w:right w:w="100" w:type="dxa"/>
            </w:tcMar>
          </w:tcPr>
          <w:p>
            <w:r>
              <w:rPr>
                <w:rFonts w:ascii="Calibri" w:hAnsi="Calibri"/>
                <w:color w:val="1E293B"/>
                <w:sz w:val="16"/>
              </w:rPr>
              <w:t>Rice, Soybean, Cotton, Bajra, Jowar, Tur</w:t>
            </w:r>
          </w:p>
        </w:tc>
      </w:tr>
      <w:tr>
        <w:tc>
          <w:tcPr>
            <w:tcW w:type="dxa" w:w="2520"/>
            <w:shd w:fill="F8FAFC"/>
            <w:tcMar>
              <w:top w:w="60" w:type="dxa"/>
              <w:bottom w:w="60" w:type="dxa"/>
              <w:left w:w="100" w:type="dxa"/>
              <w:right w:w="100" w:type="dxa"/>
            </w:tcMar>
          </w:tcPr>
          <w:p>
            <w:r>
              <w:rPr>
                <w:rFonts w:ascii="Calibri" w:hAnsi="Calibri"/>
                <w:b/>
                <w:color w:val="1E293B"/>
                <w:sz w:val="16"/>
              </w:rPr>
              <w:t>Historical Data Depth</w:t>
            </w:r>
          </w:p>
        </w:tc>
        <w:tc>
          <w:tcPr>
            <w:tcW w:type="dxa" w:w="2520"/>
            <w:shd w:fill="F8FAFC"/>
            <w:tcMar>
              <w:top w:w="60" w:type="dxa"/>
              <w:bottom w:w="60" w:type="dxa"/>
              <w:left w:w="100" w:type="dxa"/>
              <w:right w:w="100" w:type="dxa"/>
            </w:tcMar>
          </w:tcPr>
          <w:p>
            <w:r>
              <w:rPr>
                <w:rFonts w:ascii="Calibri" w:hAnsi="Calibri"/>
                <w:color w:val="1E293B"/>
                <w:sz w:val="16"/>
              </w:rPr>
              <w:t>9,078 District-Crop Records</w:t>
            </w:r>
          </w:p>
        </w:tc>
        <w:tc>
          <w:tcPr>
            <w:tcW w:type="dxa" w:w="2520"/>
            <w:shd w:fill="F8FAFC"/>
            <w:tcMar>
              <w:top w:w="60" w:type="dxa"/>
              <w:bottom w:w="60" w:type="dxa"/>
              <w:left w:w="100" w:type="dxa"/>
              <w:right w:w="100" w:type="dxa"/>
            </w:tcMar>
          </w:tcPr>
          <w:p>
            <w:r>
              <w:rPr>
                <w:rFonts w:ascii="Calibri" w:hAnsi="Calibri"/>
                <w:color w:val="1E293B"/>
                <w:sz w:val="16"/>
              </w:rPr>
              <w:t>58 Continuous Seasons</w:t>
            </w:r>
          </w:p>
        </w:tc>
        <w:tc>
          <w:tcPr>
            <w:tcW w:type="dxa" w:w="2520"/>
            <w:shd w:fill="F8FAFC"/>
            <w:tcMar>
              <w:top w:w="60" w:type="dxa"/>
              <w:bottom w:w="60" w:type="dxa"/>
              <w:left w:w="100" w:type="dxa"/>
              <w:right w:w="100" w:type="dxa"/>
            </w:tcMar>
          </w:tcPr>
          <w:p>
            <w:r>
              <w:rPr>
                <w:rFonts w:ascii="Calibri" w:hAnsi="Calibri"/>
                <w:color w:val="1E293B"/>
                <w:sz w:val="16"/>
              </w:rPr>
              <w:t>Authoritative ground truth foundation</w:t>
            </w:r>
          </w:p>
        </w:tc>
      </w:tr>
      <w:tr>
        <w:tc>
          <w:tcPr>
            <w:tcW w:type="dxa" w:w="2520"/>
            <w:shd w:fill="FFFFFF"/>
            <w:tcMar>
              <w:top w:w="60" w:type="dxa"/>
              <w:bottom w:w="60" w:type="dxa"/>
              <w:left w:w="100" w:type="dxa"/>
              <w:right w:w="100" w:type="dxa"/>
            </w:tcMar>
          </w:tcPr>
          <w:p>
            <w:r>
              <w:rPr>
                <w:rFonts w:ascii="Calibri" w:hAnsi="Calibri"/>
                <w:b/>
                <w:color w:val="1E293B"/>
                <w:sz w:val="16"/>
              </w:rPr>
              <w:t>Satellite Channels</w:t>
            </w:r>
          </w:p>
        </w:tc>
        <w:tc>
          <w:tcPr>
            <w:tcW w:type="dxa" w:w="2520"/>
            <w:shd w:fill="FFFFFF"/>
            <w:tcMar>
              <w:top w:w="60" w:type="dxa"/>
              <w:bottom w:w="60" w:type="dxa"/>
              <w:left w:w="100" w:type="dxa"/>
              <w:right w:w="100" w:type="dxa"/>
            </w:tcMar>
          </w:tcPr>
          <w:p>
            <w:r>
              <w:rPr>
                <w:rFonts w:ascii="Calibri" w:hAnsi="Calibri"/>
                <w:color w:val="1E293B"/>
                <w:sz w:val="16"/>
              </w:rPr>
              <w:t>8 Spectral Bands (10m–20m)</w:t>
            </w:r>
          </w:p>
        </w:tc>
        <w:tc>
          <w:tcPr>
            <w:tcW w:type="dxa" w:w="2520"/>
            <w:shd w:fill="FFFFFF"/>
            <w:tcMar>
              <w:top w:w="60" w:type="dxa"/>
              <w:bottom w:w="60" w:type="dxa"/>
              <w:left w:w="100" w:type="dxa"/>
              <w:right w:w="100" w:type="dxa"/>
            </w:tcMar>
          </w:tcPr>
          <w:p>
            <w:r>
              <w:rPr>
                <w:rFonts w:ascii="Calibri" w:hAnsi="Calibri"/>
                <w:color w:val="1E293B"/>
                <w:sz w:val="16"/>
              </w:rPr>
              <w:t>6 Fortnightly Kharif Windows</w:t>
            </w:r>
          </w:p>
        </w:tc>
        <w:tc>
          <w:tcPr>
            <w:tcW w:type="dxa" w:w="2520"/>
            <w:shd w:fill="FFFFFF"/>
            <w:tcMar>
              <w:top w:w="60" w:type="dxa"/>
              <w:bottom w:w="60" w:type="dxa"/>
              <w:left w:w="100" w:type="dxa"/>
              <w:right w:w="100" w:type="dxa"/>
            </w:tcMar>
          </w:tcPr>
          <w:p>
            <w:r>
              <w:rPr>
                <w:rFonts w:ascii="Calibri" w:hAnsi="Calibri"/>
                <w:color w:val="1E293B"/>
                <w:sz w:val="16"/>
              </w:rPr>
              <w:t>B2, B3, B4, B8, B11, B12, NDVI, NDWI</w:t>
            </w:r>
          </w:p>
        </w:tc>
      </w:tr>
      <w:tr>
        <w:tc>
          <w:tcPr>
            <w:tcW w:type="dxa" w:w="2520"/>
            <w:shd w:fill="F8FAFC"/>
            <w:tcMar>
              <w:top w:w="60" w:type="dxa"/>
              <w:bottom w:w="60" w:type="dxa"/>
              <w:left w:w="100" w:type="dxa"/>
              <w:right w:w="100" w:type="dxa"/>
            </w:tcMar>
          </w:tcPr>
          <w:p>
            <w:r>
              <w:rPr>
                <w:rFonts w:ascii="Calibri" w:hAnsi="Calibri"/>
                <w:b/>
                <w:color w:val="1E293B"/>
                <w:sz w:val="16"/>
              </w:rPr>
              <w:t>LOSO Failure Recall</w:t>
            </w:r>
          </w:p>
        </w:tc>
        <w:tc>
          <w:tcPr>
            <w:tcW w:type="dxa" w:w="2520"/>
            <w:shd w:fill="F8FAFC"/>
            <w:tcMar>
              <w:top w:w="60" w:type="dxa"/>
              <w:bottom w:w="60" w:type="dxa"/>
              <w:left w:w="100" w:type="dxa"/>
              <w:right w:w="100" w:type="dxa"/>
            </w:tcMar>
          </w:tcPr>
          <w:p>
            <w:r>
              <w:rPr>
                <w:rFonts w:ascii="Calibri" w:hAnsi="Calibri"/>
                <w:color w:val="1E293B"/>
                <w:sz w:val="16"/>
              </w:rPr>
              <w:t>98.3% (59 / 60 Disasters Caught)</w:t>
            </w:r>
          </w:p>
        </w:tc>
        <w:tc>
          <w:tcPr>
            <w:tcW w:type="dxa" w:w="2520"/>
            <w:shd w:fill="F8FAFC"/>
            <w:tcMar>
              <w:top w:w="60" w:type="dxa"/>
              <w:bottom w:w="60" w:type="dxa"/>
              <w:left w:w="100" w:type="dxa"/>
              <w:right w:w="100" w:type="dxa"/>
            </w:tcMar>
          </w:tcPr>
          <w:p>
            <w:r>
              <w:rPr>
                <w:rFonts w:ascii="Calibri" w:hAnsi="Calibri"/>
                <w:color w:val="1E293B"/>
                <w:sz w:val="16"/>
              </w:rPr>
              <w:t>Zero Temporal Leakage Holdouts</w:t>
            </w:r>
          </w:p>
        </w:tc>
        <w:tc>
          <w:tcPr>
            <w:tcW w:type="dxa" w:w="2520"/>
            <w:shd w:fill="F8FAFC"/>
            <w:tcMar>
              <w:top w:w="60" w:type="dxa"/>
              <w:bottom w:w="60" w:type="dxa"/>
              <w:left w:w="100" w:type="dxa"/>
              <w:right w:w="100" w:type="dxa"/>
            </w:tcMar>
          </w:tcPr>
          <w:p>
            <w:r>
              <w:rPr>
                <w:rFonts w:ascii="Calibri" w:hAnsi="Calibri"/>
                <w:color w:val="1E293B"/>
                <w:sz w:val="16"/>
              </w:rPr>
              <w:t>Prioritizes zero false negatives</w:t>
            </w:r>
          </w:p>
        </w:tc>
      </w:tr>
      <w:tr>
        <w:tc>
          <w:tcPr>
            <w:tcW w:type="dxa" w:w="2520"/>
            <w:shd w:fill="FFFFFF"/>
            <w:tcMar>
              <w:top w:w="60" w:type="dxa"/>
              <w:bottom w:w="60" w:type="dxa"/>
              <w:left w:w="100" w:type="dxa"/>
              <w:right w:w="100" w:type="dxa"/>
            </w:tcMar>
          </w:tcPr>
          <w:p>
            <w:r>
              <w:rPr>
                <w:rFonts w:ascii="Calibri" w:hAnsi="Calibri"/>
                <w:b/>
                <w:color w:val="1E293B"/>
                <w:sz w:val="16"/>
              </w:rPr>
              <w:t>Overall Model ROC-AUC</w:t>
            </w:r>
          </w:p>
        </w:tc>
        <w:tc>
          <w:tcPr>
            <w:tcW w:type="dxa" w:w="2520"/>
            <w:shd w:fill="FFFFFF"/>
            <w:tcMar>
              <w:top w:w="60" w:type="dxa"/>
              <w:bottom w:w="60" w:type="dxa"/>
              <w:left w:w="100" w:type="dxa"/>
              <w:right w:w="100" w:type="dxa"/>
            </w:tcMar>
          </w:tcPr>
          <w:p>
            <w:r>
              <w:rPr>
                <w:rFonts w:ascii="Calibri" w:hAnsi="Calibri"/>
                <w:color w:val="1E293B"/>
                <w:sz w:val="16"/>
              </w:rPr>
              <w:t>0.987 Across 320 Seasons</w:t>
            </w:r>
          </w:p>
        </w:tc>
        <w:tc>
          <w:tcPr>
            <w:tcW w:type="dxa" w:w="2520"/>
            <w:shd w:fill="FFFFFF"/>
            <w:tcMar>
              <w:top w:w="60" w:type="dxa"/>
              <w:bottom w:w="60" w:type="dxa"/>
              <w:left w:w="100" w:type="dxa"/>
              <w:right w:w="100" w:type="dxa"/>
            </w:tcMar>
          </w:tcPr>
          <w:p>
            <w:r>
              <w:rPr>
                <w:rFonts w:ascii="Calibri" w:hAnsi="Calibri"/>
                <w:color w:val="1E293B"/>
                <w:sz w:val="16"/>
              </w:rPr>
              <w:t>Class-Weighted BCE Loss</w:t>
            </w:r>
          </w:p>
        </w:tc>
        <w:tc>
          <w:tcPr>
            <w:tcW w:type="dxa" w:w="2520"/>
            <w:shd w:fill="FFFFFF"/>
            <w:tcMar>
              <w:top w:w="60" w:type="dxa"/>
              <w:bottom w:w="60" w:type="dxa"/>
              <w:left w:w="100" w:type="dxa"/>
              <w:right w:w="100" w:type="dxa"/>
            </w:tcMar>
          </w:tcPr>
          <w:p>
            <w:r>
              <w:rPr>
                <w:rFonts w:ascii="Calibri" w:hAnsi="Calibri"/>
                <w:color w:val="1E293B"/>
                <w:sz w:val="16"/>
              </w:rPr>
              <w:t>Exceptional class separability</w:t>
            </w:r>
          </w:p>
        </w:tc>
      </w:tr>
      <w:tr>
        <w:tc>
          <w:tcPr>
            <w:tcW w:type="dxa" w:w="2520"/>
            <w:shd w:fill="F8FAFC"/>
            <w:tcMar>
              <w:top w:w="60" w:type="dxa"/>
              <w:bottom w:w="60" w:type="dxa"/>
              <w:left w:w="100" w:type="dxa"/>
              <w:right w:w="100" w:type="dxa"/>
            </w:tcMar>
          </w:tcPr>
          <w:p>
            <w:r>
              <w:rPr>
                <w:rFonts w:ascii="Calibri" w:hAnsi="Calibri"/>
                <w:b/>
                <w:color w:val="1E293B"/>
                <w:sz w:val="16"/>
              </w:rPr>
              <w:t>Dashboard Latency</w:t>
            </w:r>
          </w:p>
        </w:tc>
        <w:tc>
          <w:tcPr>
            <w:tcW w:type="dxa" w:w="2520"/>
            <w:shd w:fill="F8FAFC"/>
            <w:tcMar>
              <w:top w:w="60" w:type="dxa"/>
              <w:bottom w:w="60" w:type="dxa"/>
              <w:left w:w="100" w:type="dxa"/>
              <w:right w:w="100" w:type="dxa"/>
            </w:tcMar>
          </w:tcPr>
          <w:p>
            <w:r>
              <w:rPr>
                <w:rFonts w:ascii="Calibri" w:hAnsi="Calibri"/>
                <w:color w:val="1E293B"/>
                <w:sz w:val="16"/>
              </w:rPr>
              <w:t>&lt; 35 ms Precomputed Serving</w:t>
            </w:r>
          </w:p>
        </w:tc>
        <w:tc>
          <w:tcPr>
            <w:tcW w:type="dxa" w:w="2520"/>
            <w:shd w:fill="F8FAFC"/>
            <w:tcMar>
              <w:top w:w="60" w:type="dxa"/>
              <w:bottom w:w="60" w:type="dxa"/>
              <w:left w:w="100" w:type="dxa"/>
              <w:right w:w="100" w:type="dxa"/>
            </w:tcMar>
          </w:tcPr>
          <w:p>
            <w:r>
              <w:rPr>
                <w:rFonts w:ascii="Calibri" w:hAnsi="Calibri"/>
                <w:color w:val="1E293B"/>
                <w:sz w:val="16"/>
              </w:rPr>
              <w:t>React 18 + Vite GIS Stack</w:t>
            </w:r>
          </w:p>
        </w:tc>
        <w:tc>
          <w:tcPr>
            <w:tcW w:type="dxa" w:w="2520"/>
            <w:shd w:fill="F8FAFC"/>
            <w:tcMar>
              <w:top w:w="60" w:type="dxa"/>
              <w:bottom w:w="60" w:type="dxa"/>
              <w:left w:w="100" w:type="dxa"/>
              <w:right w:w="100" w:type="dxa"/>
            </w:tcMar>
          </w:tcPr>
          <w:p>
            <w:r>
              <w:rPr>
                <w:rFonts w:ascii="Calibri" w:hAnsi="Calibri"/>
                <w:color w:val="1E293B"/>
                <w:sz w:val="16"/>
              </w:rPr>
              <w:t>Interactive policy &amp; farmer decision support</w:t>
            </w:r>
          </w:p>
        </w:tc>
      </w:tr>
    </w:tbl>
    <w:p>
      <w:pPr>
        <w:spacing w:after="160"/>
      </w:pPr>
    </w:p>
    <w:p>
      <w:pPr>
        <w:spacing w:before="160" w:after="80"/>
        <w:jc w:val="center"/>
      </w:pPr>
      <w:r>
        <w:drawing>
          <wp:inline xmlns:a="http://schemas.openxmlformats.org/drawingml/2006/main" xmlns:pic="http://schemas.openxmlformats.org/drawingml/2006/picture">
            <wp:extent cx="4754880" cy="5324800"/>
            <wp:docPr id="2" name="Picture 2"/>
            <wp:cNvGraphicFramePr>
              <a:graphicFrameLocks noChangeAspect="1"/>
            </wp:cNvGraphicFramePr>
            <a:graphic>
              <a:graphicData uri="http://schemas.openxmlformats.org/drawingml/2006/picture">
                <pic:pic>
                  <pic:nvPicPr>
                    <pic:cNvPr id="0" name="draw.jpeg"/>
                    <pic:cNvPicPr/>
                  </pic:nvPicPr>
                  <pic:blipFill>
                    <a:blip r:embed="rId12"/>
                    <a:stretch>
                      <a:fillRect/>
                    </a:stretch>
                  </pic:blipFill>
                  <pic:spPr>
                    <a:xfrm>
                      <a:off x="0" y="0"/>
                      <a:ext cx="4754880" cy="5324800"/>
                    </a:xfrm>
                    <a:prstGeom prst="rect"/>
                  </pic:spPr>
                </pic:pic>
              </a:graphicData>
            </a:graphic>
          </wp:inline>
        </w:drawing>
      </w:r>
    </w:p>
    <w:p>
      <w:pPr>
        <w:keepNext w:val="0"/>
        <w:spacing w:before="0" w:after="200"/>
        <w:jc w:val="center"/>
      </w:pPr>
      <w:r>
        <w:rPr>
          <w:rFonts w:ascii="Calibri" w:hAnsi="Calibri"/>
          <w:b/>
          <w:color w:val="0F4C3A"/>
          <w:sz w:val="17"/>
        </w:rPr>
        <w:t xml:space="preserve">Figure 1.1: Project Conceptualization &amp; Data Flow Blueprint. </w:t>
      </w:r>
      <w:r>
        <w:rPr>
          <w:rFonts w:ascii="Calibri" w:hAnsi="Calibri"/>
          <w:i/>
          <w:color w:val="475569"/>
          <w:sz w:val="17"/>
        </w:rPr>
        <w:t>Initial conceptualization and architectural blueprint sketched during project inception, defining multi-modal data inputs, spatiotemporal feature tensors, Olympic baseline logic, and the dashboard wireframe.</w:t>
      </w:r>
    </w:p>
    <w:p>
      <w:pPr>
        <w:pStyle w:val="Heading1"/>
        <w:keepNext/>
        <w:spacing w:before="320" w:after="120"/>
      </w:pPr>
      <w:r>
        <w:rPr>
          <w:rFonts w:ascii="Calibri" w:hAnsi="Calibri"/>
          <w:b/>
          <w:color w:val="0F4C3A"/>
          <w:sz w:val="33"/>
        </w:rPr>
        <w:t>2. End-to-End System Architecture</w:t>
      </w:r>
    </w:p>
    <w:p>
      <w:pPr>
        <w:spacing w:line="276" w:lineRule="auto" w:before="0" w:after="100"/>
      </w:pPr>
      <w:r>
        <w:rPr>
          <w:rFonts w:ascii="Calibri" w:hAnsi="Calibri"/>
          <w:color w:val="1E293B"/>
          <w:sz w:val="20"/>
        </w:rPr>
        <w:t>The project architecture bridges offline geospatial and meteorological remote sensing pipelines with recurrent neural network modeling and an ultra-responsive web dashboard. As illustrated in Figure 2.1, the operational system is divided into four cleanly decoupled tiers:</w:t>
      </w:r>
    </w:p>
    <w:p>
      <w:pPr>
        <w:pStyle w:val="ListBullet"/>
        <w:spacing w:line="276" w:lineRule="auto" w:before="0" w:after="60"/>
      </w:pPr>
      <w:r>
        <w:rPr>
          <w:rFonts w:ascii="Calibri" w:hAnsi="Calibri"/>
          <w:b/>
          <w:color w:val="1E293B"/>
        </w:rPr>
        <w:t xml:space="preserve">Data Ingestion: </w:t>
      </w:r>
      <w:r>
        <w:rPr>
          <w:rFonts w:ascii="Calibri" w:hAnsi="Calibri"/>
          <w:color w:val="1E293B"/>
          <w:sz w:val="19"/>
        </w:rPr>
        <w:t>Tier 1 — Data Ingestion &amp; Harmonization: Ingests 58 years of DES Maharashtra harvest yields, IMD gridded daily rainfall, NOAA CPC Oceanic Niño Index (ONI) anomalies, and European Space Agency (ESA) Sentinel-2 Level-2A multi-spectral rasters.</w:t>
      </w:r>
    </w:p>
    <w:p>
      <w:pPr>
        <w:pStyle w:val="ListBullet"/>
        <w:spacing w:line="276" w:lineRule="auto" w:before="0" w:after="60"/>
      </w:pPr>
      <w:r>
        <w:rPr>
          <w:rFonts w:ascii="Calibri" w:hAnsi="Calibri"/>
          <w:b/>
          <w:color w:val="1E293B"/>
        </w:rPr>
        <w:t xml:space="preserve">Feature Engineering: </w:t>
      </w:r>
      <w:r>
        <w:rPr>
          <w:rFonts w:ascii="Calibri" w:hAnsi="Calibri"/>
          <w:color w:val="1E293B"/>
          <w:sz w:val="19"/>
        </w:rPr>
        <w:t>Tier 2 — Feature Engineering &amp; Ground Truth Synthesis: Standardizes district nomenclature across 38 administrative entities, computes rolling PMFBY Olympic baselines, normalizes spatial and climate tensors, and blends dual-resolution satellite basemaps.</w:t>
      </w:r>
    </w:p>
    <w:p>
      <w:pPr>
        <w:pStyle w:val="ListBullet"/>
        <w:spacing w:line="276" w:lineRule="auto" w:before="0" w:after="60"/>
      </w:pPr>
      <w:r>
        <w:rPr>
          <w:rFonts w:ascii="Calibri" w:hAnsi="Calibri"/>
          <w:b/>
          <w:color w:val="1E293B"/>
        </w:rPr>
        <w:t xml:space="preserve">Deep Learning: </w:t>
      </w:r>
      <w:r>
        <w:rPr>
          <w:rFonts w:ascii="Calibri" w:hAnsi="Calibri"/>
          <w:color w:val="1E293B"/>
          <w:sz w:val="19"/>
        </w:rPr>
        <w:t>Tier 3 — Spatiotemporal CNN–LSTM Neural Network: Extracts visual canopy vigor representations via 2D spatial convolutions, concatenates 10-dimensional climate and crop identity vectors, and models temporal degradation across six fortnightly Kharif observation windows.</w:t>
      </w:r>
    </w:p>
    <w:p>
      <w:pPr>
        <w:pStyle w:val="ListBullet"/>
        <w:spacing w:line="276" w:lineRule="auto" w:before="0" w:after="60"/>
      </w:pPr>
      <w:r>
        <w:rPr>
          <w:rFonts w:ascii="Calibri" w:hAnsi="Calibri"/>
          <w:b/>
          <w:color w:val="1E293B"/>
        </w:rPr>
        <w:t xml:space="preserve">GIS Dashboard: </w:t>
      </w:r>
      <w:r>
        <w:rPr>
          <w:rFonts w:ascii="Calibri" w:hAnsi="Calibri"/>
          <w:color w:val="1E293B"/>
          <w:sz w:val="19"/>
        </w:rPr>
        <w:t>Tier 4 — Interactive GIS Decision Dashboard: Delivers zero-latency policy decision support through an interactive SVG choropleth map, synchronized dual-axis charts, and an in-silico future El Niño climate shock simulator.</w:t>
      </w:r>
    </w:p>
    <w:p>
      <w:pPr>
        <w:spacing w:before="160" w:after="80"/>
        <w:jc w:val="center"/>
      </w:pPr>
      <w:r>
        <w:drawing>
          <wp:inline xmlns:a="http://schemas.openxmlformats.org/drawingml/2006/main" xmlns:pic="http://schemas.openxmlformats.org/drawingml/2006/picture">
            <wp:extent cx="5852160" cy="2406162"/>
            <wp:docPr id="3" name="Picture 3"/>
            <wp:cNvGraphicFramePr>
              <a:graphicFrameLocks noChangeAspect="1"/>
            </wp:cNvGraphicFramePr>
            <a:graphic>
              <a:graphicData uri="http://schemas.openxmlformats.org/drawingml/2006/picture">
                <pic:pic>
                  <pic:nvPicPr>
                    <pic:cNvPr id="0" name="diagram1_system_architecture.png"/>
                    <pic:cNvPicPr/>
                  </pic:nvPicPr>
                  <pic:blipFill>
                    <a:blip r:embed="rId13"/>
                    <a:stretch>
                      <a:fillRect/>
                    </a:stretch>
                  </pic:blipFill>
                  <pic:spPr>
                    <a:xfrm>
                      <a:off x="0" y="0"/>
                      <a:ext cx="5852160" cy="2406162"/>
                    </a:xfrm>
                    <a:prstGeom prst="rect"/>
                  </pic:spPr>
                </pic:pic>
              </a:graphicData>
            </a:graphic>
          </wp:inline>
        </w:drawing>
      </w:r>
    </w:p>
    <w:p>
      <w:pPr>
        <w:keepNext w:val="0"/>
        <w:spacing w:before="0" w:after="200"/>
        <w:jc w:val="center"/>
      </w:pPr>
      <w:r>
        <w:rPr>
          <w:rFonts w:ascii="Calibri" w:hAnsi="Calibri"/>
          <w:b/>
          <w:color w:val="0F4C3A"/>
          <w:sz w:val="17"/>
        </w:rPr>
        <w:t xml:space="preserve">Figure 2.1: End-to-End System Architecture Diagram. </w:t>
      </w:r>
      <w:r>
        <w:rPr>
          <w:rFonts w:ascii="Calibri" w:hAnsi="Calibri"/>
          <w:i/>
          <w:color w:val="475569"/>
          <w:sz w:val="17"/>
        </w:rPr>
        <w:t>High-level end-to-end system architecture showing multi-source data ingestion, feature synthesis, the PyTorch deep learning pipeline, and the React GIS dashboard.</w:t>
      </w:r>
    </w:p>
    <w:p>
      <w:pPr>
        <w:spacing w:before="160" w:after="80"/>
        <w:jc w:val="center"/>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implementation.jpeg"/>
                    <pic:cNvPicPr/>
                  </pic:nvPicPr>
                  <pic:blipFill>
                    <a:blip r:embed="rId14"/>
                    <a:stretch>
                      <a:fillRect/>
                    </a:stretch>
                  </pic:blipFill>
                  <pic:spPr>
                    <a:xfrm>
                      <a:off x="0" y="0"/>
                      <a:ext cx="5669280" cy="3188970"/>
                    </a:xfrm>
                    <a:prstGeom prst="rect"/>
                  </pic:spPr>
                </pic:pic>
              </a:graphicData>
            </a:graphic>
          </wp:inline>
        </w:drawing>
      </w:r>
    </w:p>
    <w:p>
      <w:pPr>
        <w:keepNext w:val="0"/>
        <w:spacing w:before="0" w:after="200"/>
        <w:jc w:val="center"/>
      </w:pPr>
      <w:r>
        <w:rPr>
          <w:rFonts w:ascii="Calibri" w:hAnsi="Calibri"/>
          <w:b/>
          <w:color w:val="0F4C3A"/>
          <w:sz w:val="17"/>
        </w:rPr>
        <w:t xml:space="preserve">Figure 2.2: System Implementation Schematic. </w:t>
      </w:r>
      <w:r>
        <w:rPr>
          <w:rFonts w:ascii="Calibri" w:hAnsi="Calibri"/>
          <w:i/>
          <w:color w:val="475569"/>
          <w:sz w:val="17"/>
        </w:rPr>
        <w:t>Detailed engineering implementation schematic showing data storage boundaries, feature normalization modules, PyTorch checkpoint serialization, and dashboard state management.</w:t>
      </w:r>
    </w:p>
    <w:p>
      <w:pPr>
        <w:pStyle w:val="Heading1"/>
        <w:keepNext/>
        <w:spacing w:before="320" w:after="120"/>
      </w:pPr>
      <w:r>
        <w:rPr>
          <w:rFonts w:ascii="Calibri" w:hAnsi="Calibri"/>
          <w:b/>
          <w:color w:val="0F4C3A"/>
          <w:sz w:val="33"/>
        </w:rPr>
        <w:t>3. Multi-Source Data Ingestion &amp; Remote Sensing Provenance</w:t>
      </w:r>
    </w:p>
    <w:p>
      <w:pPr>
        <w:spacing w:line="276" w:lineRule="auto" w:before="0" w:after="100"/>
      </w:pPr>
      <w:r>
        <w:rPr>
          <w:rFonts w:ascii="Calibri" w:hAnsi="Calibri"/>
          <w:color w:val="1E293B"/>
          <w:sz w:val="20"/>
        </w:rPr>
        <w:t>A foundational strength of this framework is its reliance on authoritative, open-access meteorological, agronomic, and earth observation records. Table 3.1 catalogs the six core datasets integrated into the pipeline:</w:t>
      </w:r>
    </w:p>
    <w:tbl>
      <w:tblPr>
        <w:tblW w:type="auto" w:w="0"/>
        <w:jc w:val="center"/>
        <w:tblLook w:firstColumn="1" w:firstRow="1" w:lastColumn="0" w:lastRow="0" w:noHBand="0" w:noVBand="1" w:val="04A0"/>
        <w:tblBorders>
          <w:top w:val="single" w:sz="6" w:space="0" w:color="CBD5E1"/>
          <w:bottom w:val="single" w:sz="8" w:space="0" w:color="CBD5E1"/>
          <w:insideH w:val="single" w:sz="4" w:space="0" w:color="CBD5E1"/>
          <w:insideV w:val="none"/>
          <w:left w:val="none"/>
          <w:right w:val="none"/>
        </w:tblBorders>
      </w:tblPr>
      <w:tblGrid>
        <w:gridCol w:w="2016"/>
        <w:gridCol w:w="2016"/>
        <w:gridCol w:w="2016"/>
        <w:gridCol w:w="2016"/>
        <w:gridCol w:w="2016"/>
      </w:tblGrid>
      <w:tr>
        <w:tc>
          <w:tcPr>
            <w:tcW w:type="dxa" w:w="2016"/>
            <w:shd w:fill="0F766E"/>
            <w:tcMar>
              <w:top w:w="80" w:type="dxa"/>
              <w:bottom w:w="80" w:type="dxa"/>
              <w:left w:w="100" w:type="dxa"/>
              <w:right w:w="100" w:type="dxa"/>
            </w:tcMar>
          </w:tcPr>
          <w:p>
            <w:r>
              <w:rPr>
                <w:rFonts w:ascii="Calibri" w:hAnsi="Calibri"/>
                <w:b/>
                <w:color w:val="FFFFFF"/>
                <w:sz w:val="16"/>
              </w:rPr>
              <w:t>Dataset Name</w:t>
            </w:r>
          </w:p>
        </w:tc>
        <w:tc>
          <w:tcPr>
            <w:tcW w:type="dxa" w:w="2016"/>
            <w:shd w:fill="0F766E"/>
            <w:tcMar>
              <w:top w:w="80" w:type="dxa"/>
              <w:bottom w:w="80" w:type="dxa"/>
              <w:left w:w="100" w:type="dxa"/>
              <w:right w:w="100" w:type="dxa"/>
            </w:tcMar>
          </w:tcPr>
          <w:p>
            <w:r>
              <w:rPr>
                <w:rFonts w:ascii="Calibri" w:hAnsi="Calibri"/>
                <w:b/>
                <w:color w:val="FFFFFF"/>
                <w:sz w:val="16"/>
              </w:rPr>
              <w:t>Source Agency</w:t>
            </w:r>
          </w:p>
        </w:tc>
        <w:tc>
          <w:tcPr>
            <w:tcW w:type="dxa" w:w="2016"/>
            <w:shd w:fill="0F766E"/>
            <w:tcMar>
              <w:top w:w="80" w:type="dxa"/>
              <w:bottom w:w="80" w:type="dxa"/>
              <w:left w:w="100" w:type="dxa"/>
              <w:right w:w="100" w:type="dxa"/>
            </w:tcMar>
          </w:tcPr>
          <w:p>
            <w:r>
              <w:rPr>
                <w:rFonts w:ascii="Calibri" w:hAnsi="Calibri"/>
                <w:b/>
                <w:color w:val="FFFFFF"/>
                <w:sz w:val="16"/>
              </w:rPr>
              <w:t>Spatial Extent</w:t>
            </w:r>
          </w:p>
        </w:tc>
        <w:tc>
          <w:tcPr>
            <w:tcW w:type="dxa" w:w="2016"/>
            <w:shd w:fill="0F766E"/>
            <w:tcMar>
              <w:top w:w="80" w:type="dxa"/>
              <w:bottom w:w="80" w:type="dxa"/>
              <w:left w:w="100" w:type="dxa"/>
              <w:right w:w="100" w:type="dxa"/>
            </w:tcMar>
          </w:tcPr>
          <w:p>
            <w:r>
              <w:rPr>
                <w:rFonts w:ascii="Calibri" w:hAnsi="Calibri"/>
                <w:b/>
                <w:color w:val="FFFFFF"/>
                <w:sz w:val="16"/>
              </w:rPr>
              <w:t>Temporal Window</w:t>
            </w:r>
          </w:p>
        </w:tc>
        <w:tc>
          <w:tcPr>
            <w:tcW w:type="dxa" w:w="2016"/>
            <w:shd w:fill="0F766E"/>
            <w:tcMar>
              <w:top w:w="80" w:type="dxa"/>
              <w:bottom w:w="80" w:type="dxa"/>
              <w:left w:w="100" w:type="dxa"/>
              <w:right w:w="100" w:type="dxa"/>
            </w:tcMar>
          </w:tcPr>
          <w:p>
            <w:r>
              <w:rPr>
                <w:rFonts w:ascii="Calibri" w:hAnsi="Calibri"/>
                <w:b/>
                <w:color w:val="FFFFFF"/>
                <w:sz w:val="16"/>
              </w:rPr>
              <w:t>Role in System</w:t>
            </w:r>
          </w:p>
        </w:tc>
      </w:tr>
      <w:tr>
        <w:tc>
          <w:tcPr>
            <w:tcW w:type="dxa" w:w="2016"/>
            <w:shd w:fill="F8FAFC"/>
            <w:tcMar>
              <w:top w:w="60" w:type="dxa"/>
              <w:bottom w:w="60" w:type="dxa"/>
              <w:left w:w="100" w:type="dxa"/>
              <w:right w:w="100" w:type="dxa"/>
            </w:tcMar>
          </w:tcPr>
          <w:p>
            <w:r>
              <w:rPr>
                <w:rFonts w:ascii="Calibri" w:hAnsi="Calibri"/>
                <w:b/>
                <w:color w:val="1E293B"/>
                <w:sz w:val="16"/>
              </w:rPr>
              <w:t>Kharif Harvest Yield Statistics</w:t>
            </w:r>
          </w:p>
        </w:tc>
        <w:tc>
          <w:tcPr>
            <w:tcW w:type="dxa" w:w="2016"/>
            <w:shd w:fill="F8FAFC"/>
            <w:tcMar>
              <w:top w:w="60" w:type="dxa"/>
              <w:bottom w:w="60" w:type="dxa"/>
              <w:left w:w="100" w:type="dxa"/>
              <w:right w:w="100" w:type="dxa"/>
            </w:tcMar>
          </w:tcPr>
          <w:p>
            <w:r>
              <w:rPr>
                <w:rFonts w:ascii="Calibri" w:hAnsi="Calibri"/>
                <w:color w:val="1E293B"/>
                <w:sz w:val="16"/>
              </w:rPr>
              <w:t>DES Maharashtra &amp; ICRISAT</w:t>
            </w:r>
          </w:p>
        </w:tc>
        <w:tc>
          <w:tcPr>
            <w:tcW w:type="dxa" w:w="2016"/>
            <w:shd w:fill="F8FAFC"/>
            <w:tcMar>
              <w:top w:w="60" w:type="dxa"/>
              <w:bottom w:w="60" w:type="dxa"/>
              <w:left w:w="100" w:type="dxa"/>
              <w:right w:w="100" w:type="dxa"/>
            </w:tcMar>
          </w:tcPr>
          <w:p>
            <w:r>
              <w:rPr>
                <w:rFonts w:ascii="Calibri" w:hAnsi="Calibri"/>
                <w:color w:val="1E293B"/>
                <w:sz w:val="16"/>
              </w:rPr>
              <w:t>36 Districts (38 Entities)</w:t>
            </w:r>
          </w:p>
        </w:tc>
        <w:tc>
          <w:tcPr>
            <w:tcW w:type="dxa" w:w="2016"/>
            <w:shd w:fill="F8FAFC"/>
            <w:tcMar>
              <w:top w:w="60" w:type="dxa"/>
              <w:bottom w:w="60" w:type="dxa"/>
              <w:left w:w="100" w:type="dxa"/>
              <w:right w:w="100" w:type="dxa"/>
            </w:tcMar>
          </w:tcPr>
          <w:p>
            <w:r>
              <w:rPr>
                <w:rFonts w:ascii="Calibri" w:hAnsi="Calibri"/>
                <w:color w:val="1E293B"/>
                <w:sz w:val="16"/>
              </w:rPr>
              <w:t>1966 – 2023 (58 Years)</w:t>
            </w:r>
          </w:p>
        </w:tc>
        <w:tc>
          <w:tcPr>
            <w:tcW w:type="dxa" w:w="2016"/>
            <w:shd w:fill="F8FAFC"/>
            <w:tcMar>
              <w:top w:w="60" w:type="dxa"/>
              <w:bottom w:w="60" w:type="dxa"/>
              <w:left w:w="100" w:type="dxa"/>
              <w:right w:w="100" w:type="dxa"/>
            </w:tcMar>
          </w:tcPr>
          <w:p>
            <w:r>
              <w:rPr>
                <w:rFonts w:ascii="Calibri" w:hAnsi="Calibri"/>
                <w:color w:val="1E293B"/>
                <w:sz w:val="16"/>
              </w:rPr>
              <w:t>Ground-truth yields, Olympic baselines &amp; labels</w:t>
            </w:r>
          </w:p>
        </w:tc>
      </w:tr>
      <w:tr>
        <w:tc>
          <w:tcPr>
            <w:tcW w:type="dxa" w:w="2016"/>
            <w:shd w:fill="FFFFFF"/>
            <w:tcMar>
              <w:top w:w="60" w:type="dxa"/>
              <w:bottom w:w="60" w:type="dxa"/>
              <w:left w:w="100" w:type="dxa"/>
              <w:right w:w="100" w:type="dxa"/>
            </w:tcMar>
          </w:tcPr>
          <w:p>
            <w:r>
              <w:rPr>
                <w:rFonts w:ascii="Calibri" w:hAnsi="Calibri"/>
                <w:b/>
                <w:color w:val="1E293B"/>
                <w:sz w:val="16"/>
              </w:rPr>
              <w:t>IMD Gridded Rainfall (0.25°)</w:t>
            </w:r>
          </w:p>
        </w:tc>
        <w:tc>
          <w:tcPr>
            <w:tcW w:type="dxa" w:w="2016"/>
            <w:shd w:fill="FFFFFF"/>
            <w:tcMar>
              <w:top w:w="60" w:type="dxa"/>
              <w:bottom w:w="60" w:type="dxa"/>
              <w:left w:w="100" w:type="dxa"/>
              <w:right w:w="100" w:type="dxa"/>
            </w:tcMar>
          </w:tcPr>
          <w:p>
            <w:r>
              <w:rPr>
                <w:rFonts w:ascii="Calibri" w:hAnsi="Calibri"/>
                <w:color w:val="1E293B"/>
                <w:sz w:val="16"/>
              </w:rPr>
              <w:t>India Meteorological Dept</w:t>
            </w:r>
          </w:p>
        </w:tc>
        <w:tc>
          <w:tcPr>
            <w:tcW w:type="dxa" w:w="2016"/>
            <w:shd w:fill="FFFFFF"/>
            <w:tcMar>
              <w:top w:w="60" w:type="dxa"/>
              <w:bottom w:w="60" w:type="dxa"/>
              <w:left w:w="100" w:type="dxa"/>
              <w:right w:w="100" w:type="dxa"/>
            </w:tcMar>
          </w:tcPr>
          <w:p>
            <w:r>
              <w:rPr>
                <w:rFonts w:ascii="Calibri" w:hAnsi="Calibri"/>
                <w:color w:val="1E293B"/>
                <w:sz w:val="16"/>
              </w:rPr>
              <w:t>Maharashtra Grid (0.25°)</w:t>
            </w:r>
          </w:p>
        </w:tc>
        <w:tc>
          <w:tcPr>
            <w:tcW w:type="dxa" w:w="2016"/>
            <w:shd w:fill="FFFFFF"/>
            <w:tcMar>
              <w:top w:w="60" w:type="dxa"/>
              <w:bottom w:w="60" w:type="dxa"/>
              <w:left w:w="100" w:type="dxa"/>
              <w:right w:w="100" w:type="dxa"/>
            </w:tcMar>
          </w:tcPr>
          <w:p>
            <w:r>
              <w:rPr>
                <w:rFonts w:ascii="Calibri" w:hAnsi="Calibri"/>
                <w:color w:val="1E293B"/>
                <w:sz w:val="16"/>
              </w:rPr>
              <w:t>2015 – 2024</w:t>
            </w:r>
          </w:p>
        </w:tc>
        <w:tc>
          <w:tcPr>
            <w:tcW w:type="dxa" w:w="2016"/>
            <w:shd w:fill="FFFFFF"/>
            <w:tcMar>
              <w:top w:w="60" w:type="dxa"/>
              <w:bottom w:w="60" w:type="dxa"/>
              <w:left w:w="100" w:type="dxa"/>
              <w:right w:w="100" w:type="dxa"/>
            </w:tcMar>
          </w:tcPr>
          <w:p>
            <w:r>
              <w:rPr>
                <w:rFonts w:ascii="Calibri" w:hAnsi="Calibri"/>
                <w:color w:val="1E293B"/>
                <w:sz w:val="16"/>
              </w:rPr>
              <w:t>Precipitation totals (mm) and departure anomalies (%)</w:t>
            </w:r>
          </w:p>
        </w:tc>
      </w:tr>
      <w:tr>
        <w:tc>
          <w:tcPr>
            <w:tcW w:type="dxa" w:w="2016"/>
            <w:shd w:fill="F8FAFC"/>
            <w:tcMar>
              <w:top w:w="60" w:type="dxa"/>
              <w:bottom w:w="60" w:type="dxa"/>
              <w:left w:w="100" w:type="dxa"/>
              <w:right w:w="100" w:type="dxa"/>
            </w:tcMar>
          </w:tcPr>
          <w:p>
            <w:r>
              <w:rPr>
                <w:rFonts w:ascii="Calibri" w:hAnsi="Calibri"/>
                <w:b/>
                <w:color w:val="1E293B"/>
                <w:sz w:val="16"/>
              </w:rPr>
              <w:t>Oceanic Niño Index (ONI)</w:t>
            </w:r>
          </w:p>
        </w:tc>
        <w:tc>
          <w:tcPr>
            <w:tcW w:type="dxa" w:w="2016"/>
            <w:shd w:fill="F8FAFC"/>
            <w:tcMar>
              <w:top w:w="60" w:type="dxa"/>
              <w:bottom w:w="60" w:type="dxa"/>
              <w:left w:w="100" w:type="dxa"/>
              <w:right w:w="100" w:type="dxa"/>
            </w:tcMar>
          </w:tcPr>
          <w:p>
            <w:r>
              <w:rPr>
                <w:rFonts w:ascii="Calibri" w:hAnsi="Calibri"/>
                <w:color w:val="1E293B"/>
                <w:sz w:val="16"/>
              </w:rPr>
              <w:t>NOAA Climate Prediction Center</w:t>
            </w:r>
          </w:p>
        </w:tc>
        <w:tc>
          <w:tcPr>
            <w:tcW w:type="dxa" w:w="2016"/>
            <w:shd w:fill="F8FAFC"/>
            <w:tcMar>
              <w:top w:w="60" w:type="dxa"/>
              <w:bottom w:w="60" w:type="dxa"/>
              <w:left w:w="100" w:type="dxa"/>
              <w:right w:w="100" w:type="dxa"/>
            </w:tcMar>
          </w:tcPr>
          <w:p>
            <w:r>
              <w:rPr>
                <w:rFonts w:ascii="Calibri" w:hAnsi="Calibri"/>
                <w:color w:val="1E293B"/>
                <w:sz w:val="16"/>
              </w:rPr>
              <w:t>Niño 3.4 Region (Pacific)</w:t>
            </w:r>
          </w:p>
        </w:tc>
        <w:tc>
          <w:tcPr>
            <w:tcW w:type="dxa" w:w="2016"/>
            <w:shd w:fill="F8FAFC"/>
            <w:tcMar>
              <w:top w:w="60" w:type="dxa"/>
              <w:bottom w:w="60" w:type="dxa"/>
              <w:left w:w="100" w:type="dxa"/>
              <w:right w:w="100" w:type="dxa"/>
            </w:tcMar>
          </w:tcPr>
          <w:p>
            <w:r>
              <w:rPr>
                <w:rFonts w:ascii="Calibri" w:hAnsi="Calibri"/>
                <w:color w:val="1E293B"/>
                <w:sz w:val="16"/>
              </w:rPr>
              <w:t>1950 – 2024</w:t>
            </w:r>
          </w:p>
        </w:tc>
        <w:tc>
          <w:tcPr>
            <w:tcW w:type="dxa" w:w="2016"/>
            <w:shd w:fill="F8FAFC"/>
            <w:tcMar>
              <w:top w:w="60" w:type="dxa"/>
              <w:bottom w:w="60" w:type="dxa"/>
              <w:left w:w="100" w:type="dxa"/>
              <w:right w:w="100" w:type="dxa"/>
            </w:tcMar>
          </w:tcPr>
          <w:p>
            <w:r>
              <w:rPr>
                <w:rFonts w:ascii="Calibri" w:hAnsi="Calibri"/>
                <w:color w:val="1E293B"/>
                <w:sz w:val="16"/>
              </w:rPr>
              <w:t>Summer ENSO SST anomaly teleconnection metric</w:t>
            </w:r>
          </w:p>
        </w:tc>
      </w:tr>
      <w:tr>
        <w:tc>
          <w:tcPr>
            <w:tcW w:type="dxa" w:w="2016"/>
            <w:shd w:fill="FFFFFF"/>
            <w:tcMar>
              <w:top w:w="60" w:type="dxa"/>
              <w:bottom w:w="60" w:type="dxa"/>
              <w:left w:w="100" w:type="dxa"/>
              <w:right w:w="100" w:type="dxa"/>
            </w:tcMar>
          </w:tcPr>
          <w:p>
            <w:r>
              <w:rPr>
                <w:rFonts w:ascii="Calibri" w:hAnsi="Calibri"/>
                <w:b/>
                <w:color w:val="1E293B"/>
                <w:sz w:val="16"/>
              </w:rPr>
              <w:t>Sentinel-2 L2A Multi-Spectral</w:t>
            </w:r>
          </w:p>
        </w:tc>
        <w:tc>
          <w:tcPr>
            <w:tcW w:type="dxa" w:w="2016"/>
            <w:shd w:fill="FFFFFF"/>
            <w:tcMar>
              <w:top w:w="60" w:type="dxa"/>
              <w:bottom w:w="60" w:type="dxa"/>
              <w:left w:w="100" w:type="dxa"/>
              <w:right w:w="100" w:type="dxa"/>
            </w:tcMar>
          </w:tcPr>
          <w:p>
            <w:r>
              <w:rPr>
                <w:rFonts w:ascii="Calibri" w:hAnsi="Calibri"/>
                <w:color w:val="1E293B"/>
                <w:sz w:val="16"/>
              </w:rPr>
              <w:t>ESA / Copernicus Open Access</w:t>
            </w:r>
          </w:p>
        </w:tc>
        <w:tc>
          <w:tcPr>
            <w:tcW w:type="dxa" w:w="2016"/>
            <w:shd w:fill="FFFFFF"/>
            <w:tcMar>
              <w:top w:w="60" w:type="dxa"/>
              <w:bottom w:w="60" w:type="dxa"/>
              <w:left w:w="100" w:type="dxa"/>
              <w:right w:w="100" w:type="dxa"/>
            </w:tcMar>
          </w:tcPr>
          <w:p>
            <w:r>
              <w:rPr>
                <w:rFonts w:ascii="Calibri" w:hAnsi="Calibri"/>
                <w:color w:val="1E293B"/>
                <w:sz w:val="16"/>
              </w:rPr>
              <w:t>32x32 Patches @ 20m GSD</w:t>
            </w:r>
          </w:p>
        </w:tc>
        <w:tc>
          <w:tcPr>
            <w:tcW w:type="dxa" w:w="2016"/>
            <w:shd w:fill="FFFFFF"/>
            <w:tcMar>
              <w:top w:w="60" w:type="dxa"/>
              <w:bottom w:w="60" w:type="dxa"/>
              <w:left w:w="100" w:type="dxa"/>
              <w:right w:w="100" w:type="dxa"/>
            </w:tcMar>
          </w:tcPr>
          <w:p>
            <w:r>
              <w:rPr>
                <w:rFonts w:ascii="Calibri" w:hAnsi="Calibri"/>
                <w:color w:val="1E293B"/>
                <w:sz w:val="16"/>
              </w:rPr>
              <w:t>2019 – 2022 (6 Windows)</w:t>
            </w:r>
          </w:p>
        </w:tc>
        <w:tc>
          <w:tcPr>
            <w:tcW w:type="dxa" w:w="2016"/>
            <w:shd w:fill="FFFFFF"/>
            <w:tcMar>
              <w:top w:w="60" w:type="dxa"/>
              <w:bottom w:w="60" w:type="dxa"/>
              <w:left w:w="100" w:type="dxa"/>
              <w:right w:w="100" w:type="dxa"/>
            </w:tcMar>
          </w:tcPr>
          <w:p>
            <w:r>
              <w:rPr>
                <w:rFonts w:ascii="Calibri" w:hAnsi="Calibri"/>
                <w:color w:val="1E293B"/>
                <w:sz w:val="16"/>
              </w:rPr>
              <w:t>8-band canopy reflectance, NDVI vigor, NDWI moisture</w:t>
            </w:r>
          </w:p>
        </w:tc>
      </w:tr>
      <w:tr>
        <w:tc>
          <w:tcPr>
            <w:tcW w:type="dxa" w:w="2016"/>
            <w:shd w:fill="F8FAFC"/>
            <w:tcMar>
              <w:top w:w="60" w:type="dxa"/>
              <w:bottom w:w="60" w:type="dxa"/>
              <w:left w:w="100" w:type="dxa"/>
              <w:right w:w="100" w:type="dxa"/>
            </w:tcMar>
          </w:tcPr>
          <w:p>
            <w:r>
              <w:rPr>
                <w:rFonts w:ascii="Calibri" w:hAnsi="Calibri"/>
                <w:b/>
                <w:color w:val="1E293B"/>
                <w:sz w:val="16"/>
              </w:rPr>
              <w:t>Copernicus DEM (GLO-30)</w:t>
            </w:r>
          </w:p>
        </w:tc>
        <w:tc>
          <w:tcPr>
            <w:tcW w:type="dxa" w:w="2016"/>
            <w:shd w:fill="F8FAFC"/>
            <w:tcMar>
              <w:top w:w="60" w:type="dxa"/>
              <w:bottom w:w="60" w:type="dxa"/>
              <w:left w:w="100" w:type="dxa"/>
              <w:right w:w="100" w:type="dxa"/>
            </w:tcMar>
          </w:tcPr>
          <w:p>
            <w:r>
              <w:rPr>
                <w:rFonts w:ascii="Calibri" w:hAnsi="Calibri"/>
                <w:color w:val="1E293B"/>
                <w:sz w:val="16"/>
              </w:rPr>
              <w:t>European Space Agency (ESA)</w:t>
            </w:r>
          </w:p>
        </w:tc>
        <w:tc>
          <w:tcPr>
            <w:tcW w:type="dxa" w:w="2016"/>
            <w:shd w:fill="F8FAFC"/>
            <w:tcMar>
              <w:top w:w="60" w:type="dxa"/>
              <w:bottom w:w="60" w:type="dxa"/>
              <w:left w:w="100" w:type="dxa"/>
              <w:right w:w="100" w:type="dxa"/>
            </w:tcMar>
          </w:tcPr>
          <w:p>
            <w:r>
              <w:rPr>
                <w:rFonts w:ascii="Calibri" w:hAnsi="Calibri"/>
                <w:color w:val="1E293B"/>
                <w:sz w:val="16"/>
              </w:rPr>
              <w:t>30m Elevation Grid</w:t>
            </w:r>
          </w:p>
        </w:tc>
        <w:tc>
          <w:tcPr>
            <w:tcW w:type="dxa" w:w="2016"/>
            <w:shd w:fill="F8FAFC"/>
            <w:tcMar>
              <w:top w:w="60" w:type="dxa"/>
              <w:bottom w:w="60" w:type="dxa"/>
              <w:left w:w="100" w:type="dxa"/>
              <w:right w:w="100" w:type="dxa"/>
            </w:tcMar>
          </w:tcPr>
          <w:p>
            <w:r>
              <w:rPr>
                <w:rFonts w:ascii="Calibri" w:hAnsi="Calibri"/>
                <w:color w:val="1E293B"/>
                <w:sz w:val="16"/>
              </w:rPr>
              <w:t>Static Elevation Surface</w:t>
            </w:r>
          </w:p>
        </w:tc>
        <w:tc>
          <w:tcPr>
            <w:tcW w:type="dxa" w:w="2016"/>
            <w:shd w:fill="F8FAFC"/>
            <w:tcMar>
              <w:top w:w="60" w:type="dxa"/>
              <w:bottom w:w="60" w:type="dxa"/>
              <w:left w:w="100" w:type="dxa"/>
              <w:right w:w="100" w:type="dxa"/>
            </w:tcMar>
          </w:tcPr>
          <w:p>
            <w:r>
              <w:rPr>
                <w:rFonts w:ascii="Calibri" w:hAnsi="Calibri"/>
                <w:color w:val="1E293B"/>
                <w:sz w:val="16"/>
              </w:rPr>
              <w:t>Topographic shaded relief of Western Ghats &amp; Deccan</w:t>
            </w:r>
          </w:p>
        </w:tc>
      </w:tr>
      <w:tr>
        <w:tc>
          <w:tcPr>
            <w:tcW w:type="dxa" w:w="2016"/>
            <w:shd w:fill="FFFFFF"/>
            <w:tcMar>
              <w:top w:w="60" w:type="dxa"/>
              <w:bottom w:w="60" w:type="dxa"/>
              <w:left w:w="100" w:type="dxa"/>
              <w:right w:w="100" w:type="dxa"/>
            </w:tcMar>
          </w:tcPr>
          <w:p>
            <w:r>
              <w:rPr>
                <w:rFonts w:ascii="Calibri" w:hAnsi="Calibri"/>
                <w:b/>
                <w:color w:val="1E293B"/>
                <w:sz w:val="16"/>
              </w:rPr>
              <w:t>NASA MODIS Surface Refl.</w:t>
            </w:r>
          </w:p>
        </w:tc>
        <w:tc>
          <w:tcPr>
            <w:tcW w:type="dxa" w:w="2016"/>
            <w:shd w:fill="FFFFFF"/>
            <w:tcMar>
              <w:top w:w="60" w:type="dxa"/>
              <w:bottom w:w="60" w:type="dxa"/>
              <w:left w:w="100" w:type="dxa"/>
              <w:right w:w="100" w:type="dxa"/>
            </w:tcMar>
          </w:tcPr>
          <w:p>
            <w:r>
              <w:rPr>
                <w:rFonts w:ascii="Calibri" w:hAnsi="Calibri"/>
                <w:color w:val="1E293B"/>
                <w:sz w:val="16"/>
              </w:rPr>
              <w:t>NASA LP DAAC (MOD09A1)</w:t>
            </w:r>
          </w:p>
        </w:tc>
        <w:tc>
          <w:tcPr>
            <w:tcW w:type="dxa" w:w="2016"/>
            <w:shd w:fill="FFFFFF"/>
            <w:tcMar>
              <w:top w:w="60" w:type="dxa"/>
              <w:bottom w:w="60" w:type="dxa"/>
              <w:left w:w="100" w:type="dxa"/>
              <w:right w:w="100" w:type="dxa"/>
            </w:tcMar>
          </w:tcPr>
          <w:p>
            <w:r>
              <w:rPr>
                <w:rFonts w:ascii="Calibri" w:hAnsi="Calibri"/>
                <w:color w:val="1E293B"/>
                <w:sz w:val="16"/>
              </w:rPr>
              <w:t>500m Continuous Grid</w:t>
            </w:r>
          </w:p>
        </w:tc>
        <w:tc>
          <w:tcPr>
            <w:tcW w:type="dxa" w:w="2016"/>
            <w:shd w:fill="FFFFFF"/>
            <w:tcMar>
              <w:top w:w="60" w:type="dxa"/>
              <w:bottom w:w="60" w:type="dxa"/>
              <w:left w:w="100" w:type="dxa"/>
              <w:right w:w="100" w:type="dxa"/>
            </w:tcMar>
          </w:tcPr>
          <w:p>
            <w:r>
              <w:rPr>
                <w:rFonts w:ascii="Calibri" w:hAnsi="Calibri"/>
                <w:color w:val="1E293B"/>
                <w:sz w:val="16"/>
              </w:rPr>
              <w:t>8-Day Composites</w:t>
            </w:r>
          </w:p>
        </w:tc>
        <w:tc>
          <w:tcPr>
            <w:tcW w:type="dxa" w:w="2016"/>
            <w:shd w:fill="FFFFFF"/>
            <w:tcMar>
              <w:top w:w="60" w:type="dxa"/>
              <w:bottom w:w="60" w:type="dxa"/>
              <w:left w:w="100" w:type="dxa"/>
              <w:right w:w="100" w:type="dxa"/>
            </w:tcMar>
          </w:tcPr>
          <w:p>
            <w:r>
              <w:rPr>
                <w:rFonts w:ascii="Calibri" w:hAnsi="Calibri"/>
                <w:color w:val="1E293B"/>
                <w:sz w:val="16"/>
              </w:rPr>
              <w:t>Seamless Arabian Sea and regional outer basemap canvas</w:t>
            </w:r>
          </w:p>
        </w:tc>
      </w:tr>
    </w:tbl>
    <w:p>
      <w:pPr>
        <w:spacing w:after="160"/>
      </w:pPr>
    </w:p>
    <w:p>
      <w:pPr>
        <w:pStyle w:val="Heading2"/>
        <w:keepNext/>
        <w:spacing w:before="240" w:after="80"/>
      </w:pPr>
      <w:r>
        <w:rPr>
          <w:rFonts w:ascii="Calibri" w:hAnsi="Calibri"/>
          <w:b/>
          <w:color w:val="0F766E"/>
          <w:sz w:val="25"/>
        </w:rPr>
        <w:t>Temporal Span Disparity &amp; Alignment Strategy</w:t>
      </w:r>
    </w:p>
    <w:p>
      <w:pPr>
        <w:spacing w:line="276" w:lineRule="auto" w:before="0" w:after="100"/>
      </w:pPr>
      <w:r>
        <w:rPr>
          <w:rFonts w:ascii="Calibri" w:hAnsi="Calibri"/>
          <w:color w:val="1E293B"/>
          <w:sz w:val="20"/>
        </w:rPr>
        <w:t>A critical engineering consideration is the stark temporal disparity between the datasets: while DES harvest statistics span 58 continuous years (1966–2023), high-resolution Sentinel-2 satellite imagery is only operational from late 2015 onward, and gridded district rainfall was ingested from 2015 to 2024. The framework resolves this by leveraging the full 58-year historical depth to establish robust, statistically sound rolling Olympic yield baselines, while training the multi-modal neural network over the multi-year satellite observation window (2019–2022).</w:t>
      </w:r>
    </w:p>
    <w:p>
      <w:pPr>
        <w:pStyle w:val="Heading2"/>
        <w:keepNext/>
        <w:spacing w:before="240" w:after="80"/>
      </w:pPr>
      <w:r>
        <w:rPr>
          <w:rFonts w:ascii="Calibri" w:hAnsi="Calibri"/>
          <w:b/>
          <w:color w:val="0F766E"/>
          <w:sz w:val="25"/>
        </w:rPr>
        <w:t>Sentinel-2 Multi-Spectral Specifications &amp; Cloud Masking</w:t>
      </w:r>
    </w:p>
    <w:p>
      <w:pPr>
        <w:spacing w:line="276" w:lineRule="auto" w:before="0" w:after="100"/>
      </w:pPr>
      <w:r>
        <w:rPr>
          <w:rFonts w:ascii="Calibri" w:hAnsi="Calibri"/>
          <w:color w:val="1E293B"/>
          <w:sz w:val="20"/>
        </w:rPr>
        <w:t>Sentinel-2 Level-2A surface reflectance rasters were extracted at 20m Ground Sample Distance (GSD), yielding 32x32 pixel patches representing a 640m x 640m ground parcel footprint. Across each season, six continuous half-open temporal windows track vegetative development: T1 (Jun 01–15, sowing/germination), T2 (Jun 16–30, vegetative emergence), T3 (Jul 01–15, tillering), T4 (Jul 16–31, peak vegetative growth), T5 (Aug 01–15, flowering/reproductive stage), and T6 (Aug 16–31, grain filling).</w:t>
      </w:r>
    </w:p>
    <w:p>
      <w:pPr>
        <w:spacing w:line="276" w:lineRule="auto" w:before="0" w:after="100"/>
      </w:pPr>
      <w:r>
        <w:rPr>
          <w:rFonts w:ascii="Calibri" w:hAnsi="Calibri"/>
          <w:color w:val="1E293B"/>
          <w:sz w:val="20"/>
        </w:rPr>
        <w:t>Each patch contains eight spectral channels: Blue (B2, 490 nm), Green (B3, 560 nm), Red (B4, 665 nm), Near-Infrared (B8, 842 nm), Short-Wave Infrared 1 (B11, 1610 nm), Short-Wave Infrared 2 (B12, 2190 nm), Normalized Difference Vegetation Index (NDVI), and Normalized Difference Water Index (NDWI). Cloud and shadow contamination is masked using the Sentinel-2 Scene Classification Layer (SCL), and a valid pixel coverage metric C_t is recorded per window.</w:t>
      </w:r>
    </w:p>
    <w:p>
      <w:pPr>
        <w:spacing w:before="160" w:after="80"/>
        <w:jc w:val="center"/>
      </w:pPr>
      <w:r>
        <w:drawing>
          <wp:inline xmlns:a="http://schemas.openxmlformats.org/drawingml/2006/main" xmlns:pic="http://schemas.openxmlformats.org/drawingml/2006/picture">
            <wp:extent cx="5669280" cy="2161498"/>
            <wp:docPr id="5" name="Picture 5"/>
            <wp:cNvGraphicFramePr>
              <a:graphicFrameLocks noChangeAspect="1"/>
            </wp:cNvGraphicFramePr>
            <a:graphic>
              <a:graphicData uri="http://schemas.openxmlformats.org/drawingml/2006/picture">
                <pic:pic>
                  <pic:nvPicPr>
                    <pic:cNvPr id="0" name="Sattelite.png"/>
                    <pic:cNvPicPr/>
                  </pic:nvPicPr>
                  <pic:blipFill>
                    <a:blip r:embed="rId15"/>
                    <a:stretch>
                      <a:fillRect/>
                    </a:stretch>
                  </pic:blipFill>
                  <pic:spPr>
                    <a:xfrm>
                      <a:off x="0" y="0"/>
                      <a:ext cx="5669280" cy="2161498"/>
                    </a:xfrm>
                    <a:prstGeom prst="rect"/>
                  </pic:spPr>
                </pic:pic>
              </a:graphicData>
            </a:graphic>
          </wp:inline>
        </w:drawing>
      </w:r>
    </w:p>
    <w:p>
      <w:pPr>
        <w:keepNext w:val="0"/>
        <w:spacing w:before="0" w:after="200"/>
        <w:jc w:val="center"/>
      </w:pPr>
      <w:r>
        <w:rPr>
          <w:rFonts w:ascii="Calibri" w:hAnsi="Calibri"/>
          <w:b/>
          <w:color w:val="0F4C3A"/>
          <w:sz w:val="17"/>
        </w:rPr>
        <w:t xml:space="preserve">Figure 3.1: Sentinel-2 Multi-Spectral Band Composition. </w:t>
      </w:r>
      <w:r>
        <w:rPr>
          <w:rFonts w:ascii="Calibri" w:hAnsi="Calibri"/>
          <w:i/>
          <w:color w:val="475569"/>
          <w:sz w:val="17"/>
        </w:rPr>
        <w:t>Multi-spectral satellite patch composition showing the 8 spectral channels across consecutive fortnightly observation windows, illustrating vegetative green-up and moisture dynamics.</w:t>
      </w:r>
    </w:p>
    <w:p>
      <w:pPr>
        <w:pStyle w:val="Heading1"/>
        <w:keepNext/>
        <w:spacing w:before="320" w:after="120"/>
      </w:pPr>
      <w:r>
        <w:rPr>
          <w:rFonts w:ascii="Calibri" w:hAnsi="Calibri"/>
          <w:b/>
          <w:color w:val="0F4C3A"/>
          <w:sz w:val="33"/>
        </w:rPr>
        <w:t>4. Agricultural Ground Truth &amp; PMFBY Olympic Baseline</w:t>
      </w:r>
    </w:p>
    <w:p>
      <w:pPr>
        <w:spacing w:line="276" w:lineRule="auto" w:before="0" w:after="100"/>
      </w:pPr>
      <w:r>
        <w:rPr>
          <w:rFonts w:ascii="Calibri" w:hAnsi="Calibri"/>
          <w:color w:val="1E293B"/>
          <w:sz w:val="20"/>
        </w:rPr>
        <w:t>Defining agricultural failure through a fixed absolute yield threshold (e.g., &lt; 1,000 kg/ha) is statistically invalid due to substantial agro-climatic disparities across districts (e.g., irrigated Pune vs rainfed Gadchiroli) and long-term technological yield creep from improved hybrid seeds and fertilizer adoption. To establish ground truth aligned with national crop insurance jurisprudence, this project implements the official Pradhan Mantri Fasal Bima Yojana (PMFBY) 5-year rolling Olympic baseline methodology.</w:t>
      </w:r>
    </w:p>
    <w:p>
      <w:pPr>
        <w:spacing w:before="160" w:after="80"/>
        <w:jc w:val="center"/>
      </w:pPr>
      <w:r>
        <w:drawing>
          <wp:inline xmlns:a="http://schemas.openxmlformats.org/drawingml/2006/main" xmlns:pic="http://schemas.openxmlformats.org/drawingml/2006/picture">
            <wp:extent cx="5669280" cy="1899268"/>
            <wp:docPr id="6" name="Picture 6"/>
            <wp:cNvGraphicFramePr>
              <a:graphicFrameLocks noChangeAspect="1"/>
            </wp:cNvGraphicFramePr>
            <a:graphic>
              <a:graphicData uri="http://schemas.openxmlformats.org/drawingml/2006/picture">
                <pic:pic>
                  <pic:nvPicPr>
                    <pic:cNvPr id="0" name="diagram3_pmfby_baseline.png"/>
                    <pic:cNvPicPr/>
                  </pic:nvPicPr>
                  <pic:blipFill>
                    <a:blip r:embed="rId16"/>
                    <a:stretch>
                      <a:fillRect/>
                    </a:stretch>
                  </pic:blipFill>
                  <pic:spPr>
                    <a:xfrm>
                      <a:off x="0" y="0"/>
                      <a:ext cx="5669280" cy="1899268"/>
                    </a:xfrm>
                    <a:prstGeom prst="rect"/>
                  </pic:spPr>
                </pic:pic>
              </a:graphicData>
            </a:graphic>
          </wp:inline>
        </w:drawing>
      </w:r>
    </w:p>
    <w:p>
      <w:pPr>
        <w:keepNext w:val="0"/>
        <w:spacing w:before="0" w:after="200"/>
        <w:jc w:val="center"/>
      </w:pPr>
      <w:r>
        <w:rPr>
          <w:rFonts w:ascii="Calibri" w:hAnsi="Calibri"/>
          <w:b/>
          <w:color w:val="0F4C3A"/>
          <w:sz w:val="17"/>
        </w:rPr>
        <w:t xml:space="preserve">Figure 4.1: PMFBY Rolling Olympic Baseline Logic. </w:t>
      </w:r>
      <w:r>
        <w:rPr>
          <w:rFonts w:ascii="Calibri" w:hAnsi="Calibri"/>
          <w:i/>
          <w:color w:val="475569"/>
          <w:sz w:val="17"/>
        </w:rPr>
        <w:t>Four-stage PMFBY 5-year rolling Olympic baseline workflow and binary failure classification threshold.</w:t>
      </w:r>
    </w:p>
    <w:p>
      <w:pPr>
        <w:pStyle w:val="Heading2"/>
        <w:keepNext/>
        <w:spacing w:before="240" w:after="80"/>
      </w:pPr>
      <w:r>
        <w:rPr>
          <w:rFonts w:ascii="Calibri" w:hAnsi="Calibri"/>
          <w:b/>
          <w:color w:val="0F766E"/>
          <w:sz w:val="25"/>
        </w:rPr>
        <w:t>Mathematical Formulation &amp; Derivation</w:t>
      </w:r>
    </w:p>
    <w:p>
      <w:pPr>
        <w:spacing w:line="276" w:lineRule="auto" w:before="0" w:after="100"/>
      </w:pPr>
      <w:r>
        <w:rPr>
          <w:rFonts w:ascii="Calibri" w:hAnsi="Calibri"/>
          <w:color w:val="1E293B"/>
          <w:sz w:val="20"/>
        </w:rPr>
        <w:t>For a given district D, crop C, and target season Y, the algorithm executes four formal mathematical steps:</w:t>
      </w:r>
    </w:p>
    <w:p>
      <w:pPr>
        <w:spacing w:line="276" w:lineRule="auto" w:before="0" w:after="100"/>
      </w:pPr>
      <w:r>
        <w:rPr>
          <w:rFonts w:ascii="Calibri" w:hAnsi="Calibri"/>
          <w:color w:val="1E293B"/>
          <w:sz w:val="20"/>
        </w:rPr>
        <w:t>1. Historical Candidate Set Extraction: Collect preceding valid historical harvest yields over a 7-year lookback window:</w:t>
      </w:r>
    </w:p>
    <w:p>
      <w:pPr>
        <w:spacing w:line="276" w:lineRule="auto" w:before="0" w:after="100"/>
      </w:pPr>
      <w:r>
        <w:rPr>
          <w:rFonts w:ascii="Calibri" w:hAnsi="Calibri"/>
          <w:b/>
          <w:color w:val="1E293B"/>
        </w:rPr>
        <w:t xml:space="preserve">   Lookback: </w:t>
      </w:r>
      <w:r>
        <w:rPr>
          <w:rFonts w:ascii="Calibri" w:hAnsi="Calibri"/>
          <w:color w:val="1E293B"/>
          <w:sz w:val="20"/>
        </w:rPr>
        <w:t xml:space="preserve">       Y_prior = { Yield_(D,C,t) | Y - 7 &lt;= t &lt; Y  and  Yield_(D,C,t) &gt; 0 }</w:t>
      </w:r>
    </w:p>
    <w:p>
      <w:pPr>
        <w:spacing w:line="276" w:lineRule="auto" w:before="0" w:after="100"/>
      </w:pPr>
      <w:r>
        <w:rPr>
          <w:rFonts w:ascii="Calibri" w:hAnsi="Calibri"/>
          <w:color w:val="1E293B"/>
          <w:sz w:val="20"/>
        </w:rPr>
        <w:t xml:space="preserve">   Strict temporal integrity is enforced: no concurrent or future data is ever included in the baseline calculation.</w:t>
      </w:r>
    </w:p>
    <w:p>
      <w:pPr>
        <w:spacing w:line="276" w:lineRule="auto" w:before="0" w:after="100"/>
      </w:pPr>
      <w:r>
        <w:rPr>
          <w:rFonts w:ascii="Calibri" w:hAnsi="Calibri"/>
          <w:color w:val="1E293B"/>
          <w:sz w:val="20"/>
        </w:rPr>
        <w:t>2. Olympic Sorting: When at least five valid prior seasons exist, the most recent five yields are sorted in ascending order:</w:t>
      </w:r>
    </w:p>
    <w:p>
      <w:pPr>
        <w:spacing w:line="276" w:lineRule="auto" w:before="0" w:after="100"/>
      </w:pPr>
      <w:r>
        <w:rPr>
          <w:rFonts w:ascii="Calibri" w:hAnsi="Calibri"/>
          <w:b/>
          <w:color w:val="1E293B"/>
        </w:rPr>
        <w:t xml:space="preserve">   Sorted Sequence: </w:t>
      </w:r>
      <w:r>
        <w:rPr>
          <w:rFonts w:ascii="Calibri" w:hAnsi="Calibri"/>
          <w:color w:val="1E293B"/>
          <w:sz w:val="20"/>
        </w:rPr>
        <w:t xml:space="preserve">       y_(1) &lt;= y_(2) &lt;= y_(3) &lt;= y_(4) &lt;= y_(5)</w:t>
      </w:r>
    </w:p>
    <w:p>
      <w:pPr>
        <w:spacing w:line="276" w:lineRule="auto" w:before="0" w:after="100"/>
      </w:pPr>
      <w:r>
        <w:rPr>
          <w:rFonts w:ascii="Calibri" w:hAnsi="Calibri"/>
          <w:color w:val="1E293B"/>
          <w:sz w:val="20"/>
        </w:rPr>
        <w:t xml:space="preserve">   The extreme lowest value y_(1) (potential catastrophic outlier) and extreme highest value y_(5) (bumper harvest) are dropped.</w:t>
      </w:r>
    </w:p>
    <w:p>
      <w:pPr>
        <w:spacing w:line="276" w:lineRule="auto" w:before="0" w:after="100"/>
      </w:pPr>
      <w:r>
        <w:rPr>
          <w:rFonts w:ascii="Calibri" w:hAnsi="Calibri"/>
          <w:color w:val="1E293B"/>
          <w:sz w:val="20"/>
        </w:rPr>
        <w:t>3. Baseline Calculation: The Olympic baseline yield is the arithmetic mean of the middle three normal seasons:</w:t>
      </w:r>
    </w:p>
    <w:p>
      <w:pPr>
        <w:spacing w:line="276" w:lineRule="auto" w:before="0" w:after="100"/>
      </w:pPr>
      <w:r>
        <w:rPr>
          <w:rFonts w:ascii="Calibri" w:hAnsi="Calibri"/>
          <w:b/>
          <w:color w:val="1E293B"/>
        </w:rPr>
        <w:t xml:space="preserve">   Olympic Mean: </w:t>
      </w:r>
      <w:r>
        <w:rPr>
          <w:rFonts w:ascii="Calibri" w:hAnsi="Calibri"/>
          <w:color w:val="1E293B"/>
          <w:sz w:val="20"/>
        </w:rPr>
        <w:t xml:space="preserve">       Baseline_(D,C,Y) = ( y_(2) + y_(3) + y_(4) ) / 3</w:t>
      </w:r>
    </w:p>
    <w:p>
      <w:pPr>
        <w:spacing w:line="276" w:lineRule="auto" w:before="0" w:after="100"/>
      </w:pPr>
      <w:r>
        <w:rPr>
          <w:rFonts w:ascii="Calibri" w:hAnsi="Calibri"/>
          <w:color w:val="1E293B"/>
          <w:sz w:val="20"/>
        </w:rPr>
        <w:t>4. Yield Anomaly &amp; Failure Labeling: The percentage departure from normal historical expectation is computed as:</w:t>
      </w:r>
    </w:p>
    <w:p>
      <w:pPr>
        <w:spacing w:line="276" w:lineRule="auto" w:before="0" w:after="100"/>
      </w:pPr>
      <w:r>
        <w:rPr>
          <w:rFonts w:ascii="Calibri" w:hAnsi="Calibri"/>
          <w:b/>
          <w:color w:val="1E293B"/>
        </w:rPr>
        <w:t xml:space="preserve">   Yield Anomaly: </w:t>
      </w:r>
      <w:r>
        <w:rPr>
          <w:rFonts w:ascii="Calibri" w:hAnsi="Calibri"/>
          <w:color w:val="1E293B"/>
          <w:sz w:val="20"/>
        </w:rPr>
        <w:t xml:space="preserve">       Anomaly_% = [ ( Yield_(D,C,Y) - Baseline_(D,C,Y) ) / Baseline_(D,C,Y) ] * 100%</w:t>
      </w:r>
    </w:p>
    <w:p>
      <w:pPr>
        <w:spacing w:line="276" w:lineRule="auto" w:before="0" w:after="100"/>
      </w:pPr>
      <w:r>
        <w:rPr>
          <w:rFonts w:ascii="Calibri" w:hAnsi="Calibri"/>
          <w:b/>
          <w:color w:val="1E293B"/>
        </w:rPr>
        <w:t xml:space="preserve">   Binary Target: </w:t>
      </w:r>
      <w:r>
        <w:rPr>
          <w:rFonts w:ascii="Calibri" w:hAnsi="Calibri"/>
          <w:color w:val="1E293B"/>
          <w:sz w:val="20"/>
        </w:rPr>
        <w:t xml:space="preserve">       Label y_(D,C,Y) = 1 (Crop Failure) if Anomaly_% &lt;= -15.0%, else 0 (Resilient)</w:t>
      </w:r>
    </w:p>
    <w:tbl>
      <w:tblPr>
        <w:tblW w:type="auto" w:w="0"/>
        <w:jc w:val="center"/>
        <w:tblLook w:firstColumn="1" w:firstRow="1" w:lastColumn="0" w:lastRow="0" w:noHBand="0" w:noVBand="1" w:val="04A0"/>
      </w:tblPr>
      <w:tblGrid>
        <w:gridCol w:w="10080"/>
      </w:tblGrid>
      <w:tr>
        <w:tc>
          <w:tcPr>
            <w:tcW w:type="dxa" w:w="10080"/>
            <w:shd w:fill="F0F9FF"/>
            <w:tcMar>
              <w:top w:w="140" w:type="dxa"/>
              <w:bottom w:w="140" w:type="dxa"/>
              <w:left w:w="200" w:type="dxa"/>
              <w:right w:w="200" w:type="dxa"/>
            </w:tcMar>
            <w:tcBorders>
              <w:top w:val="none" w:sz="0" w:space="0" w:color="auto"/>
              <w:left w:val="single" w:sz="24" w:space="0" w:color="0284C7"/>
              <w:bottom w:val="none" w:sz="0" w:space="0" w:color="auto"/>
              <w:right w:val="none" w:sz="0" w:space="0" w:color="auto"/>
            </w:tcBorders>
          </w:tcPr>
          <w:p>
            <w:pPr>
              <w:spacing w:before="40" w:after="40" w:line="276" w:lineRule="auto"/>
            </w:pPr>
            <w:r>
              <w:rPr>
                <w:rFonts w:ascii="Calibri" w:hAnsi="Calibri"/>
                <w:b/>
                <w:color w:val="0369A1"/>
                <w:sz w:val="19"/>
              </w:rPr>
              <w:t xml:space="preserve">ℹ️ PMFBY NUMERICAL CASE STUDY: </w:t>
            </w:r>
            <w:r>
              <w:rPr>
                <w:rFonts w:ascii="Calibri" w:hAnsi="Calibri"/>
                <w:color w:val="0C4A6E"/>
                <w:sz w:val="18"/>
              </w:rPr>
              <w:t>Numerical Demonstration (Gondia Rice 2019): Preceding 5 valid seasons: 2014 (1,740 kg/ha), 2015 (1,480 kg/ha), 2016 (1,890 kg/ha), 2017 (1,620 kg/ha), 2018 (1,550 kg/ha). Sorted: [1480, 1550, 1620, 1740, 1890]. Dropping extremes (1480, 1890) leaves [1550, 1620, 1740]. Baseline = (1550+1620+1740)/3 = 1,636.7 kg/ha. In 2019, actual harvest yield was 1,295 kg/ha. Anomaly = ((1295 - 1636.7) / 1636.7) * 100% = -20.88%. Because -20.88% &lt;= -15.0%, the season is classified as a true agronomic Crop Failure (y = 1).</w:t>
            </w:r>
          </w:p>
        </w:tc>
      </w:tr>
    </w:tbl>
    <w:p>
      <w:pPr>
        <w:spacing w:before="0" w:after="120"/>
      </w:pPr>
    </w:p>
    <w:p>
      <w:pPr>
        <w:pStyle w:val="Heading1"/>
        <w:keepNext/>
        <w:spacing w:before="320" w:after="120"/>
      </w:pPr>
      <w:r>
        <w:rPr>
          <w:rFonts w:ascii="Calibri" w:hAnsi="Calibri"/>
          <w:b/>
          <w:color w:val="0F4C3A"/>
          <w:sz w:val="33"/>
        </w:rPr>
        <w:t>5. Spatiotemporal CNN–LSTM Neural Network Architecture</w:t>
      </w:r>
    </w:p>
    <w:p>
      <w:pPr>
        <w:spacing w:line="276" w:lineRule="auto" w:before="0" w:after="100"/>
      </w:pPr>
      <w:r>
        <w:rPr>
          <w:rFonts w:ascii="Calibri" w:hAnsi="Calibri"/>
          <w:color w:val="1E293B"/>
          <w:sz w:val="20"/>
        </w:rPr>
        <w:t>To simultaneously capture spatial vegetative canopy vigor and temporal degradation across the growing season, we designed a dual-branch neural network combining 2D spatial convolutions with a bidirectional recurrent LSTM. Figure 5.1 illustrates the complete tensor flow and layer hierarchy:</w:t>
      </w:r>
    </w:p>
    <w:p>
      <w:pPr>
        <w:spacing w:before="160" w:after="80"/>
        <w:jc w:val="center"/>
      </w:pPr>
      <w:r>
        <w:drawing>
          <wp:inline xmlns:a="http://schemas.openxmlformats.org/drawingml/2006/main" xmlns:pic="http://schemas.openxmlformats.org/drawingml/2006/picture">
            <wp:extent cx="5852160" cy="2200430"/>
            <wp:docPr id="7" name="Picture 7"/>
            <wp:cNvGraphicFramePr>
              <a:graphicFrameLocks noChangeAspect="1"/>
            </wp:cNvGraphicFramePr>
            <a:graphic>
              <a:graphicData uri="http://schemas.openxmlformats.org/drawingml/2006/picture">
                <pic:pic>
                  <pic:nvPicPr>
                    <pic:cNvPr id="0" name="diagram2_tensor_pipeline.png"/>
                    <pic:cNvPicPr/>
                  </pic:nvPicPr>
                  <pic:blipFill>
                    <a:blip r:embed="rId17"/>
                    <a:stretch>
                      <a:fillRect/>
                    </a:stretch>
                  </pic:blipFill>
                  <pic:spPr>
                    <a:xfrm>
                      <a:off x="0" y="0"/>
                      <a:ext cx="5852160" cy="2200430"/>
                    </a:xfrm>
                    <a:prstGeom prst="rect"/>
                  </pic:spPr>
                </pic:pic>
              </a:graphicData>
            </a:graphic>
          </wp:inline>
        </w:drawing>
      </w:r>
    </w:p>
    <w:p>
      <w:pPr>
        <w:keepNext w:val="0"/>
        <w:spacing w:before="0" w:after="200"/>
        <w:jc w:val="center"/>
      </w:pPr>
      <w:r>
        <w:rPr>
          <w:rFonts w:ascii="Calibri" w:hAnsi="Calibri"/>
          <w:b/>
          <w:color w:val="0F4C3A"/>
          <w:sz w:val="17"/>
        </w:rPr>
        <w:t xml:space="preserve">Figure 5.1: Neural Network Architecture &amp; Tensor Flow. </w:t>
      </w:r>
      <w:r>
        <w:rPr>
          <w:rFonts w:ascii="Calibri" w:hAnsi="Calibri"/>
          <w:i/>
          <w:color w:val="475569"/>
          <w:sz w:val="17"/>
        </w:rPr>
        <w:t>Spatiotemporal deep learning tensor pipeline showing 2D-CNN feature extraction, climate and crop-conditioning fusion, BiLSTM recurrence, and classification head.</w:t>
      </w:r>
    </w:p>
    <w:p>
      <w:pPr>
        <w:pStyle w:val="Heading2"/>
        <w:keepNext/>
        <w:spacing w:before="240" w:after="80"/>
      </w:pPr>
      <w:r>
        <w:rPr>
          <w:rFonts w:ascii="Calibri" w:hAnsi="Calibri"/>
          <w:b/>
          <w:color w:val="0F766E"/>
          <w:sz w:val="25"/>
        </w:rPr>
        <w:t>Layer Tensor Shapes &amp; Flow Specifications</w:t>
      </w:r>
    </w:p>
    <w:tbl>
      <w:tblPr>
        <w:tblW w:type="auto" w:w="0"/>
        <w:jc w:val="center"/>
        <w:tblLook w:firstColumn="1" w:firstRow="1" w:lastColumn="0" w:lastRow="0" w:noHBand="0" w:noVBand="1" w:val="04A0"/>
        <w:tblBorders>
          <w:top w:val="single" w:sz="6" w:space="0" w:color="CBD5E1"/>
          <w:bottom w:val="single" w:sz="8" w:space="0" w:color="CBD5E1"/>
          <w:insideH w:val="single" w:sz="4" w:space="0" w:color="CBD5E1"/>
          <w:insideV w:val="none"/>
          <w:left w:val="none"/>
          <w:right w:val="none"/>
        </w:tblBorders>
      </w:tblPr>
      <w:tblGrid>
        <w:gridCol w:w="2520"/>
        <w:gridCol w:w="2520"/>
        <w:gridCol w:w="2520"/>
        <w:gridCol w:w="2520"/>
      </w:tblGrid>
      <w:tr>
        <w:tc>
          <w:tcPr>
            <w:tcW w:type="dxa" w:w="2520"/>
            <w:shd w:fill="0F4C3A"/>
            <w:tcMar>
              <w:top w:w="80" w:type="dxa"/>
              <w:bottom w:w="80" w:type="dxa"/>
              <w:left w:w="100" w:type="dxa"/>
              <w:right w:w="100" w:type="dxa"/>
            </w:tcMar>
          </w:tcPr>
          <w:p>
            <w:r>
              <w:rPr>
                <w:rFonts w:ascii="Calibri" w:hAnsi="Calibri"/>
                <w:b/>
                <w:color w:val="FFFFFF"/>
                <w:sz w:val="16"/>
              </w:rPr>
              <w:t>Stage / Layer</w:t>
            </w:r>
          </w:p>
        </w:tc>
        <w:tc>
          <w:tcPr>
            <w:tcW w:type="dxa" w:w="2520"/>
            <w:shd w:fill="0F4C3A"/>
            <w:tcMar>
              <w:top w:w="80" w:type="dxa"/>
              <w:bottom w:w="80" w:type="dxa"/>
              <w:left w:w="100" w:type="dxa"/>
              <w:right w:w="100" w:type="dxa"/>
            </w:tcMar>
          </w:tcPr>
          <w:p>
            <w:r>
              <w:rPr>
                <w:rFonts w:ascii="Calibri" w:hAnsi="Calibri"/>
                <w:b/>
                <w:color w:val="FFFFFF"/>
                <w:sz w:val="16"/>
              </w:rPr>
              <w:t>Input Tensor Shape</w:t>
            </w:r>
          </w:p>
        </w:tc>
        <w:tc>
          <w:tcPr>
            <w:tcW w:type="dxa" w:w="2520"/>
            <w:shd w:fill="0F4C3A"/>
            <w:tcMar>
              <w:top w:w="80" w:type="dxa"/>
              <w:bottom w:w="80" w:type="dxa"/>
              <w:left w:w="100" w:type="dxa"/>
              <w:right w:w="100" w:type="dxa"/>
            </w:tcMar>
          </w:tcPr>
          <w:p>
            <w:r>
              <w:rPr>
                <w:rFonts w:ascii="Calibri" w:hAnsi="Calibri"/>
                <w:b/>
                <w:color w:val="FFFFFF"/>
                <w:sz w:val="16"/>
              </w:rPr>
              <w:t>Operations &amp; Hyperparameters</w:t>
            </w:r>
          </w:p>
        </w:tc>
        <w:tc>
          <w:tcPr>
            <w:tcW w:type="dxa" w:w="2520"/>
            <w:shd w:fill="0F4C3A"/>
            <w:tcMar>
              <w:top w:w="80" w:type="dxa"/>
              <w:bottom w:w="80" w:type="dxa"/>
              <w:left w:w="100" w:type="dxa"/>
              <w:right w:w="100" w:type="dxa"/>
            </w:tcMar>
          </w:tcPr>
          <w:p>
            <w:r>
              <w:rPr>
                <w:rFonts w:ascii="Calibri" w:hAnsi="Calibri"/>
                <w:b/>
                <w:color w:val="FFFFFF"/>
                <w:sz w:val="16"/>
              </w:rPr>
              <w:t>Output Tensor Shape</w:t>
            </w:r>
          </w:p>
        </w:tc>
      </w:tr>
      <w:tr>
        <w:tc>
          <w:tcPr>
            <w:tcW w:type="dxa" w:w="2520"/>
            <w:shd w:fill="F8FAFC"/>
            <w:tcMar>
              <w:top w:w="60" w:type="dxa"/>
              <w:bottom w:w="60" w:type="dxa"/>
              <w:left w:w="100" w:type="dxa"/>
              <w:right w:w="100" w:type="dxa"/>
            </w:tcMar>
          </w:tcPr>
          <w:p>
            <w:r>
              <w:rPr>
                <w:rFonts w:ascii="Calibri" w:hAnsi="Calibri"/>
                <w:b/>
                <w:color w:val="1E293B"/>
                <w:sz w:val="16"/>
              </w:rPr>
              <w:t>Satellite Patch Input</w:t>
            </w:r>
          </w:p>
        </w:tc>
        <w:tc>
          <w:tcPr>
            <w:tcW w:type="dxa" w:w="2520"/>
            <w:shd w:fill="F8FAFC"/>
            <w:tcMar>
              <w:top w:w="60" w:type="dxa"/>
              <w:bottom w:w="60" w:type="dxa"/>
              <w:left w:w="100" w:type="dxa"/>
              <w:right w:w="100" w:type="dxa"/>
            </w:tcMar>
          </w:tcPr>
          <w:p>
            <w:r>
              <w:rPr>
                <w:rFonts w:ascii="Calibri" w:hAnsi="Calibri"/>
                <w:color w:val="1E293B"/>
                <w:sz w:val="16"/>
              </w:rPr>
              <w:t>[Batch, 6, 8, 32, 32]</w:t>
            </w:r>
          </w:p>
        </w:tc>
        <w:tc>
          <w:tcPr>
            <w:tcW w:type="dxa" w:w="2520"/>
            <w:shd w:fill="F8FAFC"/>
            <w:tcMar>
              <w:top w:w="60" w:type="dxa"/>
              <w:bottom w:w="60" w:type="dxa"/>
              <w:left w:w="100" w:type="dxa"/>
              <w:right w:w="100" w:type="dxa"/>
            </w:tcMar>
          </w:tcPr>
          <w:p>
            <w:r>
              <w:rPr>
                <w:rFonts w:ascii="Calibri" w:hAnsi="Calibri"/>
                <w:color w:val="1E293B"/>
                <w:sz w:val="16"/>
              </w:rPr>
              <w:t>8 Multi-spectral Channels x 6 Windows</w:t>
            </w:r>
          </w:p>
        </w:tc>
        <w:tc>
          <w:tcPr>
            <w:tcW w:type="dxa" w:w="2520"/>
            <w:shd w:fill="F8FAFC"/>
            <w:tcMar>
              <w:top w:w="60" w:type="dxa"/>
              <w:bottom w:w="60" w:type="dxa"/>
              <w:left w:w="100" w:type="dxa"/>
              <w:right w:w="100" w:type="dxa"/>
            </w:tcMar>
          </w:tcPr>
          <w:p>
            <w:r>
              <w:rPr>
                <w:rFonts w:ascii="Calibri" w:hAnsi="Calibri"/>
                <w:color w:val="1E293B"/>
                <w:sz w:val="16"/>
              </w:rPr>
              <w:t>[Batch*6, 8, 32, 32]</w:t>
            </w:r>
          </w:p>
        </w:tc>
      </w:tr>
      <w:tr>
        <w:tc>
          <w:tcPr>
            <w:tcW w:type="dxa" w:w="2520"/>
            <w:shd w:fill="FFFFFF"/>
            <w:tcMar>
              <w:top w:w="60" w:type="dxa"/>
              <w:bottom w:w="60" w:type="dxa"/>
              <w:left w:w="100" w:type="dxa"/>
              <w:right w:w="100" w:type="dxa"/>
            </w:tcMar>
          </w:tcPr>
          <w:p>
            <w:r>
              <w:rPr>
                <w:rFonts w:ascii="Calibri" w:hAnsi="Calibri"/>
                <w:b/>
                <w:color w:val="1E293B"/>
                <w:sz w:val="16"/>
              </w:rPr>
              <w:t>Spatial CNN Block 1</w:t>
            </w:r>
          </w:p>
        </w:tc>
        <w:tc>
          <w:tcPr>
            <w:tcW w:type="dxa" w:w="2520"/>
            <w:shd w:fill="FFFFFF"/>
            <w:tcMar>
              <w:top w:w="60" w:type="dxa"/>
              <w:bottom w:w="60" w:type="dxa"/>
              <w:left w:w="100" w:type="dxa"/>
              <w:right w:w="100" w:type="dxa"/>
            </w:tcMar>
          </w:tcPr>
          <w:p>
            <w:r>
              <w:rPr>
                <w:rFonts w:ascii="Calibri" w:hAnsi="Calibri"/>
                <w:color w:val="1E293B"/>
                <w:sz w:val="16"/>
              </w:rPr>
              <w:t>[Batch*6, 8, 32, 32]</w:t>
            </w:r>
          </w:p>
        </w:tc>
        <w:tc>
          <w:tcPr>
            <w:tcW w:type="dxa" w:w="2520"/>
            <w:shd w:fill="FFFFFF"/>
            <w:tcMar>
              <w:top w:w="60" w:type="dxa"/>
              <w:bottom w:w="60" w:type="dxa"/>
              <w:left w:w="100" w:type="dxa"/>
              <w:right w:w="100" w:type="dxa"/>
            </w:tcMar>
          </w:tcPr>
          <w:p>
            <w:r>
              <w:rPr>
                <w:rFonts w:ascii="Calibri" w:hAnsi="Calibri"/>
                <w:color w:val="1E293B"/>
                <w:sz w:val="16"/>
              </w:rPr>
              <w:t>Conv2D(8-&gt;16, k=3, p=1) + BN + ReLU + MaxPool(2)</w:t>
            </w:r>
          </w:p>
        </w:tc>
        <w:tc>
          <w:tcPr>
            <w:tcW w:type="dxa" w:w="2520"/>
            <w:shd w:fill="FFFFFF"/>
            <w:tcMar>
              <w:top w:w="60" w:type="dxa"/>
              <w:bottom w:w="60" w:type="dxa"/>
              <w:left w:w="100" w:type="dxa"/>
              <w:right w:w="100" w:type="dxa"/>
            </w:tcMar>
          </w:tcPr>
          <w:p>
            <w:r>
              <w:rPr>
                <w:rFonts w:ascii="Calibri" w:hAnsi="Calibri"/>
                <w:color w:val="1E293B"/>
                <w:sz w:val="16"/>
              </w:rPr>
              <w:t>[Batch*6, 16, 16, 16]</w:t>
            </w:r>
          </w:p>
        </w:tc>
      </w:tr>
      <w:tr>
        <w:tc>
          <w:tcPr>
            <w:tcW w:type="dxa" w:w="2520"/>
            <w:shd w:fill="F8FAFC"/>
            <w:tcMar>
              <w:top w:w="60" w:type="dxa"/>
              <w:bottom w:w="60" w:type="dxa"/>
              <w:left w:w="100" w:type="dxa"/>
              <w:right w:w="100" w:type="dxa"/>
            </w:tcMar>
          </w:tcPr>
          <w:p>
            <w:r>
              <w:rPr>
                <w:rFonts w:ascii="Calibri" w:hAnsi="Calibri"/>
                <w:b/>
                <w:color w:val="1E293B"/>
                <w:sz w:val="16"/>
              </w:rPr>
              <w:t>Spatial CNN Block 2</w:t>
            </w:r>
          </w:p>
        </w:tc>
        <w:tc>
          <w:tcPr>
            <w:tcW w:type="dxa" w:w="2520"/>
            <w:shd w:fill="F8FAFC"/>
            <w:tcMar>
              <w:top w:w="60" w:type="dxa"/>
              <w:bottom w:w="60" w:type="dxa"/>
              <w:left w:w="100" w:type="dxa"/>
              <w:right w:w="100" w:type="dxa"/>
            </w:tcMar>
          </w:tcPr>
          <w:p>
            <w:r>
              <w:rPr>
                <w:rFonts w:ascii="Calibri" w:hAnsi="Calibri"/>
                <w:color w:val="1E293B"/>
                <w:sz w:val="16"/>
              </w:rPr>
              <w:t>[Batch*6, 16, 16, 16]</w:t>
            </w:r>
          </w:p>
        </w:tc>
        <w:tc>
          <w:tcPr>
            <w:tcW w:type="dxa" w:w="2520"/>
            <w:shd w:fill="F8FAFC"/>
            <w:tcMar>
              <w:top w:w="60" w:type="dxa"/>
              <w:bottom w:w="60" w:type="dxa"/>
              <w:left w:w="100" w:type="dxa"/>
              <w:right w:w="100" w:type="dxa"/>
            </w:tcMar>
          </w:tcPr>
          <w:p>
            <w:r>
              <w:rPr>
                <w:rFonts w:ascii="Calibri" w:hAnsi="Calibri"/>
                <w:color w:val="1E293B"/>
                <w:sz w:val="16"/>
              </w:rPr>
              <w:t>Conv2D(16-&gt;24, k=3, p=1) + BN + ReLU + MaxPool(2)</w:t>
            </w:r>
          </w:p>
        </w:tc>
        <w:tc>
          <w:tcPr>
            <w:tcW w:type="dxa" w:w="2520"/>
            <w:shd w:fill="F8FAFC"/>
            <w:tcMar>
              <w:top w:w="60" w:type="dxa"/>
              <w:bottom w:w="60" w:type="dxa"/>
              <w:left w:w="100" w:type="dxa"/>
              <w:right w:w="100" w:type="dxa"/>
            </w:tcMar>
          </w:tcPr>
          <w:p>
            <w:r>
              <w:rPr>
                <w:rFonts w:ascii="Calibri" w:hAnsi="Calibri"/>
                <w:color w:val="1E293B"/>
                <w:sz w:val="16"/>
              </w:rPr>
              <w:t>[Batch*6, 24, 8, 8]</w:t>
            </w:r>
          </w:p>
        </w:tc>
      </w:tr>
      <w:tr>
        <w:tc>
          <w:tcPr>
            <w:tcW w:type="dxa" w:w="2520"/>
            <w:shd w:fill="FFFFFF"/>
            <w:tcMar>
              <w:top w:w="60" w:type="dxa"/>
              <w:bottom w:w="60" w:type="dxa"/>
              <w:left w:w="100" w:type="dxa"/>
              <w:right w:w="100" w:type="dxa"/>
            </w:tcMar>
          </w:tcPr>
          <w:p>
            <w:r>
              <w:rPr>
                <w:rFonts w:ascii="Calibri" w:hAnsi="Calibri"/>
                <w:b/>
                <w:color w:val="1E293B"/>
                <w:sz w:val="16"/>
              </w:rPr>
              <w:t>Spatial Adaptive Pool</w:t>
            </w:r>
          </w:p>
        </w:tc>
        <w:tc>
          <w:tcPr>
            <w:tcW w:type="dxa" w:w="2520"/>
            <w:shd w:fill="FFFFFF"/>
            <w:tcMar>
              <w:top w:w="60" w:type="dxa"/>
              <w:bottom w:w="60" w:type="dxa"/>
              <w:left w:w="100" w:type="dxa"/>
              <w:right w:w="100" w:type="dxa"/>
            </w:tcMar>
          </w:tcPr>
          <w:p>
            <w:r>
              <w:rPr>
                <w:rFonts w:ascii="Calibri" w:hAnsi="Calibri"/>
                <w:color w:val="1E293B"/>
                <w:sz w:val="16"/>
              </w:rPr>
              <w:t>[Batch*6, 24, 8, 8]</w:t>
            </w:r>
          </w:p>
        </w:tc>
        <w:tc>
          <w:tcPr>
            <w:tcW w:type="dxa" w:w="2520"/>
            <w:shd w:fill="FFFFFF"/>
            <w:tcMar>
              <w:top w:w="60" w:type="dxa"/>
              <w:bottom w:w="60" w:type="dxa"/>
              <w:left w:w="100" w:type="dxa"/>
              <w:right w:w="100" w:type="dxa"/>
            </w:tcMar>
          </w:tcPr>
          <w:p>
            <w:r>
              <w:rPr>
                <w:rFonts w:ascii="Calibri" w:hAnsi="Calibri"/>
                <w:color w:val="1E293B"/>
                <w:sz w:val="16"/>
              </w:rPr>
              <w:t>AdaptiveAvgPool2d((1,1)) + Flatten()</w:t>
            </w:r>
          </w:p>
        </w:tc>
        <w:tc>
          <w:tcPr>
            <w:tcW w:type="dxa" w:w="2520"/>
            <w:shd w:fill="FFFFFF"/>
            <w:tcMar>
              <w:top w:w="60" w:type="dxa"/>
              <w:bottom w:w="60" w:type="dxa"/>
              <w:left w:w="100" w:type="dxa"/>
              <w:right w:w="100" w:type="dxa"/>
            </w:tcMar>
          </w:tcPr>
          <w:p>
            <w:r>
              <w:rPr>
                <w:rFonts w:ascii="Calibri" w:hAnsi="Calibri"/>
                <w:color w:val="1E293B"/>
                <w:sz w:val="16"/>
              </w:rPr>
              <w:t>[Batch, 6, 24]</w:t>
            </w:r>
          </w:p>
        </w:tc>
      </w:tr>
      <w:tr>
        <w:tc>
          <w:tcPr>
            <w:tcW w:type="dxa" w:w="2520"/>
            <w:shd w:fill="F8FAFC"/>
            <w:tcMar>
              <w:top w:w="60" w:type="dxa"/>
              <w:bottom w:w="60" w:type="dxa"/>
              <w:left w:w="100" w:type="dxa"/>
              <w:right w:w="100" w:type="dxa"/>
            </w:tcMar>
          </w:tcPr>
          <w:p>
            <w:r>
              <w:rPr>
                <w:rFonts w:ascii="Calibri" w:hAnsi="Calibri"/>
                <w:b/>
                <w:color w:val="1E293B"/>
                <w:sz w:val="16"/>
              </w:rPr>
              <w:t>Climate &amp; Conditioning</w:t>
            </w:r>
          </w:p>
        </w:tc>
        <w:tc>
          <w:tcPr>
            <w:tcW w:type="dxa" w:w="2520"/>
            <w:shd w:fill="F8FAFC"/>
            <w:tcMar>
              <w:top w:w="60" w:type="dxa"/>
              <w:bottom w:w="60" w:type="dxa"/>
              <w:left w:w="100" w:type="dxa"/>
              <w:right w:w="100" w:type="dxa"/>
            </w:tcMar>
          </w:tcPr>
          <w:p>
            <w:r>
              <w:rPr>
                <w:rFonts w:ascii="Calibri" w:hAnsi="Calibri"/>
                <w:color w:val="1E293B"/>
                <w:sz w:val="16"/>
              </w:rPr>
              <w:t>[Batch, 6, 10]</w:t>
            </w:r>
          </w:p>
        </w:tc>
        <w:tc>
          <w:tcPr>
            <w:tcW w:type="dxa" w:w="2520"/>
            <w:shd w:fill="F8FAFC"/>
            <w:tcMar>
              <w:top w:w="60" w:type="dxa"/>
              <w:bottom w:w="60" w:type="dxa"/>
              <w:left w:w="100" w:type="dxa"/>
              <w:right w:w="100" w:type="dxa"/>
            </w:tcMar>
          </w:tcPr>
          <w:p>
            <w:r>
              <w:rPr>
                <w:rFonts w:ascii="Calibri" w:hAnsi="Calibri"/>
                <w:color w:val="1E293B"/>
                <w:sz w:val="16"/>
              </w:rPr>
              <w:t>Rainfall (norm) + Departure + ONI + Cov + 6D One-Hot</w:t>
            </w:r>
          </w:p>
        </w:tc>
        <w:tc>
          <w:tcPr>
            <w:tcW w:type="dxa" w:w="2520"/>
            <w:shd w:fill="F8FAFC"/>
            <w:tcMar>
              <w:top w:w="60" w:type="dxa"/>
              <w:bottom w:w="60" w:type="dxa"/>
              <w:left w:w="100" w:type="dxa"/>
              <w:right w:w="100" w:type="dxa"/>
            </w:tcMar>
          </w:tcPr>
          <w:p>
            <w:r>
              <w:rPr>
                <w:rFonts w:ascii="Calibri" w:hAnsi="Calibri"/>
                <w:color w:val="1E293B"/>
                <w:sz w:val="16"/>
              </w:rPr>
              <w:t>[Batch, 6, 10]</w:t>
            </w:r>
          </w:p>
        </w:tc>
      </w:tr>
      <w:tr>
        <w:tc>
          <w:tcPr>
            <w:tcW w:type="dxa" w:w="2520"/>
            <w:shd w:fill="FFFFFF"/>
            <w:tcMar>
              <w:top w:w="60" w:type="dxa"/>
              <w:bottom w:w="60" w:type="dxa"/>
              <w:left w:w="100" w:type="dxa"/>
              <w:right w:w="100" w:type="dxa"/>
            </w:tcMar>
          </w:tcPr>
          <w:p>
            <w:r>
              <w:rPr>
                <w:rFonts w:ascii="Calibri" w:hAnsi="Calibri"/>
                <w:b/>
                <w:color w:val="1E293B"/>
                <w:sz w:val="16"/>
              </w:rPr>
              <w:t>Sequential Concat</w:t>
            </w:r>
          </w:p>
        </w:tc>
        <w:tc>
          <w:tcPr>
            <w:tcW w:type="dxa" w:w="2520"/>
            <w:shd w:fill="FFFFFF"/>
            <w:tcMar>
              <w:top w:w="60" w:type="dxa"/>
              <w:bottom w:w="60" w:type="dxa"/>
              <w:left w:w="100" w:type="dxa"/>
              <w:right w:w="100" w:type="dxa"/>
            </w:tcMar>
          </w:tcPr>
          <w:p>
            <w:r>
              <w:rPr>
                <w:rFonts w:ascii="Calibri" w:hAnsi="Calibri"/>
                <w:color w:val="1E293B"/>
                <w:sz w:val="16"/>
              </w:rPr>
              <w:t>Spatial [24] + Clim [10]</w:t>
            </w:r>
          </w:p>
        </w:tc>
        <w:tc>
          <w:tcPr>
            <w:tcW w:type="dxa" w:w="2520"/>
            <w:shd w:fill="FFFFFF"/>
            <w:tcMar>
              <w:top w:w="60" w:type="dxa"/>
              <w:bottom w:w="60" w:type="dxa"/>
              <w:left w:w="100" w:type="dxa"/>
              <w:right w:w="100" w:type="dxa"/>
            </w:tcMar>
          </w:tcPr>
          <w:p>
            <w:r>
              <w:rPr>
                <w:rFonts w:ascii="Calibri" w:hAnsi="Calibri"/>
                <w:color w:val="1E293B"/>
                <w:sz w:val="16"/>
              </w:rPr>
              <w:t>torch.cat([spatial_feat, climate_seq], dim=-1)</w:t>
            </w:r>
          </w:p>
        </w:tc>
        <w:tc>
          <w:tcPr>
            <w:tcW w:type="dxa" w:w="2520"/>
            <w:shd w:fill="FFFFFF"/>
            <w:tcMar>
              <w:top w:w="60" w:type="dxa"/>
              <w:bottom w:w="60" w:type="dxa"/>
              <w:left w:w="100" w:type="dxa"/>
              <w:right w:w="100" w:type="dxa"/>
            </w:tcMar>
          </w:tcPr>
          <w:p>
            <w:r>
              <w:rPr>
                <w:rFonts w:ascii="Calibri" w:hAnsi="Calibri"/>
                <w:color w:val="1E293B"/>
                <w:sz w:val="16"/>
              </w:rPr>
              <w:t>[Batch, 6, 34]</w:t>
            </w:r>
          </w:p>
        </w:tc>
      </w:tr>
      <w:tr>
        <w:tc>
          <w:tcPr>
            <w:tcW w:type="dxa" w:w="2520"/>
            <w:shd w:fill="F8FAFC"/>
            <w:tcMar>
              <w:top w:w="60" w:type="dxa"/>
              <w:bottom w:w="60" w:type="dxa"/>
              <w:left w:w="100" w:type="dxa"/>
              <w:right w:w="100" w:type="dxa"/>
            </w:tcMar>
          </w:tcPr>
          <w:p>
            <w:r>
              <w:rPr>
                <w:rFonts w:ascii="Calibri" w:hAnsi="Calibri"/>
                <w:b/>
                <w:color w:val="1E293B"/>
                <w:sz w:val="16"/>
              </w:rPr>
              <w:t>Recurrent BiLSTM</w:t>
            </w:r>
          </w:p>
        </w:tc>
        <w:tc>
          <w:tcPr>
            <w:tcW w:type="dxa" w:w="2520"/>
            <w:shd w:fill="F8FAFC"/>
            <w:tcMar>
              <w:top w:w="60" w:type="dxa"/>
              <w:bottom w:w="60" w:type="dxa"/>
              <w:left w:w="100" w:type="dxa"/>
              <w:right w:w="100" w:type="dxa"/>
            </w:tcMar>
          </w:tcPr>
          <w:p>
            <w:r>
              <w:rPr>
                <w:rFonts w:ascii="Calibri" w:hAnsi="Calibri"/>
                <w:color w:val="1E293B"/>
                <w:sz w:val="16"/>
              </w:rPr>
              <w:t>[Batch, 6, 34]</w:t>
            </w:r>
          </w:p>
        </w:tc>
        <w:tc>
          <w:tcPr>
            <w:tcW w:type="dxa" w:w="2520"/>
            <w:shd w:fill="F8FAFC"/>
            <w:tcMar>
              <w:top w:w="60" w:type="dxa"/>
              <w:bottom w:w="60" w:type="dxa"/>
              <w:left w:w="100" w:type="dxa"/>
              <w:right w:w="100" w:type="dxa"/>
            </w:tcMar>
          </w:tcPr>
          <w:p>
            <w:r>
              <w:rPr>
                <w:rFonts w:ascii="Calibri" w:hAnsi="Calibri"/>
                <w:color w:val="1E293B"/>
                <w:sz w:val="16"/>
              </w:rPr>
              <w:t>1 Layer, Bidirectional, Hidden Dim = 24</w:t>
            </w:r>
          </w:p>
        </w:tc>
        <w:tc>
          <w:tcPr>
            <w:tcW w:type="dxa" w:w="2520"/>
            <w:shd w:fill="F8FAFC"/>
            <w:tcMar>
              <w:top w:w="60" w:type="dxa"/>
              <w:bottom w:w="60" w:type="dxa"/>
              <w:left w:w="100" w:type="dxa"/>
              <w:right w:w="100" w:type="dxa"/>
            </w:tcMar>
          </w:tcPr>
          <w:p>
            <w:r>
              <w:rPr>
                <w:rFonts w:ascii="Calibri" w:hAnsi="Calibri"/>
                <w:color w:val="1E293B"/>
                <w:sz w:val="16"/>
              </w:rPr>
              <w:t>[Batch, 6, 48]</w:t>
            </w:r>
          </w:p>
        </w:tc>
      </w:tr>
      <w:tr>
        <w:tc>
          <w:tcPr>
            <w:tcW w:type="dxa" w:w="2520"/>
            <w:shd w:fill="FFFFFF"/>
            <w:tcMar>
              <w:top w:w="60" w:type="dxa"/>
              <w:bottom w:w="60" w:type="dxa"/>
              <w:left w:w="100" w:type="dxa"/>
              <w:right w:w="100" w:type="dxa"/>
            </w:tcMar>
          </w:tcPr>
          <w:p>
            <w:r>
              <w:rPr>
                <w:rFonts w:ascii="Calibri" w:hAnsi="Calibri"/>
                <w:b/>
                <w:color w:val="1E293B"/>
                <w:sz w:val="16"/>
              </w:rPr>
              <w:t>Temporal Pooling</w:t>
            </w:r>
          </w:p>
        </w:tc>
        <w:tc>
          <w:tcPr>
            <w:tcW w:type="dxa" w:w="2520"/>
            <w:shd w:fill="FFFFFF"/>
            <w:tcMar>
              <w:top w:w="60" w:type="dxa"/>
              <w:bottom w:w="60" w:type="dxa"/>
              <w:left w:w="100" w:type="dxa"/>
              <w:right w:w="100" w:type="dxa"/>
            </w:tcMar>
          </w:tcPr>
          <w:p>
            <w:r>
              <w:rPr>
                <w:rFonts w:ascii="Calibri" w:hAnsi="Calibri"/>
                <w:color w:val="1E293B"/>
                <w:sz w:val="16"/>
              </w:rPr>
              <w:t>[Batch, 6, 48]</w:t>
            </w:r>
          </w:p>
        </w:tc>
        <w:tc>
          <w:tcPr>
            <w:tcW w:type="dxa" w:w="2520"/>
            <w:shd w:fill="FFFFFF"/>
            <w:tcMar>
              <w:top w:w="60" w:type="dxa"/>
              <w:bottom w:w="60" w:type="dxa"/>
              <w:left w:w="100" w:type="dxa"/>
              <w:right w:w="100" w:type="dxa"/>
            </w:tcMar>
          </w:tcPr>
          <w:p>
            <w:r>
              <w:rPr>
                <w:rFonts w:ascii="Calibri" w:hAnsi="Calibri"/>
                <w:color w:val="1E293B"/>
                <w:sz w:val="16"/>
              </w:rPr>
              <w:t>Final Timestep State Extraction h_6 = lstm_out[:, -1, :]</w:t>
            </w:r>
          </w:p>
        </w:tc>
        <w:tc>
          <w:tcPr>
            <w:tcW w:type="dxa" w:w="2520"/>
            <w:shd w:fill="FFFFFF"/>
            <w:tcMar>
              <w:top w:w="60" w:type="dxa"/>
              <w:bottom w:w="60" w:type="dxa"/>
              <w:left w:w="100" w:type="dxa"/>
              <w:right w:w="100" w:type="dxa"/>
            </w:tcMar>
          </w:tcPr>
          <w:p>
            <w:r>
              <w:rPr>
                <w:rFonts w:ascii="Calibri" w:hAnsi="Calibri"/>
                <w:color w:val="1E293B"/>
                <w:sz w:val="16"/>
              </w:rPr>
              <w:t>[Batch, 48]</w:t>
            </w:r>
          </w:p>
        </w:tc>
      </w:tr>
      <w:tr>
        <w:tc>
          <w:tcPr>
            <w:tcW w:type="dxa" w:w="2520"/>
            <w:shd w:fill="F8FAFC"/>
            <w:tcMar>
              <w:top w:w="60" w:type="dxa"/>
              <w:bottom w:w="60" w:type="dxa"/>
              <w:left w:w="100" w:type="dxa"/>
              <w:right w:w="100" w:type="dxa"/>
            </w:tcMar>
          </w:tcPr>
          <w:p>
            <w:r>
              <w:rPr>
                <w:rFonts w:ascii="Calibri" w:hAnsi="Calibri"/>
                <w:b/>
                <w:color w:val="1E293B"/>
                <w:sz w:val="16"/>
              </w:rPr>
              <w:t>Classification Head</w:t>
            </w:r>
          </w:p>
        </w:tc>
        <w:tc>
          <w:tcPr>
            <w:tcW w:type="dxa" w:w="2520"/>
            <w:shd w:fill="F8FAFC"/>
            <w:tcMar>
              <w:top w:w="60" w:type="dxa"/>
              <w:bottom w:w="60" w:type="dxa"/>
              <w:left w:w="100" w:type="dxa"/>
              <w:right w:w="100" w:type="dxa"/>
            </w:tcMar>
          </w:tcPr>
          <w:p>
            <w:r>
              <w:rPr>
                <w:rFonts w:ascii="Calibri" w:hAnsi="Calibri"/>
                <w:color w:val="1E293B"/>
                <w:sz w:val="16"/>
              </w:rPr>
              <w:t>[Batch, 48]</w:t>
            </w:r>
          </w:p>
        </w:tc>
        <w:tc>
          <w:tcPr>
            <w:tcW w:type="dxa" w:w="2520"/>
            <w:shd w:fill="F8FAFC"/>
            <w:tcMar>
              <w:top w:w="60" w:type="dxa"/>
              <w:bottom w:w="60" w:type="dxa"/>
              <w:left w:w="100" w:type="dxa"/>
              <w:right w:w="100" w:type="dxa"/>
            </w:tcMar>
          </w:tcPr>
          <w:p>
            <w:r>
              <w:rPr>
                <w:rFonts w:ascii="Calibri" w:hAnsi="Calibri"/>
                <w:color w:val="1E293B"/>
                <w:sz w:val="16"/>
              </w:rPr>
              <w:t>Linear(48-&gt;24) + ReLU + Dropout(0.25) -&gt; Linear(24-&gt;1)</w:t>
            </w:r>
          </w:p>
        </w:tc>
        <w:tc>
          <w:tcPr>
            <w:tcW w:type="dxa" w:w="2520"/>
            <w:shd w:fill="F8FAFC"/>
            <w:tcMar>
              <w:top w:w="60" w:type="dxa"/>
              <w:bottom w:w="60" w:type="dxa"/>
              <w:left w:w="100" w:type="dxa"/>
              <w:right w:w="100" w:type="dxa"/>
            </w:tcMar>
          </w:tcPr>
          <w:p>
            <w:r>
              <w:rPr>
                <w:rFonts w:ascii="Calibri" w:hAnsi="Calibri"/>
                <w:color w:val="1E293B"/>
                <w:sz w:val="16"/>
              </w:rPr>
              <w:t>Logits [Batch, 1]</w:t>
            </w:r>
          </w:p>
        </w:tc>
      </w:tr>
      <w:tr>
        <w:tc>
          <w:tcPr>
            <w:tcW w:type="dxa" w:w="2520"/>
            <w:shd w:fill="FFFFFF"/>
            <w:tcMar>
              <w:top w:w="60" w:type="dxa"/>
              <w:bottom w:w="60" w:type="dxa"/>
              <w:left w:w="100" w:type="dxa"/>
              <w:right w:w="100" w:type="dxa"/>
            </w:tcMar>
          </w:tcPr>
          <w:p>
            <w:r>
              <w:rPr>
                <w:rFonts w:ascii="Calibri" w:hAnsi="Calibri"/>
                <w:b/>
                <w:color w:val="1E293B"/>
                <w:sz w:val="16"/>
              </w:rPr>
              <w:t>Loss Optimization</w:t>
            </w:r>
          </w:p>
        </w:tc>
        <w:tc>
          <w:tcPr>
            <w:tcW w:type="dxa" w:w="2520"/>
            <w:shd w:fill="FFFFFF"/>
            <w:tcMar>
              <w:top w:w="60" w:type="dxa"/>
              <w:bottom w:w="60" w:type="dxa"/>
              <w:left w:w="100" w:type="dxa"/>
              <w:right w:w="100" w:type="dxa"/>
            </w:tcMar>
          </w:tcPr>
          <w:p>
            <w:r>
              <w:rPr>
                <w:rFonts w:ascii="Calibri" w:hAnsi="Calibri"/>
                <w:color w:val="1E293B"/>
                <w:sz w:val="16"/>
              </w:rPr>
              <w:t>Logits &amp; Target y</w:t>
            </w:r>
          </w:p>
        </w:tc>
        <w:tc>
          <w:tcPr>
            <w:tcW w:type="dxa" w:w="2520"/>
            <w:shd w:fill="FFFFFF"/>
            <w:tcMar>
              <w:top w:w="60" w:type="dxa"/>
              <w:bottom w:w="60" w:type="dxa"/>
              <w:left w:w="100" w:type="dxa"/>
              <w:right w:w="100" w:type="dxa"/>
            </w:tcMar>
          </w:tcPr>
          <w:p>
            <w:r>
              <w:rPr>
                <w:rFonts w:ascii="Calibri" w:hAnsi="Calibri"/>
                <w:color w:val="1E293B"/>
                <w:sz w:val="16"/>
              </w:rPr>
              <w:t>BCEWithLogitsLoss(pos_weight = N_neg / N_pos ≈ 4.33)</w:t>
            </w:r>
          </w:p>
        </w:tc>
        <w:tc>
          <w:tcPr>
            <w:tcW w:type="dxa" w:w="2520"/>
            <w:shd w:fill="FFFFFF"/>
            <w:tcMar>
              <w:top w:w="60" w:type="dxa"/>
              <w:bottom w:w="60" w:type="dxa"/>
              <w:left w:w="100" w:type="dxa"/>
              <w:right w:w="100" w:type="dxa"/>
            </w:tcMar>
          </w:tcPr>
          <w:p>
            <w:r>
              <w:rPr>
                <w:rFonts w:ascii="Calibri" w:hAnsi="Calibri"/>
                <w:color w:val="1E293B"/>
                <w:sz w:val="16"/>
              </w:rPr>
              <w:t>Scalar Loss</w:t>
            </w:r>
          </w:p>
        </w:tc>
      </w:tr>
    </w:tbl>
    <w:p>
      <w:pPr>
        <w:spacing w:after="160"/>
      </w:pPr>
    </w:p>
    <w:p>
      <w:pPr>
        <w:pStyle w:val="Heading2"/>
        <w:keepNext/>
        <w:spacing w:before="240" w:after="80"/>
      </w:pPr>
      <w:r>
        <w:rPr>
          <w:rFonts w:ascii="Calibri" w:hAnsi="Calibri"/>
          <w:b/>
          <w:color w:val="0F766E"/>
          <w:sz w:val="25"/>
        </w:rPr>
        <w:t>Class-Weighted Loss Optimization Rationale</w:t>
      </w:r>
    </w:p>
    <w:p>
      <w:pPr>
        <w:spacing w:line="276" w:lineRule="auto" w:before="0" w:after="100"/>
      </w:pPr>
      <w:r>
        <w:rPr>
          <w:rFonts w:ascii="Calibri" w:hAnsi="Calibri"/>
          <w:color w:val="1E293B"/>
          <w:sz w:val="20"/>
        </w:rPr>
        <w:t>In agricultural disaster warning, the societal and economic cost of a False Negative (failing to alert authorities to an impending famine or crop collapse) is vastly higher than that of a False Positive (a precautionary advisory). To reflect this asymmetry, the loss function configures a positive class re-weighting factor: pos_weight = N_neg / N_pos ≈ 4.33. This penalizes missed failures heavily, forcing the optimizer to achieve near-perfect recall (98.3%).</w:t>
      </w:r>
    </w:p>
    <w:p>
      <w:pPr>
        <w:pStyle w:val="Heading1"/>
        <w:keepNext/>
        <w:spacing w:before="320" w:after="120"/>
      </w:pPr>
      <w:r>
        <w:rPr>
          <w:rFonts w:ascii="Calibri" w:hAnsi="Calibri"/>
          <w:b/>
          <w:color w:val="0F4C3A"/>
          <w:sz w:val="33"/>
        </w:rPr>
        <w:t>6. Crop Conditioning Mechanism &amp; Regional Cropland Proxy Disclosure</w:t>
      </w:r>
    </w:p>
    <w:p>
      <w:pPr>
        <w:spacing w:line="276" w:lineRule="auto" w:before="0" w:after="100"/>
      </w:pPr>
      <w:r>
        <w:rPr>
          <w:rFonts w:ascii="Calibri" w:hAnsi="Calibri"/>
          <w:color w:val="1E293B"/>
          <w:sz w:val="20"/>
        </w:rPr>
        <w:t>Inside train_all_kharif_crops_cnn_lstm.py, multi-crop prediction is unified into a single deep learning model through a 6-dimensional one-hot identity vector: Rice [1,0,0,0,0,0], Soybean [0,1,0,0,0,0], Cotton [0,0,1,0,0,0], Bajra [0,0,0,1,0,0], Jowar [0,0,0,0,1,0], and Tur [0,0,0,0,0,1]. This crop identity vector is appended to the normalized climate indicators at every timestep of the BiLSTM, enabling the network to learn crop-specific physiological thresholds under identical meteorological conditions.</w:t>
      </w:r>
    </w:p>
    <w:tbl>
      <w:tblPr>
        <w:tblW w:type="auto" w:w="0"/>
        <w:jc w:val="center"/>
        <w:tblLook w:firstColumn="1" w:firstRow="1" w:lastColumn="0" w:lastRow="0" w:noHBand="0" w:noVBand="1" w:val="04A0"/>
      </w:tblPr>
      <w:tblGrid>
        <w:gridCol w:w="10080"/>
      </w:tblGrid>
      <w:tr>
        <w:tc>
          <w:tcPr>
            <w:tcW w:type="dxa" w:w="10080"/>
            <w:shd w:fill="FEF2F2"/>
            <w:tcMar>
              <w:top w:w="140" w:type="dxa"/>
              <w:bottom w:w="140" w:type="dxa"/>
              <w:left w:w="200" w:type="dxa"/>
              <w:right w:w="200" w:type="dxa"/>
            </w:tcMar>
            <w:tcBorders>
              <w:top w:val="none" w:sz="0" w:space="0" w:color="auto"/>
              <w:left w:val="single" w:sz="24" w:space="0" w:color="E11D48"/>
              <w:bottom w:val="none" w:sz="0" w:space="0" w:color="auto"/>
              <w:right w:val="none" w:sz="0" w:space="0" w:color="auto"/>
            </w:tcBorders>
          </w:tcPr>
          <w:p>
            <w:pPr>
              <w:spacing w:before="40" w:after="40" w:line="276" w:lineRule="auto"/>
            </w:pPr>
            <w:r>
              <w:rPr>
                <w:rFonts w:ascii="Calibri" w:hAnsi="Calibri"/>
                <w:b/>
                <w:color w:val="BE123C"/>
                <w:sz w:val="19"/>
              </w:rPr>
              <w:t xml:space="preserve">🔍 ACADEMIC &amp; REMOTE SENSING METHODOLOGY DISCLOSURE: </w:t>
            </w:r>
            <w:r>
              <w:rPr>
                <w:rFonts w:ascii="Calibri" w:hAnsi="Calibri"/>
                <w:color w:val="881337"/>
                <w:sz w:val="18"/>
              </w:rPr>
              <w:t>Critical Agronomic &amp; Remote Sensing Caveat: In the current dataset, Sentinel-2 multi-spectral patches were sampled across agricultural cropland parcels within 20 canonical districts. The multi-crop neural network pairs these regional cropland patches with each crop's one-hot identity vector and official DES yield label. Consequently, the satellite branch operates as a REGIONAL VEGETATIVE CANOPY AND MOISTURE PROXY (reflecting district-wide vegetative vigor via NDVI and moisture deficit via NDWI), while the crop conditioning vector modulates vulnerability. The model does NOT view field-level segmented crop polygons (e.g., exclusively delineated cotton or soybean boundaries). This design preserves scalability across all 36 districts but should be transparently disclosed in scientific publications.</w:t>
            </w:r>
          </w:p>
        </w:tc>
      </w:tr>
    </w:tbl>
    <w:p>
      <w:pPr>
        <w:spacing w:before="0" w:after="120"/>
      </w:pPr>
    </w:p>
    <w:p>
      <w:pPr>
        <w:pStyle w:val="Heading1"/>
        <w:keepNext/>
        <w:spacing w:before="320" w:after="120"/>
      </w:pPr>
      <w:r>
        <w:rPr>
          <w:rFonts w:ascii="Calibri" w:hAnsi="Calibri"/>
          <w:b/>
          <w:color w:val="0F4C3A"/>
          <w:sz w:val="33"/>
        </w:rPr>
        <w:t>7. Leave-One-Season-Out (LOSO) Validation &amp; Evaluation Metrics</w:t>
      </w:r>
    </w:p>
    <w:p>
      <w:pPr>
        <w:spacing w:line="276" w:lineRule="auto" w:before="0" w:after="100"/>
      </w:pPr>
      <w:r>
        <w:rPr>
          <w:rFonts w:ascii="Calibri" w:hAnsi="Calibri"/>
          <w:color w:val="1E293B"/>
          <w:sz w:val="20"/>
        </w:rPr>
        <w:t>Standard random k-fold cross-validation is fundamentally flawed for climate-agricultural modeling because temporal autocorrelation causes severe data leakage (the model memorizes weather patterns from neighboring districts in the same year). To guarantee strict operational out-of-season generalizability, we evaluated the framework using Leave-One-Season-Out (LOSO) cross-validation: in each fold, one complete Kharif season (e.g., 2019) is completely sequestered as the test set, while the model is trained exclusively on the remaining seasons. Normalization statistics (means and standard deviations) were fitted strictly on training folds.</w:t>
      </w:r>
    </w:p>
    <w:p>
      <w:pPr>
        <w:pStyle w:val="Heading2"/>
        <w:keepNext/>
        <w:spacing w:before="240" w:after="80"/>
      </w:pPr>
      <w:r>
        <w:rPr>
          <w:rFonts w:ascii="Calibri" w:hAnsi="Calibri"/>
          <w:b/>
          <w:color w:val="0F766E"/>
          <w:sz w:val="25"/>
        </w:rPr>
        <w:t>Per-Crop Operational Performance Table (320 District-Crop Seasons)</w:t>
      </w:r>
    </w:p>
    <w:tbl>
      <w:tblPr>
        <w:tblW w:type="auto" w:w="0"/>
        <w:jc w:val="center"/>
        <w:tblLook w:firstColumn="1" w:firstRow="1" w:lastColumn="0" w:lastRow="0" w:noHBand="0" w:noVBand="1" w:val="04A0"/>
        <w:tblBorders>
          <w:top w:val="single" w:sz="6" w:space="0" w:color="CBD5E1"/>
          <w:bottom w:val="single" w:sz="8" w:space="0" w:color="CBD5E1"/>
          <w:insideH w:val="single" w:sz="4" w:space="0" w:color="CBD5E1"/>
          <w:insideV w:val="none"/>
          <w:left w:val="none"/>
          <w:right w:val="none"/>
        </w:tblBorders>
      </w:tblPr>
      <w:tblGrid>
        <w:gridCol w:w="775"/>
        <w:gridCol w:w="775"/>
        <w:gridCol w:w="775"/>
        <w:gridCol w:w="775"/>
        <w:gridCol w:w="775"/>
        <w:gridCol w:w="775"/>
        <w:gridCol w:w="775"/>
        <w:gridCol w:w="775"/>
        <w:gridCol w:w="775"/>
        <w:gridCol w:w="775"/>
        <w:gridCol w:w="775"/>
        <w:gridCol w:w="775"/>
        <w:gridCol w:w="775"/>
      </w:tblGrid>
      <w:tr>
        <w:tc>
          <w:tcPr>
            <w:tcW w:type="dxa" w:w="775"/>
            <w:shd w:fill="1E293B"/>
            <w:tcMar>
              <w:top w:w="70" w:type="dxa"/>
              <w:bottom w:w="70" w:type="dxa"/>
              <w:left w:w="70" w:type="dxa"/>
              <w:right w:w="70" w:type="dxa"/>
            </w:tcMar>
          </w:tcPr>
          <w:p>
            <w:r>
              <w:rPr>
                <w:rFonts w:ascii="Calibri" w:hAnsi="Calibri"/>
                <w:b/>
                <w:color w:val="FFFFFF"/>
                <w:sz w:val="15"/>
              </w:rPr>
              <w:t>Crop</w:t>
            </w:r>
          </w:p>
        </w:tc>
        <w:tc>
          <w:tcPr>
            <w:tcW w:type="dxa" w:w="775"/>
            <w:shd w:fill="1E293B"/>
            <w:tcMar>
              <w:top w:w="70" w:type="dxa"/>
              <w:bottom w:w="70" w:type="dxa"/>
              <w:left w:w="70" w:type="dxa"/>
              <w:right w:w="70" w:type="dxa"/>
            </w:tcMar>
          </w:tcPr>
          <w:p>
            <w:r>
              <w:rPr>
                <w:rFonts w:ascii="Calibri" w:hAnsi="Calibri"/>
                <w:b/>
                <w:color w:val="FFFFFF"/>
                <w:sz w:val="15"/>
              </w:rPr>
              <w:t>Records</w:t>
            </w:r>
          </w:p>
        </w:tc>
        <w:tc>
          <w:tcPr>
            <w:tcW w:type="dxa" w:w="775"/>
            <w:shd w:fill="1E293B"/>
            <w:tcMar>
              <w:top w:w="70" w:type="dxa"/>
              <w:bottom w:w="70" w:type="dxa"/>
              <w:left w:w="70" w:type="dxa"/>
              <w:right w:w="70" w:type="dxa"/>
            </w:tcMar>
          </w:tcPr>
          <w:p>
            <w:r>
              <w:rPr>
                <w:rFonts w:ascii="Calibri" w:hAnsi="Calibri"/>
                <w:b/>
                <w:color w:val="FFFFFF"/>
                <w:sz w:val="15"/>
              </w:rPr>
              <w:t>Failures</w:t>
            </w:r>
          </w:p>
        </w:tc>
        <w:tc>
          <w:tcPr>
            <w:tcW w:type="dxa" w:w="775"/>
            <w:shd w:fill="1E293B"/>
            <w:tcMar>
              <w:top w:w="70" w:type="dxa"/>
              <w:bottom w:w="70" w:type="dxa"/>
              <w:left w:w="70" w:type="dxa"/>
              <w:right w:w="70" w:type="dxa"/>
            </w:tcMar>
          </w:tcPr>
          <w:p>
            <w:r>
              <w:rPr>
                <w:rFonts w:ascii="Calibri" w:hAnsi="Calibri"/>
                <w:b/>
                <w:color w:val="FFFFFF"/>
                <w:sz w:val="15"/>
              </w:rPr>
              <w:t>Rate</w:t>
            </w:r>
          </w:p>
        </w:tc>
        <w:tc>
          <w:tcPr>
            <w:tcW w:type="dxa" w:w="775"/>
            <w:shd w:fill="1E293B"/>
            <w:tcMar>
              <w:top w:w="70" w:type="dxa"/>
              <w:bottom w:w="70" w:type="dxa"/>
              <w:left w:w="70" w:type="dxa"/>
              <w:right w:w="70" w:type="dxa"/>
            </w:tcMar>
          </w:tcPr>
          <w:p>
            <w:r>
              <w:rPr>
                <w:rFonts w:ascii="Calibri" w:hAnsi="Calibri"/>
                <w:b/>
                <w:color w:val="FFFFFF"/>
                <w:sz w:val="15"/>
              </w:rPr>
              <w:t>TN</w:t>
            </w:r>
          </w:p>
        </w:tc>
        <w:tc>
          <w:tcPr>
            <w:tcW w:type="dxa" w:w="775"/>
            <w:shd w:fill="1E293B"/>
            <w:tcMar>
              <w:top w:w="70" w:type="dxa"/>
              <w:bottom w:w="70" w:type="dxa"/>
              <w:left w:w="70" w:type="dxa"/>
              <w:right w:w="70" w:type="dxa"/>
            </w:tcMar>
          </w:tcPr>
          <w:p>
            <w:r>
              <w:rPr>
                <w:rFonts w:ascii="Calibri" w:hAnsi="Calibri"/>
                <w:b/>
                <w:color w:val="FFFFFF"/>
                <w:sz w:val="15"/>
              </w:rPr>
              <w:t>FP</w:t>
            </w:r>
          </w:p>
        </w:tc>
        <w:tc>
          <w:tcPr>
            <w:tcW w:type="dxa" w:w="775"/>
            <w:shd w:fill="1E293B"/>
            <w:tcMar>
              <w:top w:w="70" w:type="dxa"/>
              <w:bottom w:w="70" w:type="dxa"/>
              <w:left w:w="70" w:type="dxa"/>
              <w:right w:w="70" w:type="dxa"/>
            </w:tcMar>
          </w:tcPr>
          <w:p>
            <w:r>
              <w:rPr>
                <w:rFonts w:ascii="Calibri" w:hAnsi="Calibri"/>
                <w:b/>
                <w:color w:val="FFFFFF"/>
                <w:sz w:val="15"/>
              </w:rPr>
              <w:t>FN</w:t>
            </w:r>
          </w:p>
        </w:tc>
        <w:tc>
          <w:tcPr>
            <w:tcW w:type="dxa" w:w="775"/>
            <w:shd w:fill="1E293B"/>
            <w:tcMar>
              <w:top w:w="70" w:type="dxa"/>
              <w:bottom w:w="70" w:type="dxa"/>
              <w:left w:w="70" w:type="dxa"/>
              <w:right w:w="70" w:type="dxa"/>
            </w:tcMar>
          </w:tcPr>
          <w:p>
            <w:r>
              <w:rPr>
                <w:rFonts w:ascii="Calibri" w:hAnsi="Calibri"/>
                <w:b/>
                <w:color w:val="FFFFFF"/>
                <w:sz w:val="15"/>
              </w:rPr>
              <w:t>TP</w:t>
            </w:r>
          </w:p>
        </w:tc>
        <w:tc>
          <w:tcPr>
            <w:tcW w:type="dxa" w:w="775"/>
            <w:shd w:fill="1E293B"/>
            <w:tcMar>
              <w:top w:w="70" w:type="dxa"/>
              <w:bottom w:w="70" w:type="dxa"/>
              <w:left w:w="70" w:type="dxa"/>
              <w:right w:w="70" w:type="dxa"/>
            </w:tcMar>
          </w:tcPr>
          <w:p>
            <w:r>
              <w:rPr>
                <w:rFonts w:ascii="Calibri" w:hAnsi="Calibri"/>
                <w:b/>
                <w:color w:val="FFFFFF"/>
                <w:sz w:val="15"/>
              </w:rPr>
              <w:t>Precision</w:t>
            </w:r>
          </w:p>
        </w:tc>
        <w:tc>
          <w:tcPr>
            <w:tcW w:type="dxa" w:w="775"/>
            <w:shd w:fill="1E293B"/>
            <w:tcMar>
              <w:top w:w="70" w:type="dxa"/>
              <w:bottom w:w="70" w:type="dxa"/>
              <w:left w:w="70" w:type="dxa"/>
              <w:right w:w="70" w:type="dxa"/>
            </w:tcMar>
          </w:tcPr>
          <w:p>
            <w:r>
              <w:rPr>
                <w:rFonts w:ascii="Calibri" w:hAnsi="Calibri"/>
                <w:b/>
                <w:color w:val="FFFFFF"/>
                <w:sz w:val="15"/>
              </w:rPr>
              <w:t>Recall</w:t>
            </w:r>
          </w:p>
        </w:tc>
        <w:tc>
          <w:tcPr>
            <w:tcW w:type="dxa" w:w="775"/>
            <w:shd w:fill="1E293B"/>
            <w:tcMar>
              <w:top w:w="70" w:type="dxa"/>
              <w:bottom w:w="70" w:type="dxa"/>
              <w:left w:w="70" w:type="dxa"/>
              <w:right w:w="70" w:type="dxa"/>
            </w:tcMar>
          </w:tcPr>
          <w:p>
            <w:r>
              <w:rPr>
                <w:rFonts w:ascii="Calibri" w:hAnsi="Calibri"/>
                <w:b/>
                <w:color w:val="FFFFFF"/>
                <w:sz w:val="15"/>
              </w:rPr>
              <w:t>F1</w:t>
            </w:r>
          </w:p>
        </w:tc>
        <w:tc>
          <w:tcPr>
            <w:tcW w:type="dxa" w:w="775"/>
            <w:shd w:fill="1E293B"/>
            <w:tcMar>
              <w:top w:w="70" w:type="dxa"/>
              <w:bottom w:w="70" w:type="dxa"/>
              <w:left w:w="70" w:type="dxa"/>
              <w:right w:w="70" w:type="dxa"/>
            </w:tcMar>
          </w:tcPr>
          <w:p>
            <w:r>
              <w:rPr>
                <w:rFonts w:ascii="Calibri" w:hAnsi="Calibri"/>
                <w:b/>
                <w:color w:val="FFFFFF"/>
                <w:sz w:val="15"/>
              </w:rPr>
              <w:t>BalAcc</w:t>
            </w:r>
          </w:p>
        </w:tc>
        <w:tc>
          <w:tcPr>
            <w:tcW w:type="dxa" w:w="775"/>
            <w:shd w:fill="1E293B"/>
            <w:tcMar>
              <w:top w:w="70" w:type="dxa"/>
              <w:bottom w:w="70" w:type="dxa"/>
              <w:left w:w="70" w:type="dxa"/>
              <w:right w:w="70" w:type="dxa"/>
            </w:tcMar>
          </w:tcPr>
          <w:p>
            <w:r>
              <w:rPr>
                <w:rFonts w:ascii="Calibri" w:hAnsi="Calibri"/>
                <w:b/>
                <w:color w:val="FFFFFF"/>
                <w:sz w:val="15"/>
              </w:rPr>
              <w:t>ROC-AUC</w:t>
            </w:r>
          </w:p>
        </w:tc>
      </w:tr>
      <w:tr>
        <w:tc>
          <w:tcPr>
            <w:tcW w:type="dxa" w:w="775"/>
            <w:shd w:fill="F8FAFC"/>
            <w:tcMar>
              <w:top w:w="55" w:type="dxa"/>
              <w:bottom w:w="55" w:type="dxa"/>
              <w:left w:w="70" w:type="dxa"/>
              <w:right w:w="70" w:type="dxa"/>
            </w:tcMar>
          </w:tcPr>
          <w:p>
            <w:r>
              <w:rPr>
                <w:rFonts w:ascii="Calibri" w:hAnsi="Calibri"/>
                <w:b/>
                <w:color w:val="1E293B"/>
                <w:sz w:val="15"/>
              </w:rPr>
              <w:t>Bajra</w:t>
            </w:r>
          </w:p>
        </w:tc>
        <w:tc>
          <w:tcPr>
            <w:tcW w:type="dxa" w:w="775"/>
            <w:shd w:fill="F8FAFC"/>
            <w:tcMar>
              <w:top w:w="55" w:type="dxa"/>
              <w:bottom w:w="55" w:type="dxa"/>
              <w:left w:w="70" w:type="dxa"/>
              <w:right w:w="70" w:type="dxa"/>
            </w:tcMar>
          </w:tcPr>
          <w:p>
            <w:r>
              <w:rPr>
                <w:rFonts w:ascii="Calibri" w:hAnsi="Calibri"/>
                <w:color w:val="1E293B"/>
                <w:sz w:val="15"/>
              </w:rPr>
              <w:t>37</w:t>
            </w:r>
          </w:p>
        </w:tc>
        <w:tc>
          <w:tcPr>
            <w:tcW w:type="dxa" w:w="775"/>
            <w:shd w:fill="F8FAFC"/>
            <w:tcMar>
              <w:top w:w="55" w:type="dxa"/>
              <w:bottom w:w="55" w:type="dxa"/>
              <w:left w:w="70" w:type="dxa"/>
              <w:right w:w="70" w:type="dxa"/>
            </w:tcMar>
          </w:tcPr>
          <w:p>
            <w:r>
              <w:rPr>
                <w:rFonts w:ascii="Calibri" w:hAnsi="Calibri"/>
                <w:color w:val="1E293B"/>
                <w:sz w:val="15"/>
              </w:rPr>
              <w:t>5</w:t>
            </w:r>
          </w:p>
        </w:tc>
        <w:tc>
          <w:tcPr>
            <w:tcW w:type="dxa" w:w="775"/>
            <w:shd w:fill="F8FAFC"/>
            <w:tcMar>
              <w:top w:w="55" w:type="dxa"/>
              <w:bottom w:w="55" w:type="dxa"/>
              <w:left w:w="70" w:type="dxa"/>
              <w:right w:w="70" w:type="dxa"/>
            </w:tcMar>
          </w:tcPr>
          <w:p>
            <w:r>
              <w:rPr>
                <w:rFonts w:ascii="Calibri" w:hAnsi="Calibri"/>
                <w:color w:val="1E293B"/>
                <w:sz w:val="15"/>
              </w:rPr>
              <w:t>13.5%</w:t>
            </w:r>
          </w:p>
        </w:tc>
        <w:tc>
          <w:tcPr>
            <w:tcW w:type="dxa" w:w="775"/>
            <w:shd w:fill="F8FAFC"/>
            <w:tcMar>
              <w:top w:w="55" w:type="dxa"/>
              <w:bottom w:w="55" w:type="dxa"/>
              <w:left w:w="70" w:type="dxa"/>
              <w:right w:w="70" w:type="dxa"/>
            </w:tcMar>
          </w:tcPr>
          <w:p>
            <w:r>
              <w:rPr>
                <w:rFonts w:ascii="Calibri" w:hAnsi="Calibri"/>
                <w:color w:val="1E293B"/>
                <w:sz w:val="15"/>
              </w:rPr>
              <w:t>32</w:t>
            </w:r>
          </w:p>
        </w:tc>
        <w:tc>
          <w:tcPr>
            <w:tcW w:type="dxa" w:w="775"/>
            <w:shd w:fill="F8FAFC"/>
            <w:tcMar>
              <w:top w:w="55" w:type="dxa"/>
              <w:bottom w:w="55" w:type="dxa"/>
              <w:left w:w="70" w:type="dxa"/>
              <w:right w:w="70" w:type="dxa"/>
            </w:tcMar>
          </w:tcPr>
          <w:p>
            <w:r>
              <w:rPr>
                <w:rFonts w:ascii="Calibri" w:hAnsi="Calibri"/>
                <w:color w:val="1E293B"/>
                <w:sz w:val="15"/>
              </w:rPr>
              <w:t>0</w:t>
            </w:r>
          </w:p>
        </w:tc>
        <w:tc>
          <w:tcPr>
            <w:tcW w:type="dxa" w:w="775"/>
            <w:shd w:fill="F8FAFC"/>
            <w:tcMar>
              <w:top w:w="55" w:type="dxa"/>
              <w:bottom w:w="55" w:type="dxa"/>
              <w:left w:w="70" w:type="dxa"/>
              <w:right w:w="70" w:type="dxa"/>
            </w:tcMar>
          </w:tcPr>
          <w:p>
            <w:r>
              <w:rPr>
                <w:rFonts w:ascii="Calibri" w:hAnsi="Calibri"/>
                <w:color w:val="1E293B"/>
                <w:sz w:val="15"/>
              </w:rPr>
              <w:t>0</w:t>
            </w:r>
          </w:p>
        </w:tc>
        <w:tc>
          <w:tcPr>
            <w:tcW w:type="dxa" w:w="775"/>
            <w:shd w:fill="F8FAFC"/>
            <w:tcMar>
              <w:top w:w="55" w:type="dxa"/>
              <w:bottom w:w="55" w:type="dxa"/>
              <w:left w:w="70" w:type="dxa"/>
              <w:right w:w="70" w:type="dxa"/>
            </w:tcMar>
          </w:tcPr>
          <w:p>
            <w:r>
              <w:rPr>
                <w:rFonts w:ascii="Calibri" w:hAnsi="Calibri"/>
                <w:color w:val="1E293B"/>
                <w:sz w:val="15"/>
              </w:rPr>
              <w:t>5</w:t>
            </w:r>
          </w:p>
        </w:tc>
        <w:tc>
          <w:tcPr>
            <w:tcW w:type="dxa" w:w="775"/>
            <w:shd w:fill="F8FAFC"/>
            <w:tcMar>
              <w:top w:w="55" w:type="dxa"/>
              <w:bottom w:w="55" w:type="dxa"/>
              <w:left w:w="70" w:type="dxa"/>
              <w:right w:w="70" w:type="dxa"/>
            </w:tcMar>
          </w:tcPr>
          <w:p>
            <w:r>
              <w:rPr>
                <w:rFonts w:ascii="Calibri" w:hAnsi="Calibri"/>
                <w:b/>
                <w:color w:val="1E293B"/>
                <w:sz w:val="15"/>
              </w:rPr>
              <w:t>100.0%</w:t>
            </w:r>
          </w:p>
        </w:tc>
        <w:tc>
          <w:tcPr>
            <w:tcW w:type="dxa" w:w="775"/>
            <w:shd w:fill="F8FAFC"/>
            <w:tcMar>
              <w:top w:w="55" w:type="dxa"/>
              <w:bottom w:w="55" w:type="dxa"/>
              <w:left w:w="70" w:type="dxa"/>
              <w:right w:w="70" w:type="dxa"/>
            </w:tcMar>
          </w:tcPr>
          <w:p>
            <w:r>
              <w:rPr>
                <w:rFonts w:ascii="Calibri" w:hAnsi="Calibri"/>
                <w:b/>
                <w:color w:val="1E293B"/>
                <w:sz w:val="15"/>
              </w:rPr>
              <w:t>100.0%</w:t>
            </w:r>
          </w:p>
        </w:tc>
        <w:tc>
          <w:tcPr>
            <w:tcW w:type="dxa" w:w="775"/>
            <w:shd w:fill="F8FAFC"/>
            <w:tcMar>
              <w:top w:w="55" w:type="dxa"/>
              <w:bottom w:w="55" w:type="dxa"/>
              <w:left w:w="70" w:type="dxa"/>
              <w:right w:w="70" w:type="dxa"/>
            </w:tcMar>
          </w:tcPr>
          <w:p>
            <w:r>
              <w:rPr>
                <w:rFonts w:ascii="Calibri" w:hAnsi="Calibri"/>
                <w:b/>
                <w:color w:val="1E293B"/>
                <w:sz w:val="15"/>
              </w:rPr>
              <w:t>1.000</w:t>
            </w:r>
          </w:p>
        </w:tc>
        <w:tc>
          <w:tcPr>
            <w:tcW w:type="dxa" w:w="775"/>
            <w:shd w:fill="F8FAFC"/>
            <w:tcMar>
              <w:top w:w="55" w:type="dxa"/>
              <w:bottom w:w="55" w:type="dxa"/>
              <w:left w:w="70" w:type="dxa"/>
              <w:right w:w="70" w:type="dxa"/>
            </w:tcMar>
          </w:tcPr>
          <w:p>
            <w:r>
              <w:rPr>
                <w:rFonts w:ascii="Calibri" w:hAnsi="Calibri"/>
                <w:color w:val="1E293B"/>
                <w:sz w:val="15"/>
              </w:rPr>
              <w:t>1.000</w:t>
            </w:r>
          </w:p>
        </w:tc>
        <w:tc>
          <w:tcPr>
            <w:tcW w:type="dxa" w:w="775"/>
            <w:shd w:fill="F8FAFC"/>
            <w:tcMar>
              <w:top w:w="55" w:type="dxa"/>
              <w:bottom w:w="55" w:type="dxa"/>
              <w:left w:w="70" w:type="dxa"/>
              <w:right w:w="70" w:type="dxa"/>
            </w:tcMar>
          </w:tcPr>
          <w:p>
            <w:r>
              <w:rPr>
                <w:rFonts w:ascii="Calibri" w:hAnsi="Calibri"/>
                <w:b/>
                <w:color w:val="1E293B"/>
                <w:sz w:val="15"/>
              </w:rPr>
              <w:t>1.000</w:t>
            </w:r>
          </w:p>
        </w:tc>
      </w:tr>
      <w:tr>
        <w:tc>
          <w:tcPr>
            <w:tcW w:type="dxa" w:w="775"/>
            <w:shd w:fill="FFFFFF"/>
            <w:tcMar>
              <w:top w:w="55" w:type="dxa"/>
              <w:bottom w:w="55" w:type="dxa"/>
              <w:left w:w="70" w:type="dxa"/>
              <w:right w:w="70" w:type="dxa"/>
            </w:tcMar>
          </w:tcPr>
          <w:p>
            <w:r>
              <w:rPr>
                <w:rFonts w:ascii="Calibri" w:hAnsi="Calibri"/>
                <w:b/>
                <w:color w:val="1E293B"/>
                <w:sz w:val="15"/>
              </w:rPr>
              <w:t>Cotton</w:t>
            </w:r>
          </w:p>
        </w:tc>
        <w:tc>
          <w:tcPr>
            <w:tcW w:type="dxa" w:w="775"/>
            <w:shd w:fill="FFFFFF"/>
            <w:tcMar>
              <w:top w:w="55" w:type="dxa"/>
              <w:bottom w:w="55" w:type="dxa"/>
              <w:left w:w="70" w:type="dxa"/>
              <w:right w:w="70" w:type="dxa"/>
            </w:tcMar>
          </w:tcPr>
          <w:p>
            <w:r>
              <w:rPr>
                <w:rFonts w:ascii="Calibri" w:hAnsi="Calibri"/>
                <w:color w:val="1E293B"/>
                <w:sz w:val="15"/>
              </w:rPr>
              <w:t>49</w:t>
            </w:r>
          </w:p>
        </w:tc>
        <w:tc>
          <w:tcPr>
            <w:tcW w:type="dxa" w:w="775"/>
            <w:shd w:fill="FFFFFF"/>
            <w:tcMar>
              <w:top w:w="55" w:type="dxa"/>
              <w:bottom w:w="55" w:type="dxa"/>
              <w:left w:w="70" w:type="dxa"/>
              <w:right w:w="70" w:type="dxa"/>
            </w:tcMar>
          </w:tcPr>
          <w:p>
            <w:r>
              <w:rPr>
                <w:rFonts w:ascii="Calibri" w:hAnsi="Calibri"/>
                <w:color w:val="1E293B"/>
                <w:sz w:val="15"/>
              </w:rPr>
              <w:t>8</w:t>
            </w:r>
          </w:p>
        </w:tc>
        <w:tc>
          <w:tcPr>
            <w:tcW w:type="dxa" w:w="775"/>
            <w:shd w:fill="FFFFFF"/>
            <w:tcMar>
              <w:top w:w="55" w:type="dxa"/>
              <w:bottom w:w="55" w:type="dxa"/>
              <w:left w:w="70" w:type="dxa"/>
              <w:right w:w="70" w:type="dxa"/>
            </w:tcMar>
          </w:tcPr>
          <w:p>
            <w:r>
              <w:rPr>
                <w:rFonts w:ascii="Calibri" w:hAnsi="Calibri"/>
                <w:color w:val="1E293B"/>
                <w:sz w:val="15"/>
              </w:rPr>
              <w:t>16.3%</w:t>
            </w:r>
          </w:p>
        </w:tc>
        <w:tc>
          <w:tcPr>
            <w:tcW w:type="dxa" w:w="775"/>
            <w:shd w:fill="FFFFFF"/>
            <w:tcMar>
              <w:top w:w="55" w:type="dxa"/>
              <w:bottom w:w="55" w:type="dxa"/>
              <w:left w:w="70" w:type="dxa"/>
              <w:right w:w="70" w:type="dxa"/>
            </w:tcMar>
          </w:tcPr>
          <w:p>
            <w:r>
              <w:rPr>
                <w:rFonts w:ascii="Calibri" w:hAnsi="Calibri"/>
                <w:color w:val="1E293B"/>
                <w:sz w:val="15"/>
              </w:rPr>
              <w:t>40</w:t>
            </w:r>
          </w:p>
        </w:tc>
        <w:tc>
          <w:tcPr>
            <w:tcW w:type="dxa" w:w="775"/>
            <w:shd w:fill="FFFFFF"/>
            <w:tcMar>
              <w:top w:w="55" w:type="dxa"/>
              <w:bottom w:w="55" w:type="dxa"/>
              <w:left w:w="70" w:type="dxa"/>
              <w:right w:w="70" w:type="dxa"/>
            </w:tcMar>
          </w:tcPr>
          <w:p>
            <w:r>
              <w:rPr>
                <w:rFonts w:ascii="Calibri" w:hAnsi="Calibri"/>
                <w:color w:val="1E293B"/>
                <w:sz w:val="15"/>
              </w:rPr>
              <w:t>1</w:t>
            </w:r>
          </w:p>
        </w:tc>
        <w:tc>
          <w:tcPr>
            <w:tcW w:type="dxa" w:w="775"/>
            <w:shd w:fill="FFFFFF"/>
            <w:tcMar>
              <w:top w:w="55" w:type="dxa"/>
              <w:bottom w:w="55" w:type="dxa"/>
              <w:left w:w="70" w:type="dxa"/>
              <w:right w:w="70" w:type="dxa"/>
            </w:tcMar>
          </w:tcPr>
          <w:p>
            <w:r>
              <w:rPr>
                <w:rFonts w:ascii="Calibri" w:hAnsi="Calibri"/>
                <w:color w:val="1E293B"/>
                <w:sz w:val="15"/>
              </w:rPr>
              <w:t>0</w:t>
            </w:r>
          </w:p>
        </w:tc>
        <w:tc>
          <w:tcPr>
            <w:tcW w:type="dxa" w:w="775"/>
            <w:shd w:fill="FFFFFF"/>
            <w:tcMar>
              <w:top w:w="55" w:type="dxa"/>
              <w:bottom w:w="55" w:type="dxa"/>
              <w:left w:w="70" w:type="dxa"/>
              <w:right w:w="70" w:type="dxa"/>
            </w:tcMar>
          </w:tcPr>
          <w:p>
            <w:r>
              <w:rPr>
                <w:rFonts w:ascii="Calibri" w:hAnsi="Calibri"/>
                <w:color w:val="1E293B"/>
                <w:sz w:val="15"/>
              </w:rPr>
              <w:t>8</w:t>
            </w:r>
          </w:p>
        </w:tc>
        <w:tc>
          <w:tcPr>
            <w:tcW w:type="dxa" w:w="775"/>
            <w:shd w:fill="FFFFFF"/>
            <w:tcMar>
              <w:top w:w="55" w:type="dxa"/>
              <w:bottom w:w="55" w:type="dxa"/>
              <w:left w:w="70" w:type="dxa"/>
              <w:right w:w="70" w:type="dxa"/>
            </w:tcMar>
          </w:tcPr>
          <w:p>
            <w:r>
              <w:rPr>
                <w:rFonts w:ascii="Calibri" w:hAnsi="Calibri"/>
                <w:b/>
                <w:color w:val="1E293B"/>
                <w:sz w:val="15"/>
              </w:rPr>
              <w:t>88.9%</w:t>
            </w:r>
          </w:p>
        </w:tc>
        <w:tc>
          <w:tcPr>
            <w:tcW w:type="dxa" w:w="775"/>
            <w:shd w:fill="FFFFFF"/>
            <w:tcMar>
              <w:top w:w="55" w:type="dxa"/>
              <w:bottom w:w="55" w:type="dxa"/>
              <w:left w:w="70" w:type="dxa"/>
              <w:right w:w="70" w:type="dxa"/>
            </w:tcMar>
          </w:tcPr>
          <w:p>
            <w:r>
              <w:rPr>
                <w:rFonts w:ascii="Calibri" w:hAnsi="Calibri"/>
                <w:b/>
                <w:color w:val="1E293B"/>
                <w:sz w:val="15"/>
              </w:rPr>
              <w:t>100.0%</w:t>
            </w:r>
          </w:p>
        </w:tc>
        <w:tc>
          <w:tcPr>
            <w:tcW w:type="dxa" w:w="775"/>
            <w:shd w:fill="FFFFFF"/>
            <w:tcMar>
              <w:top w:w="55" w:type="dxa"/>
              <w:bottom w:w="55" w:type="dxa"/>
              <w:left w:w="70" w:type="dxa"/>
              <w:right w:w="70" w:type="dxa"/>
            </w:tcMar>
          </w:tcPr>
          <w:p>
            <w:r>
              <w:rPr>
                <w:rFonts w:ascii="Calibri" w:hAnsi="Calibri"/>
                <w:b/>
                <w:color w:val="1E293B"/>
                <w:sz w:val="15"/>
              </w:rPr>
              <w:t>0.941</w:t>
            </w:r>
          </w:p>
        </w:tc>
        <w:tc>
          <w:tcPr>
            <w:tcW w:type="dxa" w:w="775"/>
            <w:shd w:fill="FFFFFF"/>
            <w:tcMar>
              <w:top w:w="55" w:type="dxa"/>
              <w:bottom w:w="55" w:type="dxa"/>
              <w:left w:w="70" w:type="dxa"/>
              <w:right w:w="70" w:type="dxa"/>
            </w:tcMar>
          </w:tcPr>
          <w:p>
            <w:r>
              <w:rPr>
                <w:rFonts w:ascii="Calibri" w:hAnsi="Calibri"/>
                <w:color w:val="1E293B"/>
                <w:sz w:val="15"/>
              </w:rPr>
              <w:t>0.988</w:t>
            </w:r>
          </w:p>
        </w:tc>
        <w:tc>
          <w:tcPr>
            <w:tcW w:type="dxa" w:w="775"/>
            <w:shd w:fill="FFFFFF"/>
            <w:tcMar>
              <w:top w:w="55" w:type="dxa"/>
              <w:bottom w:w="55" w:type="dxa"/>
              <w:left w:w="70" w:type="dxa"/>
              <w:right w:w="70" w:type="dxa"/>
            </w:tcMar>
          </w:tcPr>
          <w:p>
            <w:r>
              <w:rPr>
                <w:rFonts w:ascii="Calibri" w:hAnsi="Calibri"/>
                <w:b/>
                <w:color w:val="1E293B"/>
                <w:sz w:val="15"/>
              </w:rPr>
              <w:t>1.000</w:t>
            </w:r>
          </w:p>
        </w:tc>
      </w:tr>
      <w:tr>
        <w:tc>
          <w:tcPr>
            <w:tcW w:type="dxa" w:w="775"/>
            <w:shd w:fill="F8FAFC"/>
            <w:tcMar>
              <w:top w:w="55" w:type="dxa"/>
              <w:bottom w:w="55" w:type="dxa"/>
              <w:left w:w="70" w:type="dxa"/>
              <w:right w:w="70" w:type="dxa"/>
            </w:tcMar>
          </w:tcPr>
          <w:p>
            <w:r>
              <w:rPr>
                <w:rFonts w:ascii="Calibri" w:hAnsi="Calibri"/>
                <w:b/>
                <w:color w:val="1E293B"/>
                <w:sz w:val="15"/>
              </w:rPr>
              <w:t>Jowar</w:t>
            </w:r>
          </w:p>
        </w:tc>
        <w:tc>
          <w:tcPr>
            <w:tcW w:type="dxa" w:w="775"/>
            <w:shd w:fill="F8FAFC"/>
            <w:tcMar>
              <w:top w:w="55" w:type="dxa"/>
              <w:bottom w:w="55" w:type="dxa"/>
              <w:left w:w="70" w:type="dxa"/>
              <w:right w:w="70" w:type="dxa"/>
            </w:tcMar>
          </w:tcPr>
          <w:p>
            <w:r>
              <w:rPr>
                <w:rFonts w:ascii="Calibri" w:hAnsi="Calibri"/>
                <w:color w:val="1E293B"/>
                <w:sz w:val="15"/>
              </w:rPr>
              <w:t>49</w:t>
            </w:r>
          </w:p>
        </w:tc>
        <w:tc>
          <w:tcPr>
            <w:tcW w:type="dxa" w:w="775"/>
            <w:shd w:fill="F8FAFC"/>
            <w:tcMar>
              <w:top w:w="55" w:type="dxa"/>
              <w:bottom w:w="55" w:type="dxa"/>
              <w:left w:w="70" w:type="dxa"/>
              <w:right w:w="70" w:type="dxa"/>
            </w:tcMar>
          </w:tcPr>
          <w:p>
            <w:r>
              <w:rPr>
                <w:rFonts w:ascii="Calibri" w:hAnsi="Calibri"/>
                <w:color w:val="1E293B"/>
                <w:sz w:val="15"/>
              </w:rPr>
              <w:t>16</w:t>
            </w:r>
          </w:p>
        </w:tc>
        <w:tc>
          <w:tcPr>
            <w:tcW w:type="dxa" w:w="775"/>
            <w:shd w:fill="F8FAFC"/>
            <w:tcMar>
              <w:top w:w="55" w:type="dxa"/>
              <w:bottom w:w="55" w:type="dxa"/>
              <w:left w:w="70" w:type="dxa"/>
              <w:right w:w="70" w:type="dxa"/>
            </w:tcMar>
          </w:tcPr>
          <w:p>
            <w:r>
              <w:rPr>
                <w:rFonts w:ascii="Calibri" w:hAnsi="Calibri"/>
                <w:color w:val="1E293B"/>
                <w:sz w:val="15"/>
              </w:rPr>
              <w:t>32.7%</w:t>
            </w:r>
          </w:p>
        </w:tc>
        <w:tc>
          <w:tcPr>
            <w:tcW w:type="dxa" w:w="775"/>
            <w:shd w:fill="F8FAFC"/>
            <w:tcMar>
              <w:top w:w="55" w:type="dxa"/>
              <w:bottom w:w="55" w:type="dxa"/>
              <w:left w:w="70" w:type="dxa"/>
              <w:right w:w="70" w:type="dxa"/>
            </w:tcMar>
          </w:tcPr>
          <w:p>
            <w:r>
              <w:rPr>
                <w:rFonts w:ascii="Calibri" w:hAnsi="Calibri"/>
                <w:color w:val="1E293B"/>
                <w:sz w:val="15"/>
              </w:rPr>
              <w:t>27</w:t>
            </w:r>
          </w:p>
        </w:tc>
        <w:tc>
          <w:tcPr>
            <w:tcW w:type="dxa" w:w="775"/>
            <w:shd w:fill="F8FAFC"/>
            <w:tcMar>
              <w:top w:w="55" w:type="dxa"/>
              <w:bottom w:w="55" w:type="dxa"/>
              <w:left w:w="70" w:type="dxa"/>
              <w:right w:w="70" w:type="dxa"/>
            </w:tcMar>
          </w:tcPr>
          <w:p>
            <w:r>
              <w:rPr>
                <w:rFonts w:ascii="Calibri" w:hAnsi="Calibri"/>
                <w:color w:val="1E293B"/>
                <w:sz w:val="15"/>
              </w:rPr>
              <w:t>6</w:t>
            </w:r>
          </w:p>
        </w:tc>
        <w:tc>
          <w:tcPr>
            <w:tcW w:type="dxa" w:w="775"/>
            <w:shd w:fill="F8FAFC"/>
            <w:tcMar>
              <w:top w:w="55" w:type="dxa"/>
              <w:bottom w:w="55" w:type="dxa"/>
              <w:left w:w="70" w:type="dxa"/>
              <w:right w:w="70" w:type="dxa"/>
            </w:tcMar>
          </w:tcPr>
          <w:p>
            <w:r>
              <w:rPr>
                <w:rFonts w:ascii="Calibri" w:hAnsi="Calibri"/>
                <w:color w:val="1E293B"/>
                <w:sz w:val="15"/>
              </w:rPr>
              <w:t>0</w:t>
            </w:r>
          </w:p>
        </w:tc>
        <w:tc>
          <w:tcPr>
            <w:tcW w:type="dxa" w:w="775"/>
            <w:shd w:fill="F8FAFC"/>
            <w:tcMar>
              <w:top w:w="55" w:type="dxa"/>
              <w:bottom w:w="55" w:type="dxa"/>
              <w:left w:w="70" w:type="dxa"/>
              <w:right w:w="70" w:type="dxa"/>
            </w:tcMar>
          </w:tcPr>
          <w:p>
            <w:r>
              <w:rPr>
                <w:rFonts w:ascii="Calibri" w:hAnsi="Calibri"/>
                <w:color w:val="1E293B"/>
                <w:sz w:val="15"/>
              </w:rPr>
              <w:t>16</w:t>
            </w:r>
          </w:p>
        </w:tc>
        <w:tc>
          <w:tcPr>
            <w:tcW w:type="dxa" w:w="775"/>
            <w:shd w:fill="F8FAFC"/>
            <w:tcMar>
              <w:top w:w="55" w:type="dxa"/>
              <w:bottom w:w="55" w:type="dxa"/>
              <w:left w:w="70" w:type="dxa"/>
              <w:right w:w="70" w:type="dxa"/>
            </w:tcMar>
          </w:tcPr>
          <w:p>
            <w:r>
              <w:rPr>
                <w:rFonts w:ascii="Calibri" w:hAnsi="Calibri"/>
                <w:b/>
                <w:color w:val="1E293B"/>
                <w:sz w:val="15"/>
              </w:rPr>
              <w:t>72.7%</w:t>
            </w:r>
          </w:p>
        </w:tc>
        <w:tc>
          <w:tcPr>
            <w:tcW w:type="dxa" w:w="775"/>
            <w:shd w:fill="F8FAFC"/>
            <w:tcMar>
              <w:top w:w="55" w:type="dxa"/>
              <w:bottom w:w="55" w:type="dxa"/>
              <w:left w:w="70" w:type="dxa"/>
              <w:right w:w="70" w:type="dxa"/>
            </w:tcMar>
          </w:tcPr>
          <w:p>
            <w:r>
              <w:rPr>
                <w:rFonts w:ascii="Calibri" w:hAnsi="Calibri"/>
                <w:b/>
                <w:color w:val="1E293B"/>
                <w:sz w:val="15"/>
              </w:rPr>
              <w:t>100.0%</w:t>
            </w:r>
          </w:p>
        </w:tc>
        <w:tc>
          <w:tcPr>
            <w:tcW w:type="dxa" w:w="775"/>
            <w:shd w:fill="F8FAFC"/>
            <w:tcMar>
              <w:top w:w="55" w:type="dxa"/>
              <w:bottom w:w="55" w:type="dxa"/>
              <w:left w:w="70" w:type="dxa"/>
              <w:right w:w="70" w:type="dxa"/>
            </w:tcMar>
          </w:tcPr>
          <w:p>
            <w:r>
              <w:rPr>
                <w:rFonts w:ascii="Calibri" w:hAnsi="Calibri"/>
                <w:b/>
                <w:color w:val="1E293B"/>
                <w:sz w:val="15"/>
              </w:rPr>
              <w:t>0.842</w:t>
            </w:r>
          </w:p>
        </w:tc>
        <w:tc>
          <w:tcPr>
            <w:tcW w:type="dxa" w:w="775"/>
            <w:shd w:fill="F8FAFC"/>
            <w:tcMar>
              <w:top w:w="55" w:type="dxa"/>
              <w:bottom w:w="55" w:type="dxa"/>
              <w:left w:w="70" w:type="dxa"/>
              <w:right w:w="70" w:type="dxa"/>
            </w:tcMar>
          </w:tcPr>
          <w:p>
            <w:r>
              <w:rPr>
                <w:rFonts w:ascii="Calibri" w:hAnsi="Calibri"/>
                <w:color w:val="1E293B"/>
                <w:sz w:val="15"/>
              </w:rPr>
              <w:t>0.909</w:t>
            </w:r>
          </w:p>
        </w:tc>
        <w:tc>
          <w:tcPr>
            <w:tcW w:type="dxa" w:w="775"/>
            <w:shd w:fill="F8FAFC"/>
            <w:tcMar>
              <w:top w:w="55" w:type="dxa"/>
              <w:bottom w:w="55" w:type="dxa"/>
              <w:left w:w="70" w:type="dxa"/>
              <w:right w:w="70" w:type="dxa"/>
            </w:tcMar>
          </w:tcPr>
          <w:p>
            <w:r>
              <w:rPr>
                <w:rFonts w:ascii="Calibri" w:hAnsi="Calibri"/>
                <w:b/>
                <w:color w:val="1E293B"/>
                <w:sz w:val="15"/>
              </w:rPr>
              <w:t>0.992</w:t>
            </w:r>
          </w:p>
        </w:tc>
      </w:tr>
      <w:tr>
        <w:tc>
          <w:tcPr>
            <w:tcW w:type="dxa" w:w="775"/>
            <w:shd w:fill="FFFFFF"/>
            <w:tcMar>
              <w:top w:w="55" w:type="dxa"/>
              <w:bottom w:w="55" w:type="dxa"/>
              <w:left w:w="70" w:type="dxa"/>
              <w:right w:w="70" w:type="dxa"/>
            </w:tcMar>
          </w:tcPr>
          <w:p>
            <w:r>
              <w:rPr>
                <w:rFonts w:ascii="Calibri" w:hAnsi="Calibri"/>
                <w:b/>
                <w:color w:val="1E293B"/>
                <w:sz w:val="15"/>
              </w:rPr>
              <w:t>Rice</w:t>
            </w:r>
          </w:p>
        </w:tc>
        <w:tc>
          <w:tcPr>
            <w:tcW w:type="dxa" w:w="775"/>
            <w:shd w:fill="FFFFFF"/>
            <w:tcMar>
              <w:top w:w="55" w:type="dxa"/>
              <w:bottom w:w="55" w:type="dxa"/>
              <w:left w:w="70" w:type="dxa"/>
              <w:right w:w="70" w:type="dxa"/>
            </w:tcMar>
          </w:tcPr>
          <w:p>
            <w:r>
              <w:rPr>
                <w:rFonts w:ascii="Calibri" w:hAnsi="Calibri"/>
                <w:color w:val="1E293B"/>
                <w:sz w:val="15"/>
              </w:rPr>
              <w:t>63</w:t>
            </w:r>
          </w:p>
        </w:tc>
        <w:tc>
          <w:tcPr>
            <w:tcW w:type="dxa" w:w="775"/>
            <w:shd w:fill="FFFFFF"/>
            <w:tcMar>
              <w:top w:w="55" w:type="dxa"/>
              <w:bottom w:w="55" w:type="dxa"/>
              <w:left w:w="70" w:type="dxa"/>
              <w:right w:w="70" w:type="dxa"/>
            </w:tcMar>
          </w:tcPr>
          <w:p>
            <w:r>
              <w:rPr>
                <w:rFonts w:ascii="Calibri" w:hAnsi="Calibri"/>
                <w:color w:val="1E293B"/>
                <w:sz w:val="15"/>
              </w:rPr>
              <w:t>8</w:t>
            </w:r>
          </w:p>
        </w:tc>
        <w:tc>
          <w:tcPr>
            <w:tcW w:type="dxa" w:w="775"/>
            <w:shd w:fill="FFFFFF"/>
            <w:tcMar>
              <w:top w:w="55" w:type="dxa"/>
              <w:bottom w:w="55" w:type="dxa"/>
              <w:left w:w="70" w:type="dxa"/>
              <w:right w:w="70" w:type="dxa"/>
            </w:tcMar>
          </w:tcPr>
          <w:p>
            <w:r>
              <w:rPr>
                <w:rFonts w:ascii="Calibri" w:hAnsi="Calibri"/>
                <w:color w:val="1E293B"/>
                <w:sz w:val="15"/>
              </w:rPr>
              <w:t>12.7%</w:t>
            </w:r>
          </w:p>
        </w:tc>
        <w:tc>
          <w:tcPr>
            <w:tcW w:type="dxa" w:w="775"/>
            <w:shd w:fill="FFFFFF"/>
            <w:tcMar>
              <w:top w:w="55" w:type="dxa"/>
              <w:bottom w:w="55" w:type="dxa"/>
              <w:left w:w="70" w:type="dxa"/>
              <w:right w:w="70" w:type="dxa"/>
            </w:tcMar>
          </w:tcPr>
          <w:p>
            <w:r>
              <w:rPr>
                <w:rFonts w:ascii="Calibri" w:hAnsi="Calibri"/>
                <w:color w:val="1E293B"/>
                <w:sz w:val="15"/>
              </w:rPr>
              <w:t>51</w:t>
            </w:r>
          </w:p>
        </w:tc>
        <w:tc>
          <w:tcPr>
            <w:tcW w:type="dxa" w:w="775"/>
            <w:shd w:fill="FFFFFF"/>
            <w:tcMar>
              <w:top w:w="55" w:type="dxa"/>
              <w:bottom w:w="55" w:type="dxa"/>
              <w:left w:w="70" w:type="dxa"/>
              <w:right w:w="70" w:type="dxa"/>
            </w:tcMar>
          </w:tcPr>
          <w:p>
            <w:r>
              <w:rPr>
                <w:rFonts w:ascii="Calibri" w:hAnsi="Calibri"/>
                <w:color w:val="1E293B"/>
                <w:sz w:val="15"/>
              </w:rPr>
              <w:t>4</w:t>
            </w:r>
          </w:p>
        </w:tc>
        <w:tc>
          <w:tcPr>
            <w:tcW w:type="dxa" w:w="775"/>
            <w:shd w:fill="FFFFFF"/>
            <w:tcMar>
              <w:top w:w="55" w:type="dxa"/>
              <w:bottom w:w="55" w:type="dxa"/>
              <w:left w:w="70" w:type="dxa"/>
              <w:right w:w="70" w:type="dxa"/>
            </w:tcMar>
          </w:tcPr>
          <w:p>
            <w:r>
              <w:rPr>
                <w:rFonts w:ascii="Calibri" w:hAnsi="Calibri"/>
                <w:color w:val="1E293B"/>
                <w:sz w:val="15"/>
              </w:rPr>
              <w:t>0</w:t>
            </w:r>
          </w:p>
        </w:tc>
        <w:tc>
          <w:tcPr>
            <w:tcW w:type="dxa" w:w="775"/>
            <w:shd w:fill="FFFFFF"/>
            <w:tcMar>
              <w:top w:w="55" w:type="dxa"/>
              <w:bottom w:w="55" w:type="dxa"/>
              <w:left w:w="70" w:type="dxa"/>
              <w:right w:w="70" w:type="dxa"/>
            </w:tcMar>
          </w:tcPr>
          <w:p>
            <w:r>
              <w:rPr>
                <w:rFonts w:ascii="Calibri" w:hAnsi="Calibri"/>
                <w:color w:val="1E293B"/>
                <w:sz w:val="15"/>
              </w:rPr>
              <w:t>8</w:t>
            </w:r>
          </w:p>
        </w:tc>
        <w:tc>
          <w:tcPr>
            <w:tcW w:type="dxa" w:w="775"/>
            <w:shd w:fill="FFFFFF"/>
            <w:tcMar>
              <w:top w:w="55" w:type="dxa"/>
              <w:bottom w:w="55" w:type="dxa"/>
              <w:left w:w="70" w:type="dxa"/>
              <w:right w:w="70" w:type="dxa"/>
            </w:tcMar>
          </w:tcPr>
          <w:p>
            <w:r>
              <w:rPr>
                <w:rFonts w:ascii="Calibri" w:hAnsi="Calibri"/>
                <w:b/>
                <w:color w:val="1E293B"/>
                <w:sz w:val="15"/>
              </w:rPr>
              <w:t>66.7%</w:t>
            </w:r>
          </w:p>
        </w:tc>
        <w:tc>
          <w:tcPr>
            <w:tcW w:type="dxa" w:w="775"/>
            <w:shd w:fill="FFFFFF"/>
            <w:tcMar>
              <w:top w:w="55" w:type="dxa"/>
              <w:bottom w:w="55" w:type="dxa"/>
              <w:left w:w="70" w:type="dxa"/>
              <w:right w:w="70" w:type="dxa"/>
            </w:tcMar>
          </w:tcPr>
          <w:p>
            <w:r>
              <w:rPr>
                <w:rFonts w:ascii="Calibri" w:hAnsi="Calibri"/>
                <w:b/>
                <w:color w:val="1E293B"/>
                <w:sz w:val="15"/>
              </w:rPr>
              <w:t>100.0%</w:t>
            </w:r>
          </w:p>
        </w:tc>
        <w:tc>
          <w:tcPr>
            <w:tcW w:type="dxa" w:w="775"/>
            <w:shd w:fill="FFFFFF"/>
            <w:tcMar>
              <w:top w:w="55" w:type="dxa"/>
              <w:bottom w:w="55" w:type="dxa"/>
              <w:left w:w="70" w:type="dxa"/>
              <w:right w:w="70" w:type="dxa"/>
            </w:tcMar>
          </w:tcPr>
          <w:p>
            <w:r>
              <w:rPr>
                <w:rFonts w:ascii="Calibri" w:hAnsi="Calibri"/>
                <w:b/>
                <w:color w:val="1E293B"/>
                <w:sz w:val="15"/>
              </w:rPr>
              <w:t>0.800</w:t>
            </w:r>
          </w:p>
        </w:tc>
        <w:tc>
          <w:tcPr>
            <w:tcW w:type="dxa" w:w="775"/>
            <w:shd w:fill="FFFFFF"/>
            <w:tcMar>
              <w:top w:w="55" w:type="dxa"/>
              <w:bottom w:w="55" w:type="dxa"/>
              <w:left w:w="70" w:type="dxa"/>
              <w:right w:w="70" w:type="dxa"/>
            </w:tcMar>
          </w:tcPr>
          <w:p>
            <w:r>
              <w:rPr>
                <w:rFonts w:ascii="Calibri" w:hAnsi="Calibri"/>
                <w:color w:val="1E293B"/>
                <w:sz w:val="15"/>
              </w:rPr>
              <w:t>0.964</w:t>
            </w:r>
          </w:p>
        </w:tc>
        <w:tc>
          <w:tcPr>
            <w:tcW w:type="dxa" w:w="775"/>
            <w:shd w:fill="FFFFFF"/>
            <w:tcMar>
              <w:top w:w="55" w:type="dxa"/>
              <w:bottom w:w="55" w:type="dxa"/>
              <w:left w:w="70" w:type="dxa"/>
              <w:right w:w="70" w:type="dxa"/>
            </w:tcMar>
          </w:tcPr>
          <w:p>
            <w:r>
              <w:rPr>
                <w:rFonts w:ascii="Calibri" w:hAnsi="Calibri"/>
                <w:b/>
                <w:color w:val="1E293B"/>
                <w:sz w:val="15"/>
              </w:rPr>
              <w:t>0.968</w:t>
            </w:r>
          </w:p>
        </w:tc>
      </w:tr>
      <w:tr>
        <w:tc>
          <w:tcPr>
            <w:tcW w:type="dxa" w:w="775"/>
            <w:shd w:fill="F8FAFC"/>
            <w:tcMar>
              <w:top w:w="55" w:type="dxa"/>
              <w:bottom w:w="55" w:type="dxa"/>
              <w:left w:w="70" w:type="dxa"/>
              <w:right w:w="70" w:type="dxa"/>
            </w:tcMar>
          </w:tcPr>
          <w:p>
            <w:r>
              <w:rPr>
                <w:rFonts w:ascii="Calibri" w:hAnsi="Calibri"/>
                <w:b/>
                <w:color w:val="1E293B"/>
                <w:sz w:val="15"/>
              </w:rPr>
              <w:t>Soybean</w:t>
            </w:r>
          </w:p>
        </w:tc>
        <w:tc>
          <w:tcPr>
            <w:tcW w:type="dxa" w:w="775"/>
            <w:shd w:fill="F8FAFC"/>
            <w:tcMar>
              <w:top w:w="55" w:type="dxa"/>
              <w:bottom w:w="55" w:type="dxa"/>
              <w:left w:w="70" w:type="dxa"/>
              <w:right w:w="70" w:type="dxa"/>
            </w:tcMar>
          </w:tcPr>
          <w:p>
            <w:r>
              <w:rPr>
                <w:rFonts w:ascii="Calibri" w:hAnsi="Calibri"/>
                <w:color w:val="1E293B"/>
                <w:sz w:val="15"/>
              </w:rPr>
              <w:t>54</w:t>
            </w:r>
          </w:p>
        </w:tc>
        <w:tc>
          <w:tcPr>
            <w:tcW w:type="dxa" w:w="775"/>
            <w:shd w:fill="F8FAFC"/>
            <w:tcMar>
              <w:top w:w="55" w:type="dxa"/>
              <w:bottom w:w="55" w:type="dxa"/>
              <w:left w:w="70" w:type="dxa"/>
              <w:right w:w="70" w:type="dxa"/>
            </w:tcMar>
          </w:tcPr>
          <w:p>
            <w:r>
              <w:rPr>
                <w:rFonts w:ascii="Calibri" w:hAnsi="Calibri"/>
                <w:color w:val="1E293B"/>
                <w:sz w:val="15"/>
              </w:rPr>
              <w:t>14</w:t>
            </w:r>
          </w:p>
        </w:tc>
        <w:tc>
          <w:tcPr>
            <w:tcW w:type="dxa" w:w="775"/>
            <w:shd w:fill="F8FAFC"/>
            <w:tcMar>
              <w:top w:w="55" w:type="dxa"/>
              <w:bottom w:w="55" w:type="dxa"/>
              <w:left w:w="70" w:type="dxa"/>
              <w:right w:w="70" w:type="dxa"/>
            </w:tcMar>
          </w:tcPr>
          <w:p>
            <w:r>
              <w:rPr>
                <w:rFonts w:ascii="Calibri" w:hAnsi="Calibri"/>
                <w:color w:val="1E293B"/>
                <w:sz w:val="15"/>
              </w:rPr>
              <w:t>25.9%</w:t>
            </w:r>
          </w:p>
        </w:tc>
        <w:tc>
          <w:tcPr>
            <w:tcW w:type="dxa" w:w="775"/>
            <w:shd w:fill="F8FAFC"/>
            <w:tcMar>
              <w:top w:w="55" w:type="dxa"/>
              <w:bottom w:w="55" w:type="dxa"/>
              <w:left w:w="70" w:type="dxa"/>
              <w:right w:w="70" w:type="dxa"/>
            </w:tcMar>
          </w:tcPr>
          <w:p>
            <w:r>
              <w:rPr>
                <w:rFonts w:ascii="Calibri" w:hAnsi="Calibri"/>
                <w:color w:val="1E293B"/>
                <w:sz w:val="15"/>
              </w:rPr>
              <w:t>36</w:t>
            </w:r>
          </w:p>
        </w:tc>
        <w:tc>
          <w:tcPr>
            <w:tcW w:type="dxa" w:w="775"/>
            <w:shd w:fill="F8FAFC"/>
            <w:tcMar>
              <w:top w:w="55" w:type="dxa"/>
              <w:bottom w:w="55" w:type="dxa"/>
              <w:left w:w="70" w:type="dxa"/>
              <w:right w:w="70" w:type="dxa"/>
            </w:tcMar>
          </w:tcPr>
          <w:p>
            <w:r>
              <w:rPr>
                <w:rFonts w:ascii="Calibri" w:hAnsi="Calibri"/>
                <w:color w:val="1E293B"/>
                <w:sz w:val="15"/>
              </w:rPr>
              <w:t>4</w:t>
            </w:r>
          </w:p>
        </w:tc>
        <w:tc>
          <w:tcPr>
            <w:tcW w:type="dxa" w:w="775"/>
            <w:shd w:fill="F8FAFC"/>
            <w:tcMar>
              <w:top w:w="55" w:type="dxa"/>
              <w:bottom w:w="55" w:type="dxa"/>
              <w:left w:w="70" w:type="dxa"/>
              <w:right w:w="70" w:type="dxa"/>
            </w:tcMar>
          </w:tcPr>
          <w:p>
            <w:r>
              <w:rPr>
                <w:rFonts w:ascii="Calibri" w:hAnsi="Calibri"/>
                <w:color w:val="1E293B"/>
                <w:sz w:val="15"/>
              </w:rPr>
              <w:t>0</w:t>
            </w:r>
          </w:p>
        </w:tc>
        <w:tc>
          <w:tcPr>
            <w:tcW w:type="dxa" w:w="775"/>
            <w:shd w:fill="F8FAFC"/>
            <w:tcMar>
              <w:top w:w="55" w:type="dxa"/>
              <w:bottom w:w="55" w:type="dxa"/>
              <w:left w:w="70" w:type="dxa"/>
              <w:right w:w="70" w:type="dxa"/>
            </w:tcMar>
          </w:tcPr>
          <w:p>
            <w:r>
              <w:rPr>
                <w:rFonts w:ascii="Calibri" w:hAnsi="Calibri"/>
                <w:color w:val="1E293B"/>
                <w:sz w:val="15"/>
              </w:rPr>
              <w:t>14</w:t>
            </w:r>
          </w:p>
        </w:tc>
        <w:tc>
          <w:tcPr>
            <w:tcW w:type="dxa" w:w="775"/>
            <w:shd w:fill="F8FAFC"/>
            <w:tcMar>
              <w:top w:w="55" w:type="dxa"/>
              <w:bottom w:w="55" w:type="dxa"/>
              <w:left w:w="70" w:type="dxa"/>
              <w:right w:w="70" w:type="dxa"/>
            </w:tcMar>
          </w:tcPr>
          <w:p>
            <w:r>
              <w:rPr>
                <w:rFonts w:ascii="Calibri" w:hAnsi="Calibri"/>
                <w:b/>
                <w:color w:val="1E293B"/>
                <w:sz w:val="15"/>
              </w:rPr>
              <w:t>77.8%</w:t>
            </w:r>
          </w:p>
        </w:tc>
        <w:tc>
          <w:tcPr>
            <w:tcW w:type="dxa" w:w="775"/>
            <w:shd w:fill="F8FAFC"/>
            <w:tcMar>
              <w:top w:w="55" w:type="dxa"/>
              <w:bottom w:w="55" w:type="dxa"/>
              <w:left w:w="70" w:type="dxa"/>
              <w:right w:w="70" w:type="dxa"/>
            </w:tcMar>
          </w:tcPr>
          <w:p>
            <w:r>
              <w:rPr>
                <w:rFonts w:ascii="Calibri" w:hAnsi="Calibri"/>
                <w:b/>
                <w:color w:val="1E293B"/>
                <w:sz w:val="15"/>
              </w:rPr>
              <w:t>100.0%</w:t>
            </w:r>
          </w:p>
        </w:tc>
        <w:tc>
          <w:tcPr>
            <w:tcW w:type="dxa" w:w="775"/>
            <w:shd w:fill="F8FAFC"/>
            <w:tcMar>
              <w:top w:w="55" w:type="dxa"/>
              <w:bottom w:w="55" w:type="dxa"/>
              <w:left w:w="70" w:type="dxa"/>
              <w:right w:w="70" w:type="dxa"/>
            </w:tcMar>
          </w:tcPr>
          <w:p>
            <w:r>
              <w:rPr>
                <w:rFonts w:ascii="Calibri" w:hAnsi="Calibri"/>
                <w:b/>
                <w:color w:val="1E293B"/>
                <w:sz w:val="15"/>
              </w:rPr>
              <w:t>0.875</w:t>
            </w:r>
          </w:p>
        </w:tc>
        <w:tc>
          <w:tcPr>
            <w:tcW w:type="dxa" w:w="775"/>
            <w:shd w:fill="F8FAFC"/>
            <w:tcMar>
              <w:top w:w="55" w:type="dxa"/>
              <w:bottom w:w="55" w:type="dxa"/>
              <w:left w:w="70" w:type="dxa"/>
              <w:right w:w="70" w:type="dxa"/>
            </w:tcMar>
          </w:tcPr>
          <w:p>
            <w:r>
              <w:rPr>
                <w:rFonts w:ascii="Calibri" w:hAnsi="Calibri"/>
                <w:color w:val="1E293B"/>
                <w:sz w:val="15"/>
              </w:rPr>
              <w:t>0.950</w:t>
            </w:r>
          </w:p>
        </w:tc>
        <w:tc>
          <w:tcPr>
            <w:tcW w:type="dxa" w:w="775"/>
            <w:shd w:fill="F8FAFC"/>
            <w:tcMar>
              <w:top w:w="55" w:type="dxa"/>
              <w:bottom w:w="55" w:type="dxa"/>
              <w:left w:w="70" w:type="dxa"/>
              <w:right w:w="70" w:type="dxa"/>
            </w:tcMar>
          </w:tcPr>
          <w:p>
            <w:r>
              <w:rPr>
                <w:rFonts w:ascii="Calibri" w:hAnsi="Calibri"/>
                <w:b/>
                <w:color w:val="1E293B"/>
                <w:sz w:val="15"/>
              </w:rPr>
              <w:t>0.984</w:t>
            </w:r>
          </w:p>
        </w:tc>
      </w:tr>
      <w:tr>
        <w:tc>
          <w:tcPr>
            <w:tcW w:type="dxa" w:w="775"/>
            <w:shd w:fill="FFFFFF"/>
            <w:tcMar>
              <w:top w:w="55" w:type="dxa"/>
              <w:bottom w:w="55" w:type="dxa"/>
              <w:left w:w="70" w:type="dxa"/>
              <w:right w:w="70" w:type="dxa"/>
            </w:tcMar>
          </w:tcPr>
          <w:p>
            <w:r>
              <w:rPr>
                <w:rFonts w:ascii="Calibri" w:hAnsi="Calibri"/>
                <w:b/>
                <w:color w:val="1E293B"/>
                <w:sz w:val="15"/>
              </w:rPr>
              <w:t>Tur</w:t>
            </w:r>
          </w:p>
        </w:tc>
        <w:tc>
          <w:tcPr>
            <w:tcW w:type="dxa" w:w="775"/>
            <w:shd w:fill="FFFFFF"/>
            <w:tcMar>
              <w:top w:w="55" w:type="dxa"/>
              <w:bottom w:w="55" w:type="dxa"/>
              <w:left w:w="70" w:type="dxa"/>
              <w:right w:w="70" w:type="dxa"/>
            </w:tcMar>
          </w:tcPr>
          <w:p>
            <w:r>
              <w:rPr>
                <w:rFonts w:ascii="Calibri" w:hAnsi="Calibri"/>
                <w:color w:val="1E293B"/>
                <w:sz w:val="15"/>
              </w:rPr>
              <w:t>68</w:t>
            </w:r>
          </w:p>
        </w:tc>
        <w:tc>
          <w:tcPr>
            <w:tcW w:type="dxa" w:w="775"/>
            <w:shd w:fill="FFFFFF"/>
            <w:tcMar>
              <w:top w:w="55" w:type="dxa"/>
              <w:bottom w:w="55" w:type="dxa"/>
              <w:left w:w="70" w:type="dxa"/>
              <w:right w:w="70" w:type="dxa"/>
            </w:tcMar>
          </w:tcPr>
          <w:p>
            <w:r>
              <w:rPr>
                <w:rFonts w:ascii="Calibri" w:hAnsi="Calibri"/>
                <w:color w:val="1E293B"/>
                <w:sz w:val="15"/>
              </w:rPr>
              <w:t>9</w:t>
            </w:r>
          </w:p>
        </w:tc>
        <w:tc>
          <w:tcPr>
            <w:tcW w:type="dxa" w:w="775"/>
            <w:shd w:fill="FFFFFF"/>
            <w:tcMar>
              <w:top w:w="55" w:type="dxa"/>
              <w:bottom w:w="55" w:type="dxa"/>
              <w:left w:w="70" w:type="dxa"/>
              <w:right w:w="70" w:type="dxa"/>
            </w:tcMar>
          </w:tcPr>
          <w:p>
            <w:r>
              <w:rPr>
                <w:rFonts w:ascii="Calibri" w:hAnsi="Calibri"/>
                <w:color w:val="1E293B"/>
                <w:sz w:val="15"/>
              </w:rPr>
              <w:t>13.2%</w:t>
            </w:r>
          </w:p>
        </w:tc>
        <w:tc>
          <w:tcPr>
            <w:tcW w:type="dxa" w:w="775"/>
            <w:shd w:fill="FFFFFF"/>
            <w:tcMar>
              <w:top w:w="55" w:type="dxa"/>
              <w:bottom w:w="55" w:type="dxa"/>
              <w:left w:w="70" w:type="dxa"/>
              <w:right w:w="70" w:type="dxa"/>
            </w:tcMar>
          </w:tcPr>
          <w:p>
            <w:r>
              <w:rPr>
                <w:rFonts w:ascii="Calibri" w:hAnsi="Calibri"/>
                <w:color w:val="1E293B"/>
                <w:sz w:val="15"/>
              </w:rPr>
              <w:t>58</w:t>
            </w:r>
          </w:p>
        </w:tc>
        <w:tc>
          <w:tcPr>
            <w:tcW w:type="dxa" w:w="775"/>
            <w:shd w:fill="FFFFFF"/>
            <w:tcMar>
              <w:top w:w="55" w:type="dxa"/>
              <w:bottom w:w="55" w:type="dxa"/>
              <w:left w:w="70" w:type="dxa"/>
              <w:right w:w="70" w:type="dxa"/>
            </w:tcMar>
          </w:tcPr>
          <w:p>
            <w:r>
              <w:rPr>
                <w:rFonts w:ascii="Calibri" w:hAnsi="Calibri"/>
                <w:color w:val="1E293B"/>
                <w:sz w:val="15"/>
              </w:rPr>
              <w:t>1</w:t>
            </w:r>
          </w:p>
        </w:tc>
        <w:tc>
          <w:tcPr>
            <w:tcW w:type="dxa" w:w="775"/>
            <w:shd w:fill="FFFFFF"/>
            <w:tcMar>
              <w:top w:w="55" w:type="dxa"/>
              <w:bottom w:w="55" w:type="dxa"/>
              <w:left w:w="70" w:type="dxa"/>
              <w:right w:w="70" w:type="dxa"/>
            </w:tcMar>
          </w:tcPr>
          <w:p>
            <w:r>
              <w:rPr>
                <w:rFonts w:ascii="Calibri" w:hAnsi="Calibri"/>
                <w:color w:val="1E293B"/>
                <w:sz w:val="15"/>
              </w:rPr>
              <w:t>1</w:t>
            </w:r>
          </w:p>
        </w:tc>
        <w:tc>
          <w:tcPr>
            <w:tcW w:type="dxa" w:w="775"/>
            <w:shd w:fill="FFFFFF"/>
            <w:tcMar>
              <w:top w:w="55" w:type="dxa"/>
              <w:bottom w:w="55" w:type="dxa"/>
              <w:left w:w="70" w:type="dxa"/>
              <w:right w:w="70" w:type="dxa"/>
            </w:tcMar>
          </w:tcPr>
          <w:p>
            <w:r>
              <w:rPr>
                <w:rFonts w:ascii="Calibri" w:hAnsi="Calibri"/>
                <w:color w:val="1E293B"/>
                <w:sz w:val="15"/>
              </w:rPr>
              <w:t>8</w:t>
            </w:r>
          </w:p>
        </w:tc>
        <w:tc>
          <w:tcPr>
            <w:tcW w:type="dxa" w:w="775"/>
            <w:shd w:fill="FFFFFF"/>
            <w:tcMar>
              <w:top w:w="55" w:type="dxa"/>
              <w:bottom w:w="55" w:type="dxa"/>
              <w:left w:w="70" w:type="dxa"/>
              <w:right w:w="70" w:type="dxa"/>
            </w:tcMar>
          </w:tcPr>
          <w:p>
            <w:r>
              <w:rPr>
                <w:rFonts w:ascii="Calibri" w:hAnsi="Calibri"/>
                <w:b/>
                <w:color w:val="1E293B"/>
                <w:sz w:val="15"/>
              </w:rPr>
              <w:t>88.9%</w:t>
            </w:r>
          </w:p>
        </w:tc>
        <w:tc>
          <w:tcPr>
            <w:tcW w:type="dxa" w:w="775"/>
            <w:shd w:fill="FFFFFF"/>
            <w:tcMar>
              <w:top w:w="55" w:type="dxa"/>
              <w:bottom w:w="55" w:type="dxa"/>
              <w:left w:w="70" w:type="dxa"/>
              <w:right w:w="70" w:type="dxa"/>
            </w:tcMar>
          </w:tcPr>
          <w:p>
            <w:r>
              <w:rPr>
                <w:rFonts w:ascii="Calibri" w:hAnsi="Calibri"/>
                <w:b/>
                <w:color w:val="1E293B"/>
                <w:sz w:val="15"/>
              </w:rPr>
              <w:t>88.9%</w:t>
            </w:r>
          </w:p>
        </w:tc>
        <w:tc>
          <w:tcPr>
            <w:tcW w:type="dxa" w:w="775"/>
            <w:shd w:fill="FFFFFF"/>
            <w:tcMar>
              <w:top w:w="55" w:type="dxa"/>
              <w:bottom w:w="55" w:type="dxa"/>
              <w:left w:w="70" w:type="dxa"/>
              <w:right w:w="70" w:type="dxa"/>
            </w:tcMar>
          </w:tcPr>
          <w:p>
            <w:r>
              <w:rPr>
                <w:rFonts w:ascii="Calibri" w:hAnsi="Calibri"/>
                <w:b/>
                <w:color w:val="1E293B"/>
                <w:sz w:val="15"/>
              </w:rPr>
              <w:t>0.889</w:t>
            </w:r>
          </w:p>
        </w:tc>
        <w:tc>
          <w:tcPr>
            <w:tcW w:type="dxa" w:w="775"/>
            <w:shd w:fill="FFFFFF"/>
            <w:tcMar>
              <w:top w:w="55" w:type="dxa"/>
              <w:bottom w:w="55" w:type="dxa"/>
              <w:left w:w="70" w:type="dxa"/>
              <w:right w:w="70" w:type="dxa"/>
            </w:tcMar>
          </w:tcPr>
          <w:p>
            <w:r>
              <w:rPr>
                <w:rFonts w:ascii="Calibri" w:hAnsi="Calibri"/>
                <w:color w:val="1E293B"/>
                <w:sz w:val="15"/>
              </w:rPr>
              <w:t>0.936</w:t>
            </w:r>
          </w:p>
        </w:tc>
        <w:tc>
          <w:tcPr>
            <w:tcW w:type="dxa" w:w="775"/>
            <w:shd w:fill="FFFFFF"/>
            <w:tcMar>
              <w:top w:w="55" w:type="dxa"/>
              <w:bottom w:w="55" w:type="dxa"/>
              <w:left w:w="70" w:type="dxa"/>
              <w:right w:w="70" w:type="dxa"/>
            </w:tcMar>
          </w:tcPr>
          <w:p>
            <w:r>
              <w:rPr>
                <w:rFonts w:ascii="Calibri" w:hAnsi="Calibri"/>
                <w:b/>
                <w:color w:val="1E293B"/>
                <w:sz w:val="15"/>
              </w:rPr>
              <w:t>0.985</w:t>
            </w:r>
          </w:p>
        </w:tc>
      </w:tr>
      <w:tr>
        <w:tc>
          <w:tcPr>
            <w:tcW w:type="dxa" w:w="775"/>
            <w:shd w:fill="E2E8F0"/>
            <w:tcMar>
              <w:top w:w="55" w:type="dxa"/>
              <w:bottom w:w="55" w:type="dxa"/>
              <w:left w:w="70" w:type="dxa"/>
              <w:right w:w="70" w:type="dxa"/>
            </w:tcMar>
          </w:tcPr>
          <w:p>
            <w:r>
              <w:rPr>
                <w:rFonts w:ascii="Calibri" w:hAnsi="Calibri"/>
                <w:b/>
                <w:color w:val="1E293B"/>
                <w:sz w:val="15"/>
              </w:rPr>
              <w:t>Overall</w:t>
            </w:r>
          </w:p>
        </w:tc>
        <w:tc>
          <w:tcPr>
            <w:tcW w:type="dxa" w:w="775"/>
            <w:shd w:fill="E2E8F0"/>
            <w:tcMar>
              <w:top w:w="55" w:type="dxa"/>
              <w:bottom w:w="55" w:type="dxa"/>
              <w:left w:w="70" w:type="dxa"/>
              <w:right w:w="70" w:type="dxa"/>
            </w:tcMar>
          </w:tcPr>
          <w:p>
            <w:r>
              <w:rPr>
                <w:rFonts w:ascii="Calibri" w:hAnsi="Calibri"/>
                <w:b/>
                <w:color w:val="1E293B"/>
                <w:sz w:val="15"/>
              </w:rPr>
              <w:t>320</w:t>
            </w:r>
          </w:p>
        </w:tc>
        <w:tc>
          <w:tcPr>
            <w:tcW w:type="dxa" w:w="775"/>
            <w:shd w:fill="E2E8F0"/>
            <w:tcMar>
              <w:top w:w="55" w:type="dxa"/>
              <w:bottom w:w="55" w:type="dxa"/>
              <w:left w:w="70" w:type="dxa"/>
              <w:right w:w="70" w:type="dxa"/>
            </w:tcMar>
          </w:tcPr>
          <w:p>
            <w:r>
              <w:rPr>
                <w:rFonts w:ascii="Calibri" w:hAnsi="Calibri"/>
                <w:b/>
                <w:color w:val="1E293B"/>
                <w:sz w:val="15"/>
              </w:rPr>
              <w:t>60</w:t>
            </w:r>
          </w:p>
        </w:tc>
        <w:tc>
          <w:tcPr>
            <w:tcW w:type="dxa" w:w="775"/>
            <w:shd w:fill="E2E8F0"/>
            <w:tcMar>
              <w:top w:w="55" w:type="dxa"/>
              <w:bottom w:w="55" w:type="dxa"/>
              <w:left w:w="70" w:type="dxa"/>
              <w:right w:w="70" w:type="dxa"/>
            </w:tcMar>
          </w:tcPr>
          <w:p>
            <w:r>
              <w:rPr>
                <w:rFonts w:ascii="Calibri" w:hAnsi="Calibri"/>
                <w:b/>
                <w:color w:val="1E293B"/>
                <w:sz w:val="15"/>
              </w:rPr>
              <w:t>18.8%</w:t>
            </w:r>
          </w:p>
        </w:tc>
        <w:tc>
          <w:tcPr>
            <w:tcW w:type="dxa" w:w="775"/>
            <w:shd w:fill="E2E8F0"/>
            <w:tcMar>
              <w:top w:w="55" w:type="dxa"/>
              <w:bottom w:w="55" w:type="dxa"/>
              <w:left w:w="70" w:type="dxa"/>
              <w:right w:w="70" w:type="dxa"/>
            </w:tcMar>
          </w:tcPr>
          <w:p>
            <w:r>
              <w:rPr>
                <w:rFonts w:ascii="Calibri" w:hAnsi="Calibri"/>
                <w:b/>
                <w:color w:val="1E293B"/>
                <w:sz w:val="15"/>
              </w:rPr>
              <w:t>244</w:t>
            </w:r>
          </w:p>
        </w:tc>
        <w:tc>
          <w:tcPr>
            <w:tcW w:type="dxa" w:w="775"/>
            <w:shd w:fill="E2E8F0"/>
            <w:tcMar>
              <w:top w:w="55" w:type="dxa"/>
              <w:bottom w:w="55" w:type="dxa"/>
              <w:left w:w="70" w:type="dxa"/>
              <w:right w:w="70" w:type="dxa"/>
            </w:tcMar>
          </w:tcPr>
          <w:p>
            <w:r>
              <w:rPr>
                <w:rFonts w:ascii="Calibri" w:hAnsi="Calibri"/>
                <w:b/>
                <w:color w:val="1E293B"/>
                <w:sz w:val="15"/>
              </w:rPr>
              <w:t>16</w:t>
            </w:r>
          </w:p>
        </w:tc>
        <w:tc>
          <w:tcPr>
            <w:tcW w:type="dxa" w:w="775"/>
            <w:shd w:fill="E2E8F0"/>
            <w:tcMar>
              <w:top w:w="55" w:type="dxa"/>
              <w:bottom w:w="55" w:type="dxa"/>
              <w:left w:w="70" w:type="dxa"/>
              <w:right w:w="70" w:type="dxa"/>
            </w:tcMar>
          </w:tcPr>
          <w:p>
            <w:r>
              <w:rPr>
                <w:rFonts w:ascii="Calibri" w:hAnsi="Calibri"/>
                <w:b/>
                <w:color w:val="1E293B"/>
                <w:sz w:val="15"/>
              </w:rPr>
              <w:t>1</w:t>
            </w:r>
          </w:p>
        </w:tc>
        <w:tc>
          <w:tcPr>
            <w:tcW w:type="dxa" w:w="775"/>
            <w:shd w:fill="E2E8F0"/>
            <w:tcMar>
              <w:top w:w="55" w:type="dxa"/>
              <w:bottom w:w="55" w:type="dxa"/>
              <w:left w:w="70" w:type="dxa"/>
              <w:right w:w="70" w:type="dxa"/>
            </w:tcMar>
          </w:tcPr>
          <w:p>
            <w:r>
              <w:rPr>
                <w:rFonts w:ascii="Calibri" w:hAnsi="Calibri"/>
                <w:b/>
                <w:color w:val="1E293B"/>
                <w:sz w:val="15"/>
              </w:rPr>
              <w:t>59</w:t>
            </w:r>
          </w:p>
        </w:tc>
        <w:tc>
          <w:tcPr>
            <w:tcW w:type="dxa" w:w="775"/>
            <w:shd w:fill="E2E8F0"/>
            <w:tcMar>
              <w:top w:w="55" w:type="dxa"/>
              <w:bottom w:w="55" w:type="dxa"/>
              <w:left w:w="70" w:type="dxa"/>
              <w:right w:w="70" w:type="dxa"/>
            </w:tcMar>
          </w:tcPr>
          <w:p>
            <w:r>
              <w:rPr>
                <w:rFonts w:ascii="Calibri" w:hAnsi="Calibri"/>
                <w:b/>
                <w:color w:val="1E293B"/>
                <w:sz w:val="15"/>
              </w:rPr>
              <w:t>78.7%</w:t>
            </w:r>
          </w:p>
        </w:tc>
        <w:tc>
          <w:tcPr>
            <w:tcW w:type="dxa" w:w="775"/>
            <w:shd w:fill="E2E8F0"/>
            <w:tcMar>
              <w:top w:w="55" w:type="dxa"/>
              <w:bottom w:w="55" w:type="dxa"/>
              <w:left w:w="70" w:type="dxa"/>
              <w:right w:w="70" w:type="dxa"/>
            </w:tcMar>
          </w:tcPr>
          <w:p>
            <w:r>
              <w:rPr>
                <w:rFonts w:ascii="Calibri" w:hAnsi="Calibri"/>
                <w:b/>
                <w:color w:val="1E293B"/>
                <w:sz w:val="15"/>
              </w:rPr>
              <w:t>98.3%</w:t>
            </w:r>
          </w:p>
        </w:tc>
        <w:tc>
          <w:tcPr>
            <w:tcW w:type="dxa" w:w="775"/>
            <w:shd w:fill="E2E8F0"/>
            <w:tcMar>
              <w:top w:w="55" w:type="dxa"/>
              <w:bottom w:w="55" w:type="dxa"/>
              <w:left w:w="70" w:type="dxa"/>
              <w:right w:w="70" w:type="dxa"/>
            </w:tcMar>
          </w:tcPr>
          <w:p>
            <w:r>
              <w:rPr>
                <w:rFonts w:ascii="Calibri" w:hAnsi="Calibri"/>
                <w:b/>
                <w:color w:val="1E293B"/>
                <w:sz w:val="15"/>
              </w:rPr>
              <w:t>0.874</w:t>
            </w:r>
          </w:p>
        </w:tc>
        <w:tc>
          <w:tcPr>
            <w:tcW w:type="dxa" w:w="775"/>
            <w:shd w:fill="E2E8F0"/>
            <w:tcMar>
              <w:top w:w="55" w:type="dxa"/>
              <w:bottom w:w="55" w:type="dxa"/>
              <w:left w:w="70" w:type="dxa"/>
              <w:right w:w="70" w:type="dxa"/>
            </w:tcMar>
          </w:tcPr>
          <w:p>
            <w:r>
              <w:rPr>
                <w:rFonts w:ascii="Calibri" w:hAnsi="Calibri"/>
                <w:b/>
                <w:color w:val="1E293B"/>
                <w:sz w:val="15"/>
              </w:rPr>
              <w:t>0.961</w:t>
            </w:r>
          </w:p>
        </w:tc>
        <w:tc>
          <w:tcPr>
            <w:tcW w:type="dxa" w:w="775"/>
            <w:shd w:fill="E2E8F0"/>
            <w:tcMar>
              <w:top w:w="55" w:type="dxa"/>
              <w:bottom w:w="55" w:type="dxa"/>
              <w:left w:w="70" w:type="dxa"/>
              <w:right w:w="70" w:type="dxa"/>
            </w:tcMar>
          </w:tcPr>
          <w:p>
            <w:r>
              <w:rPr>
                <w:rFonts w:ascii="Calibri" w:hAnsi="Calibri"/>
                <w:b/>
                <w:color w:val="1E293B"/>
                <w:sz w:val="15"/>
              </w:rPr>
              <w:t>0.987</w:t>
            </w:r>
          </w:p>
        </w:tc>
      </w:tr>
    </w:tbl>
    <w:p>
      <w:pPr>
        <w:spacing w:after="120"/>
      </w:pPr>
    </w:p>
    <w:p>
      <w:pPr>
        <w:pStyle w:val="Heading2"/>
        <w:keepNext/>
        <w:spacing w:before="240" w:after="80"/>
      </w:pPr>
      <w:r>
        <w:rPr>
          <w:rFonts w:ascii="Calibri" w:hAnsi="Calibri"/>
          <w:b/>
          <w:color w:val="0F766E"/>
          <w:sz w:val="25"/>
        </w:rPr>
        <w:t>Analysis of Key Findings</w:t>
      </w:r>
    </w:p>
    <w:p>
      <w:pPr>
        <w:pStyle w:val="ListBullet"/>
        <w:spacing w:line="276" w:lineRule="auto" w:before="0" w:after="60"/>
      </w:pPr>
      <w:r>
        <w:rPr>
          <w:rFonts w:ascii="Calibri" w:hAnsi="Calibri"/>
          <w:b/>
          <w:color w:val="1E293B"/>
        </w:rPr>
        <w:t xml:space="preserve">Recall: </w:t>
      </w:r>
      <w:r>
        <w:rPr>
          <w:rFonts w:ascii="Calibri" w:hAnsi="Calibri"/>
          <w:color w:val="1E293B"/>
          <w:sz w:val="19"/>
        </w:rPr>
        <w:t>Superb Disaster Recall (98.3%): Across all 320 district-crop seasons evaluated, the model correctly identified 59 out of 60 historical crop failure events, missing only a single disaster (FN = 1 in Tur 2020).</w:t>
      </w:r>
    </w:p>
    <w:p>
      <w:pPr>
        <w:pStyle w:val="ListBullet"/>
        <w:spacing w:line="276" w:lineRule="auto" w:before="0" w:after="60"/>
      </w:pPr>
      <w:r>
        <w:rPr>
          <w:rFonts w:ascii="Calibri" w:hAnsi="Calibri"/>
          <w:b/>
          <w:color w:val="1E293B"/>
        </w:rPr>
        <w:t xml:space="preserve">Precision: </w:t>
      </w:r>
      <w:r>
        <w:rPr>
          <w:rFonts w:ascii="Calibri" w:hAnsi="Calibri"/>
          <w:color w:val="1E293B"/>
          <w:sz w:val="19"/>
        </w:rPr>
        <w:t>Controlled False Alarms: Only 16 false positives were recorded across 260 resilient seasons, yielding an overall precision of 78.7%. This false alarm trade-off is optimal for agrarian disaster preparedness.</w:t>
      </w:r>
    </w:p>
    <w:p>
      <w:pPr>
        <w:pStyle w:val="ListBullet"/>
        <w:spacing w:line="276" w:lineRule="auto" w:before="0" w:after="60"/>
      </w:pPr>
      <w:r>
        <w:rPr>
          <w:rFonts w:ascii="Calibri" w:hAnsi="Calibri"/>
          <w:b/>
          <w:color w:val="1E293B"/>
        </w:rPr>
        <w:t xml:space="preserve">Baselines: </w:t>
      </w:r>
      <w:r>
        <w:rPr>
          <w:rFonts w:ascii="Calibri" w:hAnsi="Calibri"/>
          <w:color w:val="1E293B"/>
          <w:sz w:val="19"/>
        </w:rPr>
        <w:t>Comparison with Baseline Models: The CNN-LSTM significantly outperforms both naive Majority Class guessing (Recall: 0.0%, F1: 0.000) and Climate-Only Logistic Regression (Recall: 76.7%, F1: 0.621, ROC-AUC: 0.833), demonstrating that the spatiotemporal satellite vision branch provides vital canopy moisture signals that meteorological data alone misses.</w:t>
      </w:r>
    </w:p>
    <w:p>
      <w:pPr>
        <w:pStyle w:val="Heading1"/>
        <w:keepNext/>
        <w:spacing w:before="320" w:after="120"/>
      </w:pPr>
      <w:r>
        <w:rPr>
          <w:rFonts w:ascii="Calibri" w:hAnsi="Calibri"/>
          <w:b/>
          <w:color w:val="0F4C3A"/>
          <w:sz w:val="33"/>
        </w:rPr>
        <w:t>8. Geospatial Satellite Terrain &amp; Earth Engine Mapping Engine</w:t>
      </w:r>
    </w:p>
    <w:p>
      <w:pPr>
        <w:spacing w:line="276" w:lineRule="auto" w:before="0" w:after="100"/>
      </w:pPr>
      <w:r>
        <w:rPr>
          <w:rFonts w:ascii="Calibri" w:hAnsi="Calibri"/>
          <w:color w:val="1E293B"/>
          <w:sz w:val="20"/>
        </w:rPr>
        <w:t>A major aesthetic and technical breakthrough in this project is the construction of a seamless, authentic Earth observation terrain basemap. In standard GIS implementations, high-resolution Digital Elevation Models (such as Copernicus DEM GLO-30) suffer from severe 'stepping dropouts' along coastal boundaries because land-only DEMs abruptly terminate at the coastline, producing artificial black voids in the Arabian Sea.</w:t>
      </w:r>
    </w:p>
    <w:p>
      <w:pPr>
        <w:spacing w:line="276" w:lineRule="auto" w:before="0" w:after="100"/>
      </w:pPr>
      <w:r>
        <w:rPr>
          <w:rFonts w:ascii="Calibri" w:hAnsi="Calibri"/>
          <w:color w:val="1E293B"/>
          <w:sz w:val="20"/>
        </w:rPr>
        <w:t>To solve this problem, we engineered a three-stage dual-resolution compositing pipeline:</w:t>
      </w:r>
    </w:p>
    <w:p>
      <w:pPr>
        <w:pStyle w:val="ListBullet"/>
        <w:spacing w:line="276" w:lineRule="auto" w:before="0" w:after="60"/>
      </w:pPr>
      <w:r>
        <w:rPr>
          <w:rFonts w:ascii="Calibri" w:hAnsi="Calibri"/>
          <w:b/>
          <w:color w:val="1E293B"/>
        </w:rPr>
        <w:t xml:space="preserve">GEE MODIS Export: </w:t>
      </w:r>
      <w:r>
        <w:rPr>
          <w:rFonts w:ascii="Calibri" w:hAnsi="Calibri"/>
          <w:color w:val="1E293B"/>
          <w:sz w:val="19"/>
        </w:rPr>
        <w:t>Stage 1 (Earth Engine MODIS Export): Using Google Earth Engine (export_satellite_terrain_background.js), we composite NASA MODIS 8-day surface reflectance (MOD09A1 500m) across a broad subcontinental bounding box [62.0°E, 8.0°N, 92.0°E, 30.0°N]. Because MODIS continuously images both ocean and land, it provides a gapless regional canvas.</w:t>
      </w:r>
    </w:p>
    <w:p>
      <w:pPr>
        <w:pStyle w:val="ListBullet"/>
        <w:spacing w:line="276" w:lineRule="auto" w:before="0" w:after="60"/>
      </w:pPr>
      <w:r>
        <w:rPr>
          <w:rFonts w:ascii="Calibri" w:hAnsi="Calibri"/>
          <w:b/>
          <w:color w:val="1E293B"/>
        </w:rPr>
        <w:t xml:space="preserve">Python Blending: </w:t>
      </w:r>
      <w:r>
        <w:rPr>
          <w:rFonts w:ascii="Calibri" w:hAnsi="Calibri"/>
          <w:color w:val="1E293B"/>
          <w:sz w:val="19"/>
        </w:rPr>
        <w:t>Stage 2 (Dual-Resolution Alpha Blending): In scripts/combine_wide_satellite_terrain.py, the regional 500m MODIS canvas is blended with the high-resolution Maharashtra GeoTIFF (10m Sentinel-2 + Copernicus DEM) using a 20-pixel Gaussian-blurred alpha transition mask and color-ratio balancing. A post-export fill pass replaces any remaining southwest corner nodata with deep oceanic RGB(0, 11, 21).</w:t>
      </w:r>
    </w:p>
    <w:p>
      <w:pPr>
        <w:pStyle w:val="ListBullet"/>
        <w:spacing w:line="276" w:lineRule="auto" w:before="0" w:after="60"/>
      </w:pPr>
      <w:r>
        <w:rPr>
          <w:rFonts w:ascii="Calibri" w:hAnsi="Calibri"/>
          <w:b/>
          <w:color w:val="1E293B"/>
        </w:rPr>
        <w:t xml:space="preserve">SVG Alignment: </w:t>
      </w:r>
      <w:r>
        <w:rPr>
          <w:rFonts w:ascii="Calibri" w:hAnsi="Calibri"/>
          <w:color w:val="1E293B"/>
          <w:sz w:val="19"/>
        </w:rPr>
        <w:t>Stage 3 (Precision SVG Coordinate Transform): The resulting WebP raster is mapped to the React SVG viewBox (0, 0, 860, 713) using affine transformation coordinates: x = -1091.8 px, y = -859.9 px, width = 3089.8 px, height = 2394.6 px. This guarantees zero black margins even when users zoom out to 75% or pan along the Konkan coastline.</w:t>
      </w:r>
    </w:p>
    <w:p>
      <w:pPr>
        <w:spacing w:before="160" w:after="80"/>
        <w:jc w:val="center"/>
      </w:pPr>
      <w:r>
        <w:drawing>
          <wp:inline xmlns:a="http://schemas.openxmlformats.org/drawingml/2006/main" xmlns:pic="http://schemas.openxmlformats.org/drawingml/2006/picture">
            <wp:extent cx="5669280" cy="3072460"/>
            <wp:docPr id="8" name="Picture 8"/>
            <wp:cNvGraphicFramePr>
              <a:graphicFrameLocks noChangeAspect="1"/>
            </wp:cNvGraphicFramePr>
            <a:graphic>
              <a:graphicData uri="http://schemas.openxmlformats.org/drawingml/2006/picture">
                <pic:pic>
                  <pic:nvPicPr>
                    <pic:cNvPr id="0" name="Earth engine.png"/>
                    <pic:cNvPicPr/>
                  </pic:nvPicPr>
                  <pic:blipFill>
                    <a:blip r:embed="rId18"/>
                    <a:stretch>
                      <a:fillRect/>
                    </a:stretch>
                  </pic:blipFill>
                  <pic:spPr>
                    <a:xfrm>
                      <a:off x="0" y="0"/>
                      <a:ext cx="5669280" cy="3072460"/>
                    </a:xfrm>
                    <a:prstGeom prst="rect"/>
                  </pic:spPr>
                </pic:pic>
              </a:graphicData>
            </a:graphic>
          </wp:inline>
        </w:drawing>
      </w:r>
    </w:p>
    <w:p>
      <w:pPr>
        <w:keepNext w:val="0"/>
        <w:spacing w:before="0" w:after="200"/>
        <w:jc w:val="center"/>
      </w:pPr>
      <w:r>
        <w:rPr>
          <w:rFonts w:ascii="Calibri" w:hAnsi="Calibri"/>
          <w:b/>
          <w:color w:val="0F4C3A"/>
          <w:sz w:val="17"/>
        </w:rPr>
        <w:t xml:space="preserve">Figure 8.1: Google Earth Engine Extraction Pipeline. </w:t>
      </w:r>
      <w:r>
        <w:rPr>
          <w:rFonts w:ascii="Calibri" w:hAnsi="Calibri"/>
          <w:i/>
          <w:color w:val="475569"/>
          <w:sz w:val="17"/>
        </w:rPr>
        <w:t>Google Earth Engine JavaScript code editor running the automated satellite extraction pipeline, showing task queues, multi-spectral band compositing, and geospatial asset exports.</w:t>
      </w:r>
    </w:p>
    <w:p>
      <w:pPr>
        <w:spacing w:before="160" w:after="80"/>
        <w:jc w:val="center"/>
      </w:pPr>
      <w:r>
        <w:drawing>
          <wp:inline xmlns:a="http://schemas.openxmlformats.org/drawingml/2006/main" xmlns:pic="http://schemas.openxmlformats.org/drawingml/2006/picture">
            <wp:extent cx="5669280" cy="4393692"/>
            <wp:docPr id="9" name="Picture 9"/>
            <wp:cNvGraphicFramePr>
              <a:graphicFrameLocks noChangeAspect="1"/>
            </wp:cNvGraphicFramePr>
            <a:graphic>
              <a:graphicData uri="http://schemas.openxmlformats.org/drawingml/2006/picture">
                <pic:pic>
                  <pic:nvPicPr>
                    <pic:cNvPr id="0" name="maharashtra_satellite_terrain_sentinel2_dem.png"/>
                    <pic:cNvPicPr/>
                  </pic:nvPicPr>
                  <pic:blipFill>
                    <a:blip r:embed="rId19"/>
                    <a:stretch>
                      <a:fillRect/>
                    </a:stretch>
                  </pic:blipFill>
                  <pic:spPr>
                    <a:xfrm>
                      <a:off x="0" y="0"/>
                      <a:ext cx="5669280" cy="4393692"/>
                    </a:xfrm>
                    <a:prstGeom prst="rect"/>
                  </pic:spPr>
                </pic:pic>
              </a:graphicData>
            </a:graphic>
          </wp:inline>
        </w:drawing>
      </w:r>
    </w:p>
    <w:p>
      <w:pPr>
        <w:keepNext w:val="0"/>
        <w:spacing w:before="0" w:after="200"/>
        <w:jc w:val="center"/>
      </w:pPr>
      <w:r>
        <w:rPr>
          <w:rFonts w:ascii="Calibri" w:hAnsi="Calibri"/>
          <w:b/>
          <w:color w:val="0F4C3A"/>
          <w:sz w:val="17"/>
        </w:rPr>
        <w:t xml:space="preserve">Figure 8.2: Production Dual-Resolution Satellite Terrain Basemap. </w:t>
      </w:r>
      <w:r>
        <w:rPr>
          <w:rFonts w:ascii="Calibri" w:hAnsi="Calibri"/>
          <w:i/>
          <w:color w:val="475569"/>
          <w:sz w:val="17"/>
        </w:rPr>
        <w:t>Final production dual-resolution satellite terrain basemap blending the high-resolution Maharashtra core with wide MODIS Arabian Sea and Indian subcontinent coverage.</w:t>
      </w:r>
    </w:p>
    <w:p>
      <w:pPr>
        <w:pStyle w:val="Heading1"/>
        <w:keepNext/>
        <w:spacing w:before="320" w:after="120"/>
      </w:pPr>
      <w:r>
        <w:rPr>
          <w:rFonts w:ascii="Calibri" w:hAnsi="Calibri"/>
          <w:b/>
          <w:color w:val="0F4C3A"/>
          <w:sz w:val="33"/>
        </w:rPr>
        <w:t>9. Frontend Decision-Support Dashboard &amp; GIS Interface</w:t>
      </w:r>
    </w:p>
    <w:p>
      <w:pPr>
        <w:spacing w:line="276" w:lineRule="auto" w:before="0" w:after="100"/>
      </w:pPr>
      <w:r>
        <w:rPr>
          <w:rFonts w:ascii="Calibri" w:hAnsi="Calibri"/>
          <w:color w:val="1E293B"/>
          <w:sz w:val="20"/>
        </w:rPr>
        <w:t>The web application was engineered as a production-grade GIS decision-support tool using React 18, Vite, TypeScript, and TailwindCSS. It delivers sub-35ms interactions by ingesting precomputed model predictions alongside live dynamic filtering.</w:t>
      </w:r>
    </w:p>
    <w:p>
      <w:pPr>
        <w:spacing w:before="160" w:after="80"/>
        <w:jc w:val="center"/>
      </w:pPr>
      <w:r>
        <w:drawing>
          <wp:inline xmlns:a="http://schemas.openxmlformats.org/drawingml/2006/main" xmlns:pic="http://schemas.openxmlformats.org/drawingml/2006/picture">
            <wp:extent cx="5303520" cy="3048306"/>
            <wp:docPr id="10" name="Picture 10"/>
            <wp:cNvGraphicFramePr>
              <a:graphicFrameLocks noChangeAspect="1"/>
            </wp:cNvGraphicFramePr>
            <a:graphic>
              <a:graphicData uri="http://schemas.openxmlformats.org/drawingml/2006/picture">
                <pic:pic>
                  <pic:nvPicPr>
                    <pic:cNvPr id="0" name="layout rough.png"/>
                    <pic:cNvPicPr/>
                  </pic:nvPicPr>
                  <pic:blipFill>
                    <a:blip r:embed="rId20"/>
                    <a:stretch>
                      <a:fillRect/>
                    </a:stretch>
                  </pic:blipFill>
                  <pic:spPr>
                    <a:xfrm>
                      <a:off x="0" y="0"/>
                      <a:ext cx="5303520" cy="3048306"/>
                    </a:xfrm>
                    <a:prstGeom prst="rect"/>
                  </pic:spPr>
                </pic:pic>
              </a:graphicData>
            </a:graphic>
          </wp:inline>
        </w:drawing>
      </w:r>
    </w:p>
    <w:p>
      <w:pPr>
        <w:keepNext w:val="0"/>
        <w:spacing w:before="0" w:after="200"/>
        <w:jc w:val="center"/>
      </w:pPr>
      <w:r>
        <w:rPr>
          <w:rFonts w:ascii="Calibri" w:hAnsi="Calibri"/>
          <w:b/>
          <w:color w:val="0F4C3A"/>
          <w:sz w:val="17"/>
        </w:rPr>
        <w:t xml:space="preserve">Figure 9.1: Dashboard UI/UX Blueprint Wireframe. </w:t>
      </w:r>
      <w:r>
        <w:rPr>
          <w:rFonts w:ascii="Calibri" w:hAnsi="Calibri"/>
          <w:i/>
          <w:color w:val="475569"/>
          <w:sz w:val="17"/>
        </w:rPr>
        <w:t>UI/UX wireframe sketch drafted during dashboard design, outlining sidebar navigation, KPI summary cards, interactive choropleth map, and dual-axis chart panel.</w:t>
      </w:r>
    </w:p>
    <w:p>
      <w:pPr>
        <w:pStyle w:val="Heading2"/>
        <w:keepNext/>
        <w:spacing w:before="240" w:after="80"/>
      </w:pPr>
      <w:r>
        <w:rPr>
          <w:rFonts w:ascii="Calibri" w:hAnsi="Calibri"/>
          <w:b/>
          <w:color w:val="0F766E"/>
          <w:sz w:val="25"/>
        </w:rPr>
        <w:t>Core Frontend Component Modular Hierarchy</w:t>
      </w:r>
    </w:p>
    <w:p>
      <w:pPr>
        <w:pStyle w:val="ListBullet"/>
        <w:spacing w:line="276" w:lineRule="auto" w:before="0" w:after="60"/>
      </w:pPr>
      <w:r>
        <w:rPr>
          <w:rFonts w:ascii="Calibri" w:hAnsi="Calibri"/>
          <w:b/>
          <w:color w:val="1E293B"/>
        </w:rPr>
        <w:t xml:space="preserve">Global State: </w:t>
      </w:r>
      <w:r>
        <w:rPr>
          <w:rFonts w:ascii="Calibri" w:hAnsi="Calibri"/>
          <w:color w:val="1E293B"/>
          <w:sz w:val="19"/>
        </w:rPr>
        <w:t>DashboardContext.tsx: Centralized React Context coordinating global state: selectedYear (2019–2022), selectedDistrictId, selectedCrop (Rice, Soybean, Cotton, Bajra, Jowar, Tur), and all 320 precomputed CNN-LSTM district-crop inferences.</w:t>
      </w:r>
    </w:p>
    <w:p>
      <w:pPr>
        <w:pStyle w:val="ListBullet"/>
        <w:spacing w:line="276" w:lineRule="auto" w:before="0" w:after="60"/>
      </w:pPr>
      <w:r>
        <w:rPr>
          <w:rFonts w:ascii="Calibri" w:hAnsi="Calibri"/>
          <w:b/>
          <w:color w:val="1E293B"/>
        </w:rPr>
        <w:t xml:space="preserve">Choropleth Map: </w:t>
      </w:r>
      <w:r>
        <w:rPr>
          <w:rFonts w:ascii="Calibri" w:hAnsi="Calibri"/>
          <w:color w:val="1E293B"/>
          <w:sz w:val="19"/>
        </w:rPr>
        <w:t>DistrictChoropleth.tsx: Interactive SVG map engine rendering 36 Maharashtra district polygons with smooth drag-panning, wheel-zooming (clamped 75% to 250%), dynamic risk categorization (Severe Risk, Moderate Risk, Resilient, No Data), and real-time satellite terrain alignment.</w:t>
      </w:r>
    </w:p>
    <w:p>
      <w:pPr>
        <w:pStyle w:val="ListBullet"/>
        <w:spacing w:line="276" w:lineRule="auto" w:before="0" w:after="60"/>
      </w:pPr>
      <w:r>
        <w:rPr>
          <w:rFonts w:ascii="Calibri" w:hAnsi="Calibri"/>
          <w:b/>
          <w:color w:val="1E293B"/>
        </w:rPr>
        <w:t xml:space="preserve">Dual-Axis Chart: </w:t>
      </w:r>
      <w:r>
        <w:rPr>
          <w:rFonts w:ascii="Calibri" w:hAnsi="Calibri"/>
          <w:color w:val="1E293B"/>
          <w:sz w:val="19"/>
        </w:rPr>
        <w:t>RainfallYieldChart.tsx: Synchronized dual-axis chart contrasting IMD rainfall against historical harvest yields, with vertical indicators marking El Niño drought years and synchronized climate index docks.</w:t>
      </w:r>
    </w:p>
    <w:p>
      <w:pPr>
        <w:pStyle w:val="ListBullet"/>
        <w:spacing w:line="276" w:lineRule="auto" w:before="0" w:after="60"/>
      </w:pPr>
      <w:r>
        <w:rPr>
          <w:rFonts w:ascii="Calibri" w:hAnsi="Calibri"/>
          <w:b/>
          <w:color w:val="1E293B"/>
        </w:rPr>
        <w:t xml:space="preserve">District Panel: </w:t>
      </w:r>
      <w:r>
        <w:rPr>
          <w:rFonts w:ascii="Calibri" w:hAnsi="Calibri"/>
          <w:color w:val="1E293B"/>
          <w:sz w:val="19"/>
        </w:rPr>
        <w:t>DistrictDetailPanel.tsx: Side-docked agronomic telemetry panel presenting district soil classification, Kharif rainfall departure, satellite NDVI canopy vigor, and PMFBY insurance claim advisory recommendations.</w:t>
      </w:r>
    </w:p>
    <w:p>
      <w:pPr>
        <w:spacing w:before="160" w:after="80"/>
        <w:jc w:val="center"/>
      </w:pPr>
      <w:r>
        <w:drawing>
          <wp:inline xmlns:a="http://schemas.openxmlformats.org/drawingml/2006/main" xmlns:pic="http://schemas.openxmlformats.org/drawingml/2006/picture">
            <wp:extent cx="5852160" cy="2912357"/>
            <wp:docPr id="11" name="Picture 11"/>
            <wp:cNvGraphicFramePr>
              <a:graphicFrameLocks noChangeAspect="1"/>
            </wp:cNvGraphicFramePr>
            <a:graphic>
              <a:graphicData uri="http://schemas.openxmlformats.org/drawingml/2006/picture">
                <pic:pic>
                  <pic:nvPicPr>
                    <pic:cNvPr id="0" name="Screenshot 2026-10-21 033114.png"/>
                    <pic:cNvPicPr/>
                  </pic:nvPicPr>
                  <pic:blipFill>
                    <a:blip r:embed="rId21"/>
                    <a:stretch>
                      <a:fillRect/>
                    </a:stretch>
                  </pic:blipFill>
                  <pic:spPr>
                    <a:xfrm>
                      <a:off x="0" y="0"/>
                      <a:ext cx="5852160" cy="2912357"/>
                    </a:xfrm>
                    <a:prstGeom prst="rect"/>
                  </pic:spPr>
                </pic:pic>
              </a:graphicData>
            </a:graphic>
          </wp:inline>
        </w:drawing>
      </w:r>
    </w:p>
    <w:p>
      <w:pPr>
        <w:keepNext w:val="0"/>
        <w:spacing w:before="0" w:after="200"/>
        <w:jc w:val="center"/>
      </w:pPr>
      <w:r>
        <w:rPr>
          <w:rFonts w:ascii="Calibri" w:hAnsi="Calibri"/>
          <w:b/>
          <w:color w:val="0F4C3A"/>
          <w:sz w:val="17"/>
        </w:rPr>
        <w:t xml:space="preserve">Figure 9.2: Production React GIS Decision Dashboard. </w:t>
      </w:r>
      <w:r>
        <w:rPr>
          <w:rFonts w:ascii="Calibri" w:hAnsi="Calibri"/>
          <w:i/>
          <w:color w:val="475569"/>
          <w:sz w:val="17"/>
        </w:rPr>
        <w:t>Live production React 18 GIS dashboard showing the seamless satellite terrain basemap, district failure risk classification choropleth, navigation sidebar, and summary KPI telemetry.</w:t>
      </w:r>
    </w:p>
    <w:p>
      <w:pPr>
        <w:spacing w:before="160" w:after="80"/>
        <w:jc w:val="center"/>
      </w:pPr>
      <w:r>
        <w:drawing>
          <wp:inline xmlns:a="http://schemas.openxmlformats.org/drawingml/2006/main" xmlns:pic="http://schemas.openxmlformats.org/drawingml/2006/picture">
            <wp:extent cx="5669280" cy="3857079"/>
            <wp:docPr id="12" name="Picture 12"/>
            <wp:cNvGraphicFramePr>
              <a:graphicFrameLocks noChangeAspect="1"/>
            </wp:cNvGraphicFramePr>
            <a:graphic>
              <a:graphicData uri="http://schemas.openxmlformats.org/drawingml/2006/picture">
                <pic:pic>
                  <pic:nvPicPr>
                    <pic:cNvPr id="0" name="Screenshot 2026-10-21 020442.png"/>
                    <pic:cNvPicPr/>
                  </pic:nvPicPr>
                  <pic:blipFill>
                    <a:blip r:embed="rId22"/>
                    <a:stretch>
                      <a:fillRect/>
                    </a:stretch>
                  </pic:blipFill>
                  <pic:spPr>
                    <a:xfrm>
                      <a:off x="0" y="0"/>
                      <a:ext cx="5669280" cy="3857079"/>
                    </a:xfrm>
                    <a:prstGeom prst="rect"/>
                  </pic:spPr>
                </pic:pic>
              </a:graphicData>
            </a:graphic>
          </wp:inline>
        </w:drawing>
      </w:r>
    </w:p>
    <w:p>
      <w:pPr>
        <w:keepNext w:val="0"/>
        <w:spacing w:before="0" w:after="200"/>
        <w:jc w:val="center"/>
      </w:pPr>
      <w:r>
        <w:rPr>
          <w:rFonts w:ascii="Calibri" w:hAnsi="Calibri"/>
          <w:b/>
          <w:color w:val="0F4C3A"/>
          <w:sz w:val="17"/>
        </w:rPr>
        <w:t xml:space="preserve">Figure 9.3: KPI Summary Cards &amp; Dual-Axis Rainfall-Yield Analytics. </w:t>
      </w:r>
      <w:r>
        <w:rPr>
          <w:rFonts w:ascii="Calibri" w:hAnsi="Calibri"/>
          <w:i/>
          <w:color w:val="475569"/>
          <w:sz w:val="17"/>
        </w:rPr>
        <w:t>Close-up view of the 6 KPI summary cards, synchronized dual-axis rainfall-yield chart with historical drought markers, and district detail panel.</w:t>
      </w:r>
    </w:p>
    <w:p>
      <w:pPr>
        <w:spacing w:before="160" w:after="80"/>
        <w:jc w:val="center"/>
      </w:pPr>
      <w:r>
        <w:drawing>
          <wp:inline xmlns:a="http://schemas.openxmlformats.org/drawingml/2006/main" xmlns:pic="http://schemas.openxmlformats.org/drawingml/2006/picture">
            <wp:extent cx="5669280" cy="2809529"/>
            <wp:docPr id="13" name="Picture 13"/>
            <wp:cNvGraphicFramePr>
              <a:graphicFrameLocks noChangeAspect="1"/>
            </wp:cNvGraphicFramePr>
            <a:graphic>
              <a:graphicData uri="http://schemas.openxmlformats.org/drawingml/2006/picture">
                <pic:pic>
                  <pic:nvPicPr>
                    <pic:cNvPr id="0" name="Screenshot 2026-10-21 014803.png"/>
                    <pic:cNvPicPr/>
                  </pic:nvPicPr>
                  <pic:blipFill>
                    <a:blip r:embed="rId23"/>
                    <a:stretch>
                      <a:fillRect/>
                    </a:stretch>
                  </pic:blipFill>
                  <pic:spPr>
                    <a:xfrm>
                      <a:off x="0" y="0"/>
                      <a:ext cx="5669280" cy="2809529"/>
                    </a:xfrm>
                    <a:prstGeom prst="rect"/>
                  </pic:spPr>
                </pic:pic>
              </a:graphicData>
            </a:graphic>
          </wp:inline>
        </w:drawing>
      </w:r>
    </w:p>
    <w:p>
      <w:pPr>
        <w:keepNext w:val="0"/>
        <w:spacing w:before="0" w:after="200"/>
        <w:jc w:val="center"/>
      </w:pPr>
      <w:r>
        <w:rPr>
          <w:rFonts w:ascii="Calibri" w:hAnsi="Calibri"/>
          <w:b/>
          <w:color w:val="0F4C3A"/>
          <w:sz w:val="17"/>
        </w:rPr>
        <w:t xml:space="preserve">Figure 9.4: Interactive District Inspection &amp; Risk Tooltip. </w:t>
      </w:r>
      <w:r>
        <w:rPr>
          <w:rFonts w:ascii="Calibri" w:hAnsi="Calibri"/>
          <w:i/>
          <w:color w:val="475569"/>
          <w:sz w:val="17"/>
        </w:rPr>
        <w:t>Interactive district inspection view demonstrating real-time risk hovering, tooltip telemetry display, and satellite terrain alignment over Western Maharashtra.</w:t>
      </w:r>
    </w:p>
    <w:p>
      <w:pPr>
        <w:pStyle w:val="Heading1"/>
        <w:keepNext/>
        <w:spacing w:before="320" w:after="120"/>
      </w:pPr>
      <w:r>
        <w:rPr>
          <w:rFonts w:ascii="Calibri" w:hAnsi="Calibri"/>
          <w:b/>
          <w:color w:val="0F4C3A"/>
          <w:sz w:val="33"/>
        </w:rPr>
        <w:t>10. Future Climate Shock Simulator &amp; Agronomic Policy Implications</w:t>
      </w:r>
    </w:p>
    <w:p>
      <w:pPr>
        <w:spacing w:line="276" w:lineRule="auto" w:before="0" w:after="100"/>
      </w:pPr>
      <w:r>
        <w:rPr>
          <w:rFonts w:ascii="Calibri" w:hAnsi="Calibri"/>
          <w:color w:val="1E293B"/>
          <w:sz w:val="20"/>
        </w:rPr>
        <w:t>To transition the dashboard from a purely retrospective diagnostic tool into an active forward-looking policy instrument, we implemented the Future El Niño Scenario Simulator (FutureElNinoPage.tsx). Users can inject synthetic sea-surface temperature warming shocks (+0.5°C to +2.5°C Niño 3.4 anomalies) and simulate how drought vulnerability cascades across individual crops and districts.</w:t>
      </w:r>
    </w:p>
    <w:p>
      <w:pPr>
        <w:spacing w:before="160" w:after="80"/>
        <w:jc w:val="center"/>
      </w:pPr>
      <w:r>
        <w:drawing>
          <wp:inline xmlns:a="http://schemas.openxmlformats.org/drawingml/2006/main" xmlns:pic="http://schemas.openxmlformats.org/drawingml/2006/picture">
            <wp:extent cx="5669280" cy="3160217"/>
            <wp:docPr id="14" name="Picture 14"/>
            <wp:cNvGraphicFramePr>
              <a:graphicFrameLocks noChangeAspect="1"/>
            </wp:cNvGraphicFramePr>
            <a:graphic>
              <a:graphicData uri="http://schemas.openxmlformats.org/drawingml/2006/picture">
                <pic:pic>
                  <pic:nvPicPr>
                    <pic:cNvPr id="0" name="Screenshot 2026-10-21 020537.png"/>
                    <pic:cNvPicPr/>
                  </pic:nvPicPr>
                  <pic:blipFill>
                    <a:blip r:embed="rId24"/>
                    <a:stretch>
                      <a:fillRect/>
                    </a:stretch>
                  </pic:blipFill>
                  <pic:spPr>
                    <a:xfrm>
                      <a:off x="0" y="0"/>
                      <a:ext cx="5669280" cy="3160217"/>
                    </a:xfrm>
                    <a:prstGeom prst="rect"/>
                  </pic:spPr>
                </pic:pic>
              </a:graphicData>
            </a:graphic>
          </wp:inline>
        </w:drawing>
      </w:r>
    </w:p>
    <w:p>
      <w:pPr>
        <w:keepNext w:val="0"/>
        <w:spacing w:before="0" w:after="200"/>
        <w:jc w:val="center"/>
      </w:pPr>
      <w:r>
        <w:rPr>
          <w:rFonts w:ascii="Calibri" w:hAnsi="Calibri"/>
          <w:b/>
          <w:color w:val="0F4C3A"/>
          <w:sz w:val="17"/>
        </w:rPr>
        <w:t xml:space="preserve">Figure 10.1: Future El Niño Climate Shock Simulation Interface. </w:t>
      </w:r>
      <w:r>
        <w:rPr>
          <w:rFonts w:ascii="Calibri" w:hAnsi="Calibri"/>
          <w:i/>
          <w:color w:val="475569"/>
          <w:sz w:val="17"/>
        </w:rPr>
        <w:t>Future El Niño scenario simulator modeling the probability of crop failure under synthetic ENSO SST warming shocks (+0.5°C to +2.5°C) across Maharashtra districts.</w:t>
      </w:r>
    </w:p>
    <w:p>
      <w:pPr>
        <w:pStyle w:val="Heading2"/>
        <w:keepNext/>
        <w:spacing w:before="240" w:after="80"/>
      </w:pPr>
      <w:r>
        <w:rPr>
          <w:rFonts w:ascii="Calibri" w:hAnsi="Calibri"/>
          <w:b/>
          <w:color w:val="0F766E"/>
          <w:sz w:val="25"/>
        </w:rPr>
        <w:t>Crop Vulnerability Hierarchy &amp; Agronomic Recommendations</w:t>
      </w:r>
    </w:p>
    <w:p>
      <w:pPr>
        <w:spacing w:line="276" w:lineRule="auto" w:before="0" w:after="100"/>
      </w:pPr>
      <w:r>
        <w:rPr>
          <w:rFonts w:ascii="Calibri" w:hAnsi="Calibri"/>
          <w:color w:val="1E293B"/>
          <w:sz w:val="20"/>
        </w:rPr>
        <w:t>Our empirical and simulation findings reveal a clear physiological vulnerability hierarchy across Kharif crops:</w:t>
      </w:r>
    </w:p>
    <w:p>
      <w:pPr>
        <w:pStyle w:val="ListBullet"/>
        <w:spacing w:line="276" w:lineRule="auto" w:before="0" w:after="60"/>
      </w:pPr>
      <w:r>
        <w:rPr>
          <w:rFonts w:ascii="Calibri" w:hAnsi="Calibri"/>
          <w:b/>
          <w:color w:val="1E293B"/>
        </w:rPr>
        <w:t xml:space="preserve">1. Rice: </w:t>
      </w:r>
      <w:r>
        <w:rPr>
          <w:rFonts w:ascii="Calibri" w:hAnsi="Calibri"/>
          <w:color w:val="1E293B"/>
          <w:sz w:val="19"/>
        </w:rPr>
        <w:t>Rice (Konkan &amp; Vidarbha): Highest sensitivity to dry spells during tillering and panicle initiation. A 20% rainfall deficit during July triggers near-certain crop collapse (failure probability &gt; 85%). Policy recommendation: mandate early nursery transplanting and promote Alternate Wetting and Drying (AWD) water management.</w:t>
      </w:r>
    </w:p>
    <w:p>
      <w:pPr>
        <w:pStyle w:val="ListBullet"/>
        <w:spacing w:line="276" w:lineRule="auto" w:before="0" w:after="60"/>
      </w:pPr>
      <w:r>
        <w:rPr>
          <w:rFonts w:ascii="Calibri" w:hAnsi="Calibri"/>
          <w:b/>
          <w:color w:val="1E293B"/>
        </w:rPr>
        <w:t xml:space="preserve">2. Soybean: </w:t>
      </w:r>
      <w:r>
        <w:rPr>
          <w:rFonts w:ascii="Calibri" w:hAnsi="Calibri"/>
          <w:color w:val="1E293B"/>
          <w:sz w:val="19"/>
        </w:rPr>
        <w:t>Soybean (Marathwada): Highly vulnerable to pod-filling moisture stress in August. Sensitive to both drought and waterlogging. Policy recommendation: expand Broad Bed Furrow (BBF) planting to manage erratic monsoon dry spells.</w:t>
      </w:r>
    </w:p>
    <w:p>
      <w:pPr>
        <w:pStyle w:val="ListBullet"/>
        <w:spacing w:line="276" w:lineRule="auto" w:before="0" w:after="60"/>
      </w:pPr>
      <w:r>
        <w:rPr>
          <w:rFonts w:ascii="Calibri" w:hAnsi="Calibri"/>
          <w:b/>
          <w:color w:val="1E293B"/>
        </w:rPr>
        <w:t xml:space="preserve">3. Cotton: </w:t>
      </w:r>
      <w:r>
        <w:rPr>
          <w:rFonts w:ascii="Calibri" w:hAnsi="Calibri"/>
          <w:color w:val="1E293B"/>
          <w:sz w:val="19"/>
        </w:rPr>
        <w:t>Cotton (Vidarbha): Long duration crop vulnerable to extended dry spells causing square and boll shedding. Policy recommendation: promote drip irrigation subsidies and short-duration varieties.</w:t>
      </w:r>
    </w:p>
    <w:p>
      <w:pPr>
        <w:pStyle w:val="ListBullet"/>
        <w:spacing w:line="276" w:lineRule="auto" w:before="0" w:after="60"/>
      </w:pPr>
      <w:r>
        <w:rPr>
          <w:rFonts w:ascii="Calibri" w:hAnsi="Calibri"/>
          <w:b/>
          <w:color w:val="1E293B"/>
        </w:rPr>
        <w:t xml:space="preserve">4. Bajra &amp; Jowar: </w:t>
      </w:r>
      <w:r>
        <w:rPr>
          <w:rFonts w:ascii="Calibri" w:hAnsi="Calibri"/>
          <w:color w:val="1E293B"/>
          <w:sz w:val="19"/>
        </w:rPr>
        <w:t>Coarse Cereals (Bajra &amp; Jowar): Exceptional drought hardiness. Even under moderate El Niño conditions (+1.0°C ONI), Bajra maintains resilience in 86.5% of district seasons. Policy recommendation: promote millets as climate-resilient alternative crops in drought-prone talukas.</w:t>
      </w:r>
    </w:p>
    <w:p>
      <w:pPr>
        <w:pStyle w:val="Heading1"/>
        <w:keepNext/>
        <w:spacing w:before="320" w:after="120"/>
      </w:pPr>
      <w:r>
        <w:rPr>
          <w:rFonts w:ascii="Calibri" w:hAnsi="Calibri"/>
          <w:b/>
          <w:color w:val="0F4C3A"/>
          <w:sz w:val="33"/>
        </w:rPr>
        <w:t>11. Deployment, Reproduction &amp; Code Inventory</w:t>
      </w:r>
    </w:p>
    <w:p>
      <w:pPr>
        <w:spacing w:line="276" w:lineRule="auto" w:before="0" w:after="100"/>
      </w:pPr>
      <w:r>
        <w:rPr>
          <w:rFonts w:ascii="Calibri" w:hAnsi="Calibri"/>
          <w:color w:val="1E293B"/>
          <w:sz w:val="20"/>
        </w:rPr>
        <w:t>To ensure 100% academic reproducibility, the complete project can be executed and retrained through standard CLI commands:</w:t>
      </w:r>
    </w:p>
    <w:p>
      <w:pPr>
        <w:pStyle w:val="Heading2"/>
        <w:keepNext/>
        <w:spacing w:before="240" w:after="80"/>
      </w:pPr>
      <w:r>
        <w:rPr>
          <w:rFonts w:ascii="Calibri" w:hAnsi="Calibri"/>
          <w:b/>
          <w:color w:val="0F766E"/>
          <w:sz w:val="25"/>
        </w:rPr>
        <w:t>Step-by-Step Reproduction Guide</w:t>
      </w:r>
    </w:p>
    <w:p>
      <w:pPr>
        <w:spacing w:line="276" w:lineRule="auto" w:before="0" w:after="100"/>
      </w:pPr>
      <w:r>
        <w:rPr>
          <w:rFonts w:ascii="Calibri" w:hAnsi="Calibri"/>
          <w:b/>
          <w:color w:val="1E293B"/>
        </w:rPr>
        <w:t xml:space="preserve">Local Setup: </w:t>
      </w:r>
      <w:r>
        <w:rPr>
          <w:rFonts w:ascii="Calibri" w:hAnsi="Calibri"/>
          <w:color w:val="1E293B"/>
          <w:sz w:val="20"/>
        </w:rPr>
        <w:t>1. Clone Repository &amp; Install Dependencies:</w:t>
      </w:r>
    </w:p>
    <w:p>
      <w:pPr>
        <w:spacing w:line="276" w:lineRule="auto" w:before="0" w:after="100"/>
      </w:pPr>
      <w:r>
        <w:rPr>
          <w:rFonts w:ascii="Calibri" w:hAnsi="Calibri"/>
          <w:color w:val="1E293B"/>
          <w:sz w:val="20"/>
        </w:rPr>
        <w:t xml:space="preserve">       git clone https://github.com/usmanssait/ElninoPBLProject.git</w:t>
        <w:br/>
        <w:t xml:space="preserve">       cd ElninoPBLProject</w:t>
        <w:br/>
        <w:t xml:space="preserve">       npm install</w:t>
      </w:r>
    </w:p>
    <w:p>
      <w:pPr>
        <w:spacing w:line="276" w:lineRule="auto" w:before="0" w:after="100"/>
      </w:pPr>
      <w:r>
        <w:rPr>
          <w:rFonts w:ascii="Calibri" w:hAnsi="Calibri"/>
          <w:b/>
          <w:color w:val="1E293B"/>
        </w:rPr>
        <w:t xml:space="preserve">Start Web App: </w:t>
      </w:r>
      <w:r>
        <w:rPr>
          <w:rFonts w:ascii="Calibri" w:hAnsi="Calibri"/>
          <w:color w:val="1E293B"/>
          <w:sz w:val="20"/>
        </w:rPr>
        <w:t>2. Launch Interactive GIS Dashboard:</w:t>
      </w:r>
    </w:p>
    <w:p>
      <w:pPr>
        <w:spacing w:line="276" w:lineRule="auto" w:before="0" w:after="100"/>
      </w:pPr>
      <w:r>
        <w:rPr>
          <w:rFonts w:ascii="Calibri" w:hAnsi="Calibri"/>
          <w:color w:val="1E293B"/>
          <w:sz w:val="20"/>
        </w:rPr>
        <w:t xml:space="preserve">       npm run dev</w:t>
        <w:br/>
        <w:t xml:space="preserve">       # Dashboard executes locally at http://localhost:3000</w:t>
      </w:r>
    </w:p>
    <w:p>
      <w:pPr>
        <w:spacing w:line="276" w:lineRule="auto" w:before="0" w:after="100"/>
      </w:pPr>
      <w:r>
        <w:rPr>
          <w:rFonts w:ascii="Calibri" w:hAnsi="Calibri"/>
          <w:b/>
          <w:color w:val="1E293B"/>
        </w:rPr>
        <w:t xml:space="preserve">Model Retraining: </w:t>
      </w:r>
      <w:r>
        <w:rPr>
          <w:rFonts w:ascii="Calibri" w:hAnsi="Calibri"/>
          <w:color w:val="1E293B"/>
          <w:sz w:val="20"/>
        </w:rPr>
        <w:t>3. Retrain Multi-Crop CNN–LSTM Deep Learning Model:</w:t>
      </w:r>
    </w:p>
    <w:p>
      <w:pPr>
        <w:spacing w:line="276" w:lineRule="auto" w:before="0" w:after="100"/>
      </w:pPr>
      <w:r>
        <w:rPr>
          <w:rFonts w:ascii="Calibri" w:hAnsi="Calibri"/>
          <w:color w:val="1E293B"/>
          <w:sz w:val="20"/>
        </w:rPr>
        <w:t xml:space="preserve">       &amp; 'C:\Users\USMAN\AppData\Local\Python\bin\python.exe' CNN_LSTM_Training/CropFailureProject/train_all_kharif_crops_cnn_lstm.py</w:t>
      </w:r>
    </w:p>
    <w:p>
      <w:pPr>
        <w:spacing w:line="276" w:lineRule="auto" w:before="0" w:after="100"/>
      </w:pPr>
      <w:r>
        <w:rPr>
          <w:rFonts w:ascii="Calibri" w:hAnsi="Calibri"/>
          <w:b/>
          <w:color w:val="1E293B"/>
        </w:rPr>
        <w:t xml:space="preserve">Satellite Pipeline: </w:t>
      </w:r>
      <w:r>
        <w:rPr>
          <w:rFonts w:ascii="Calibri" w:hAnsi="Calibri"/>
          <w:color w:val="1E293B"/>
          <w:sz w:val="20"/>
        </w:rPr>
        <w:t>4. Re-generate Dual-Resolution Satellite Terrain Basemap:</w:t>
      </w:r>
    </w:p>
    <w:p>
      <w:pPr>
        <w:spacing w:line="276" w:lineRule="auto" w:before="0" w:after="100"/>
      </w:pPr>
      <w:r>
        <w:rPr>
          <w:rFonts w:ascii="Calibri" w:hAnsi="Calibri"/>
          <w:color w:val="1E293B"/>
          <w:sz w:val="20"/>
        </w:rPr>
        <w:t xml:space="preserve">       &amp; 'C:\Users\USMAN\AppData\Local\Python\bin\python.exe' scripts/combine_wide_satellite_terrain.py -i data/regional_seamless_satellite_terrain_500m.tif</w:t>
      </w:r>
    </w:p>
    <w:p>
      <w:pPr>
        <w:spacing w:line="276" w:lineRule="auto" w:before="0" w:after="100"/>
      </w:pPr>
      <w:r>
        <w:rPr>
          <w:rFonts w:ascii="Calibri" w:hAnsi="Calibri"/>
          <w:b/>
          <w:color w:val="1E293B"/>
        </w:rPr>
        <w:t xml:space="preserve">HF Hub Sync: </w:t>
      </w:r>
      <w:r>
        <w:rPr>
          <w:rFonts w:ascii="Calibri" w:hAnsi="Calibri"/>
          <w:color w:val="1E293B"/>
          <w:sz w:val="20"/>
        </w:rPr>
        <w:t>5. Synchronize Large Datasets &amp; Model Checkpoints with Hugging Face Hub:</w:t>
      </w:r>
    </w:p>
    <w:p>
      <w:pPr>
        <w:spacing w:line="276" w:lineRule="auto" w:before="0" w:after="100"/>
      </w:pPr>
      <w:r>
        <w:rPr>
          <w:rFonts w:ascii="Calibri" w:hAnsi="Calibri"/>
          <w:color w:val="1E293B"/>
          <w:sz w:val="20"/>
        </w:rPr>
        <w:t xml:space="preserve">       &amp; 'C:\Users\USMAN\AppData\Local\Python\bin\python.exe' hf_sync.py --repo-id UsmanSait/elnino-crop-failure-pbl --repo-type dataset --token &lt;HF_TOKEN&gt;</w:t>
      </w:r>
    </w:p>
    <w:p>
      <w:pPr>
        <w:pStyle w:val="Heading2"/>
        <w:keepNext/>
        <w:spacing w:before="240" w:after="80"/>
      </w:pPr>
      <w:r>
        <w:rPr>
          <w:rFonts w:ascii="Calibri" w:hAnsi="Calibri"/>
          <w:b/>
          <w:color w:val="0F766E"/>
          <w:sz w:val="25"/>
        </w:rPr>
        <w:t>Repository Code &amp; Data Inventory</w:t>
      </w:r>
    </w:p>
    <w:tbl>
      <w:tblPr>
        <w:tblW w:type="auto" w:w="0"/>
        <w:jc w:val="center"/>
        <w:tblLook w:firstColumn="1" w:firstRow="1" w:lastColumn="0" w:lastRow="0" w:noHBand="0" w:noVBand="1" w:val="04A0"/>
        <w:tblBorders>
          <w:top w:val="single" w:sz="6" w:space="0" w:color="CBD5E1"/>
          <w:bottom w:val="single" w:sz="8" w:space="0" w:color="CBD5E1"/>
          <w:insideH w:val="single" w:sz="4" w:space="0" w:color="CBD5E1"/>
          <w:insideV w:val="none"/>
          <w:left w:val="none"/>
          <w:right w:val="none"/>
        </w:tblBorders>
      </w:tblPr>
      <w:tblGrid>
        <w:gridCol w:w="3360"/>
        <w:gridCol w:w="3360"/>
        <w:gridCol w:w="3360"/>
      </w:tblGrid>
      <w:tr>
        <w:tc>
          <w:tcPr>
            <w:tcW w:type="dxa" w:w="3360"/>
            <w:shd w:fill="0F4C3A"/>
            <w:tcMar>
              <w:top w:w="70" w:type="dxa"/>
              <w:bottom w:w="70" w:type="dxa"/>
              <w:left w:w="90" w:type="dxa"/>
              <w:right w:w="90" w:type="dxa"/>
            </w:tcMar>
          </w:tcPr>
          <w:p>
            <w:r>
              <w:rPr>
                <w:rFonts w:ascii="Calibri" w:hAnsi="Calibri"/>
                <w:b/>
                <w:color w:val="FFFFFF"/>
                <w:sz w:val="16"/>
              </w:rPr>
              <w:t>File / Directory</w:t>
            </w:r>
          </w:p>
        </w:tc>
        <w:tc>
          <w:tcPr>
            <w:tcW w:type="dxa" w:w="3360"/>
            <w:shd w:fill="0F4C3A"/>
            <w:tcMar>
              <w:top w:w="70" w:type="dxa"/>
              <w:bottom w:w="70" w:type="dxa"/>
              <w:left w:w="90" w:type="dxa"/>
              <w:right w:w="90" w:type="dxa"/>
            </w:tcMar>
          </w:tcPr>
          <w:p>
            <w:r>
              <w:rPr>
                <w:rFonts w:ascii="Calibri" w:hAnsi="Calibri"/>
                <w:b/>
                <w:color w:val="FFFFFF"/>
                <w:sz w:val="16"/>
              </w:rPr>
              <w:t>Component Type</w:t>
            </w:r>
          </w:p>
        </w:tc>
        <w:tc>
          <w:tcPr>
            <w:tcW w:type="dxa" w:w="3360"/>
            <w:shd w:fill="0F4C3A"/>
            <w:tcMar>
              <w:top w:w="70" w:type="dxa"/>
              <w:bottom w:w="70" w:type="dxa"/>
              <w:left w:w="90" w:type="dxa"/>
              <w:right w:w="90" w:type="dxa"/>
            </w:tcMar>
          </w:tcPr>
          <w:p>
            <w:r>
              <w:rPr>
                <w:rFonts w:ascii="Calibri" w:hAnsi="Calibri"/>
                <w:b/>
                <w:color w:val="FFFFFF"/>
                <w:sz w:val="16"/>
              </w:rPr>
              <w:t>Description &amp; Operational Function</w:t>
            </w:r>
          </w:p>
        </w:tc>
      </w:tr>
      <w:tr>
        <w:tc>
          <w:tcPr>
            <w:tcW w:type="dxa" w:w="3360"/>
            <w:shd w:fill="F8FAFC"/>
            <w:tcMar>
              <w:top w:w="50" w:type="dxa"/>
              <w:bottom w:w="50" w:type="dxa"/>
              <w:left w:w="90" w:type="dxa"/>
              <w:right w:w="90" w:type="dxa"/>
            </w:tcMar>
          </w:tcPr>
          <w:p>
            <w:r>
              <w:rPr>
                <w:rFonts w:ascii="Calibri" w:hAnsi="Calibri"/>
                <w:b/>
                <w:color w:val="1E293B"/>
                <w:sz w:val="15"/>
              </w:rPr>
              <w:t>src/context/DashboardContext.tsx</w:t>
            </w:r>
          </w:p>
        </w:tc>
        <w:tc>
          <w:tcPr>
            <w:tcW w:type="dxa" w:w="3360"/>
            <w:shd w:fill="F8FAFC"/>
            <w:tcMar>
              <w:top w:w="50" w:type="dxa"/>
              <w:bottom w:w="50" w:type="dxa"/>
              <w:left w:w="90" w:type="dxa"/>
              <w:right w:w="90" w:type="dxa"/>
            </w:tcMar>
          </w:tcPr>
          <w:p>
            <w:r>
              <w:rPr>
                <w:rFonts w:ascii="Calibri" w:hAnsi="Calibri"/>
                <w:color w:val="1E293B"/>
                <w:sz w:val="15"/>
              </w:rPr>
              <w:t>Frontend State</w:t>
            </w:r>
          </w:p>
        </w:tc>
        <w:tc>
          <w:tcPr>
            <w:tcW w:type="dxa" w:w="3360"/>
            <w:shd w:fill="F8FAFC"/>
            <w:tcMar>
              <w:top w:w="50" w:type="dxa"/>
              <w:bottom w:w="50" w:type="dxa"/>
              <w:left w:w="90" w:type="dxa"/>
              <w:right w:w="90" w:type="dxa"/>
            </w:tcMar>
          </w:tcPr>
          <w:p>
            <w:r>
              <w:rPr>
                <w:rFonts w:ascii="Calibri" w:hAnsi="Calibri"/>
                <w:color w:val="1E293B"/>
                <w:sz w:val="15"/>
              </w:rPr>
              <w:t>Central React Context for year, crop, district, and precomputed inferences</w:t>
            </w:r>
          </w:p>
        </w:tc>
      </w:tr>
      <w:tr>
        <w:tc>
          <w:tcPr>
            <w:tcW w:type="dxa" w:w="3360"/>
            <w:shd w:fill="FFFFFF"/>
            <w:tcMar>
              <w:top w:w="50" w:type="dxa"/>
              <w:bottom w:w="50" w:type="dxa"/>
              <w:left w:w="90" w:type="dxa"/>
              <w:right w:w="90" w:type="dxa"/>
            </w:tcMar>
          </w:tcPr>
          <w:p>
            <w:r>
              <w:rPr>
                <w:rFonts w:ascii="Calibri" w:hAnsi="Calibri"/>
                <w:b/>
                <w:color w:val="1E293B"/>
                <w:sz w:val="15"/>
              </w:rPr>
              <w:t>src/components/DistrictChoropleth.tsx</w:t>
            </w:r>
          </w:p>
        </w:tc>
        <w:tc>
          <w:tcPr>
            <w:tcW w:type="dxa" w:w="3360"/>
            <w:shd w:fill="FFFFFF"/>
            <w:tcMar>
              <w:top w:w="50" w:type="dxa"/>
              <w:bottom w:w="50" w:type="dxa"/>
              <w:left w:w="90" w:type="dxa"/>
              <w:right w:w="90" w:type="dxa"/>
            </w:tcMar>
          </w:tcPr>
          <w:p>
            <w:r>
              <w:rPr>
                <w:rFonts w:ascii="Calibri" w:hAnsi="Calibri"/>
                <w:color w:val="1E293B"/>
                <w:sz w:val="15"/>
              </w:rPr>
              <w:t>GIS Map Engine</w:t>
            </w:r>
          </w:p>
        </w:tc>
        <w:tc>
          <w:tcPr>
            <w:tcW w:type="dxa" w:w="3360"/>
            <w:shd w:fill="FFFFFF"/>
            <w:tcMar>
              <w:top w:w="50" w:type="dxa"/>
              <w:bottom w:w="50" w:type="dxa"/>
              <w:left w:w="90" w:type="dxa"/>
              <w:right w:w="90" w:type="dxa"/>
            </w:tcMar>
          </w:tcPr>
          <w:p>
            <w:r>
              <w:rPr>
                <w:rFonts w:ascii="Calibri" w:hAnsi="Calibri"/>
                <w:color w:val="1E293B"/>
                <w:sz w:val="15"/>
              </w:rPr>
              <w:t>Interactive SVG choropleth with zoom/pan and satellite terrain alignment</w:t>
            </w:r>
          </w:p>
        </w:tc>
      </w:tr>
      <w:tr>
        <w:tc>
          <w:tcPr>
            <w:tcW w:type="dxa" w:w="3360"/>
            <w:shd w:fill="F8FAFC"/>
            <w:tcMar>
              <w:top w:w="50" w:type="dxa"/>
              <w:bottom w:w="50" w:type="dxa"/>
              <w:left w:w="90" w:type="dxa"/>
              <w:right w:w="90" w:type="dxa"/>
            </w:tcMar>
          </w:tcPr>
          <w:p>
            <w:r>
              <w:rPr>
                <w:rFonts w:ascii="Calibri" w:hAnsi="Calibri"/>
                <w:b/>
                <w:color w:val="1E293B"/>
                <w:sz w:val="15"/>
              </w:rPr>
              <w:t>src/components/RainfallYieldChart.tsx</w:t>
            </w:r>
          </w:p>
        </w:tc>
        <w:tc>
          <w:tcPr>
            <w:tcW w:type="dxa" w:w="3360"/>
            <w:shd w:fill="F8FAFC"/>
            <w:tcMar>
              <w:top w:w="50" w:type="dxa"/>
              <w:bottom w:w="50" w:type="dxa"/>
              <w:left w:w="90" w:type="dxa"/>
              <w:right w:w="90" w:type="dxa"/>
            </w:tcMar>
          </w:tcPr>
          <w:p>
            <w:r>
              <w:rPr>
                <w:rFonts w:ascii="Calibri" w:hAnsi="Calibri"/>
                <w:color w:val="1E293B"/>
                <w:sz w:val="15"/>
              </w:rPr>
              <w:t>Analytics View</w:t>
            </w:r>
          </w:p>
        </w:tc>
        <w:tc>
          <w:tcPr>
            <w:tcW w:type="dxa" w:w="3360"/>
            <w:shd w:fill="F8FAFC"/>
            <w:tcMar>
              <w:top w:w="50" w:type="dxa"/>
              <w:bottom w:w="50" w:type="dxa"/>
              <w:left w:w="90" w:type="dxa"/>
              <w:right w:w="90" w:type="dxa"/>
            </w:tcMar>
          </w:tcPr>
          <w:p>
            <w:r>
              <w:rPr>
                <w:rFonts w:ascii="Calibri" w:hAnsi="Calibri"/>
                <w:color w:val="1E293B"/>
                <w:sz w:val="15"/>
              </w:rPr>
              <w:t>Synchronized dual-axis chart for rainfall, yields, and drought indicators</w:t>
            </w:r>
          </w:p>
        </w:tc>
      </w:tr>
      <w:tr>
        <w:tc>
          <w:tcPr>
            <w:tcW w:type="dxa" w:w="3360"/>
            <w:shd w:fill="FFFFFF"/>
            <w:tcMar>
              <w:top w:w="50" w:type="dxa"/>
              <w:bottom w:w="50" w:type="dxa"/>
              <w:left w:w="90" w:type="dxa"/>
              <w:right w:w="90" w:type="dxa"/>
            </w:tcMar>
          </w:tcPr>
          <w:p>
            <w:r>
              <w:rPr>
                <w:rFonts w:ascii="Calibri" w:hAnsi="Calibri"/>
                <w:b/>
                <w:color w:val="1E293B"/>
                <w:sz w:val="15"/>
              </w:rPr>
              <w:t>src/pages/FutureElNinoPage.tsx</w:t>
            </w:r>
          </w:p>
        </w:tc>
        <w:tc>
          <w:tcPr>
            <w:tcW w:type="dxa" w:w="3360"/>
            <w:shd w:fill="FFFFFF"/>
            <w:tcMar>
              <w:top w:w="50" w:type="dxa"/>
              <w:bottom w:w="50" w:type="dxa"/>
              <w:left w:w="90" w:type="dxa"/>
              <w:right w:w="90" w:type="dxa"/>
            </w:tcMar>
          </w:tcPr>
          <w:p>
            <w:r>
              <w:rPr>
                <w:rFonts w:ascii="Calibri" w:hAnsi="Calibri"/>
                <w:color w:val="1E293B"/>
                <w:sz w:val="15"/>
              </w:rPr>
              <w:t>Scenario Simulator</w:t>
            </w:r>
          </w:p>
        </w:tc>
        <w:tc>
          <w:tcPr>
            <w:tcW w:type="dxa" w:w="3360"/>
            <w:shd w:fill="FFFFFF"/>
            <w:tcMar>
              <w:top w:w="50" w:type="dxa"/>
              <w:bottom w:w="50" w:type="dxa"/>
              <w:left w:w="90" w:type="dxa"/>
              <w:right w:w="90" w:type="dxa"/>
            </w:tcMar>
          </w:tcPr>
          <w:p>
            <w:r>
              <w:rPr>
                <w:rFonts w:ascii="Calibri" w:hAnsi="Calibri"/>
                <w:color w:val="1E293B"/>
                <w:sz w:val="15"/>
              </w:rPr>
              <w:t>Policy simulator modeling SST warming shocks (+0.5°C to +2.5°C)</w:t>
            </w:r>
          </w:p>
        </w:tc>
      </w:tr>
      <w:tr>
        <w:tc>
          <w:tcPr>
            <w:tcW w:type="dxa" w:w="3360"/>
            <w:shd w:fill="F8FAFC"/>
            <w:tcMar>
              <w:top w:w="50" w:type="dxa"/>
              <w:bottom w:w="50" w:type="dxa"/>
              <w:left w:w="90" w:type="dxa"/>
              <w:right w:w="90" w:type="dxa"/>
            </w:tcMar>
          </w:tcPr>
          <w:p>
            <w:r>
              <w:rPr>
                <w:rFonts w:ascii="Calibri" w:hAnsi="Calibri"/>
                <w:b/>
                <w:color w:val="1E293B"/>
                <w:sz w:val="15"/>
              </w:rPr>
              <w:t>CNN_LSTM_Training/.../train_all_kharif_crops_cnn_lstm.py</w:t>
            </w:r>
          </w:p>
        </w:tc>
        <w:tc>
          <w:tcPr>
            <w:tcW w:type="dxa" w:w="3360"/>
            <w:shd w:fill="F8FAFC"/>
            <w:tcMar>
              <w:top w:w="50" w:type="dxa"/>
              <w:bottom w:w="50" w:type="dxa"/>
              <w:left w:w="90" w:type="dxa"/>
              <w:right w:w="90" w:type="dxa"/>
            </w:tcMar>
          </w:tcPr>
          <w:p>
            <w:r>
              <w:rPr>
                <w:rFonts w:ascii="Calibri" w:hAnsi="Calibri"/>
                <w:color w:val="1E293B"/>
                <w:sz w:val="15"/>
              </w:rPr>
              <w:t>Deep Learning</w:t>
            </w:r>
          </w:p>
        </w:tc>
        <w:tc>
          <w:tcPr>
            <w:tcW w:type="dxa" w:w="3360"/>
            <w:shd w:fill="F8FAFC"/>
            <w:tcMar>
              <w:top w:w="50" w:type="dxa"/>
              <w:bottom w:w="50" w:type="dxa"/>
              <w:left w:w="90" w:type="dxa"/>
              <w:right w:w="90" w:type="dxa"/>
            </w:tcMar>
          </w:tcPr>
          <w:p>
            <w:r>
              <w:rPr>
                <w:rFonts w:ascii="Calibri" w:hAnsi="Calibri"/>
                <w:color w:val="1E293B"/>
                <w:sz w:val="15"/>
              </w:rPr>
              <w:t>PyTorch 2D-CNN + BiLSTM multi-crop training and LOSO evaluation engine</w:t>
            </w:r>
          </w:p>
        </w:tc>
      </w:tr>
      <w:tr>
        <w:tc>
          <w:tcPr>
            <w:tcW w:type="dxa" w:w="3360"/>
            <w:shd w:fill="FFFFFF"/>
            <w:tcMar>
              <w:top w:w="50" w:type="dxa"/>
              <w:bottom w:w="50" w:type="dxa"/>
              <w:left w:w="90" w:type="dxa"/>
              <w:right w:w="90" w:type="dxa"/>
            </w:tcMar>
          </w:tcPr>
          <w:p>
            <w:r>
              <w:rPr>
                <w:rFonts w:ascii="Calibri" w:hAnsi="Calibri"/>
                <w:b/>
                <w:color w:val="1E293B"/>
                <w:sz w:val="15"/>
              </w:rPr>
              <w:t>scripts/build_standardized_kharif_series.py</w:t>
            </w:r>
          </w:p>
        </w:tc>
        <w:tc>
          <w:tcPr>
            <w:tcW w:type="dxa" w:w="3360"/>
            <w:shd w:fill="FFFFFF"/>
            <w:tcMar>
              <w:top w:w="50" w:type="dxa"/>
              <w:bottom w:w="50" w:type="dxa"/>
              <w:left w:w="90" w:type="dxa"/>
              <w:right w:w="90" w:type="dxa"/>
            </w:tcMar>
          </w:tcPr>
          <w:p>
            <w:r>
              <w:rPr>
                <w:rFonts w:ascii="Calibri" w:hAnsi="Calibri"/>
                <w:color w:val="1E293B"/>
                <w:sz w:val="15"/>
              </w:rPr>
              <w:t>Data Engine</w:t>
            </w:r>
          </w:p>
        </w:tc>
        <w:tc>
          <w:tcPr>
            <w:tcW w:type="dxa" w:w="3360"/>
            <w:shd w:fill="FFFFFF"/>
            <w:tcMar>
              <w:top w:w="50" w:type="dxa"/>
              <w:bottom w:w="50" w:type="dxa"/>
              <w:left w:w="90" w:type="dxa"/>
              <w:right w:w="90" w:type="dxa"/>
            </w:tcMar>
          </w:tcPr>
          <w:p>
            <w:r>
              <w:rPr>
                <w:rFonts w:ascii="Calibri" w:hAnsi="Calibri"/>
                <w:color w:val="1E293B"/>
                <w:sz w:val="15"/>
              </w:rPr>
              <w:t>Standardizes 58 years of DES harvest records &amp; computes PMFBY baselines</w:t>
            </w:r>
          </w:p>
        </w:tc>
      </w:tr>
      <w:tr>
        <w:tc>
          <w:tcPr>
            <w:tcW w:type="dxa" w:w="3360"/>
            <w:shd w:fill="F8FAFC"/>
            <w:tcMar>
              <w:top w:w="50" w:type="dxa"/>
              <w:bottom w:w="50" w:type="dxa"/>
              <w:left w:w="90" w:type="dxa"/>
              <w:right w:w="90" w:type="dxa"/>
            </w:tcMar>
          </w:tcPr>
          <w:p>
            <w:r>
              <w:rPr>
                <w:rFonts w:ascii="Calibri" w:hAnsi="Calibri"/>
                <w:b/>
                <w:color w:val="1E293B"/>
                <w:sz w:val="15"/>
              </w:rPr>
              <w:t>scripts/extract_sentinel2_cropland.js</w:t>
            </w:r>
          </w:p>
        </w:tc>
        <w:tc>
          <w:tcPr>
            <w:tcW w:type="dxa" w:w="3360"/>
            <w:shd w:fill="F8FAFC"/>
            <w:tcMar>
              <w:top w:w="50" w:type="dxa"/>
              <w:bottom w:w="50" w:type="dxa"/>
              <w:left w:w="90" w:type="dxa"/>
              <w:right w:w="90" w:type="dxa"/>
            </w:tcMar>
          </w:tcPr>
          <w:p>
            <w:r>
              <w:rPr>
                <w:rFonts w:ascii="Calibri" w:hAnsi="Calibri"/>
                <w:color w:val="1E293B"/>
                <w:sz w:val="15"/>
              </w:rPr>
              <w:t>Earth Engine</w:t>
            </w:r>
          </w:p>
        </w:tc>
        <w:tc>
          <w:tcPr>
            <w:tcW w:type="dxa" w:w="3360"/>
            <w:shd w:fill="F8FAFC"/>
            <w:tcMar>
              <w:top w:w="50" w:type="dxa"/>
              <w:bottom w:w="50" w:type="dxa"/>
              <w:left w:w="90" w:type="dxa"/>
              <w:right w:w="90" w:type="dxa"/>
            </w:tcMar>
          </w:tcPr>
          <w:p>
            <w:r>
              <w:rPr>
                <w:rFonts w:ascii="Calibri" w:hAnsi="Calibri"/>
                <w:color w:val="1E293B"/>
                <w:sz w:val="15"/>
              </w:rPr>
              <w:t>GEE JavaScript script exporting 8-band fortnightly Sentinel-2 patches</w:t>
            </w:r>
          </w:p>
        </w:tc>
      </w:tr>
      <w:tr>
        <w:tc>
          <w:tcPr>
            <w:tcW w:type="dxa" w:w="3360"/>
            <w:shd w:fill="FFFFFF"/>
            <w:tcMar>
              <w:top w:w="50" w:type="dxa"/>
              <w:bottom w:w="50" w:type="dxa"/>
              <w:left w:w="90" w:type="dxa"/>
              <w:right w:w="90" w:type="dxa"/>
            </w:tcMar>
          </w:tcPr>
          <w:p>
            <w:r>
              <w:rPr>
                <w:rFonts w:ascii="Calibri" w:hAnsi="Calibri"/>
                <w:b/>
                <w:color w:val="1E293B"/>
                <w:sz w:val="15"/>
              </w:rPr>
              <w:t>scripts/combine_wide_satellite_terrain.py</w:t>
            </w:r>
          </w:p>
        </w:tc>
        <w:tc>
          <w:tcPr>
            <w:tcW w:type="dxa" w:w="3360"/>
            <w:shd w:fill="FFFFFF"/>
            <w:tcMar>
              <w:top w:w="50" w:type="dxa"/>
              <w:bottom w:w="50" w:type="dxa"/>
              <w:left w:w="90" w:type="dxa"/>
              <w:right w:w="90" w:type="dxa"/>
            </w:tcMar>
          </w:tcPr>
          <w:p>
            <w:r>
              <w:rPr>
                <w:rFonts w:ascii="Calibri" w:hAnsi="Calibri"/>
                <w:color w:val="1E293B"/>
                <w:sz w:val="15"/>
              </w:rPr>
              <w:t>Geospatial</w:t>
            </w:r>
          </w:p>
        </w:tc>
        <w:tc>
          <w:tcPr>
            <w:tcW w:type="dxa" w:w="3360"/>
            <w:shd w:fill="FFFFFF"/>
            <w:tcMar>
              <w:top w:w="50" w:type="dxa"/>
              <w:bottom w:w="50" w:type="dxa"/>
              <w:left w:w="90" w:type="dxa"/>
              <w:right w:w="90" w:type="dxa"/>
            </w:tcMar>
          </w:tcPr>
          <w:p>
            <w:r>
              <w:rPr>
                <w:rFonts w:ascii="Calibri" w:hAnsi="Calibri"/>
                <w:color w:val="1E293B"/>
                <w:sz w:val="15"/>
              </w:rPr>
              <w:t>Blends 500m MODIS canvas with 10m Sentinel-2 + DEM core basemap</w:t>
            </w:r>
          </w:p>
        </w:tc>
      </w:tr>
      <w:tr>
        <w:tc>
          <w:tcPr>
            <w:tcW w:type="dxa" w:w="3360"/>
            <w:shd w:fill="F8FAFC"/>
            <w:tcMar>
              <w:top w:w="50" w:type="dxa"/>
              <w:bottom w:w="50" w:type="dxa"/>
              <w:left w:w="90" w:type="dxa"/>
              <w:right w:w="90" w:type="dxa"/>
            </w:tcMar>
          </w:tcPr>
          <w:p>
            <w:r>
              <w:rPr>
                <w:rFonts w:ascii="Calibri" w:hAnsi="Calibri"/>
                <w:b/>
                <w:color w:val="1E293B"/>
                <w:sz w:val="15"/>
              </w:rPr>
              <w:t>data/standardized_maharashtra_kharif_all_crops_1966_2024.csv</w:t>
            </w:r>
          </w:p>
        </w:tc>
        <w:tc>
          <w:tcPr>
            <w:tcW w:type="dxa" w:w="3360"/>
            <w:shd w:fill="F8FAFC"/>
            <w:tcMar>
              <w:top w:w="50" w:type="dxa"/>
              <w:bottom w:w="50" w:type="dxa"/>
              <w:left w:w="90" w:type="dxa"/>
              <w:right w:w="90" w:type="dxa"/>
            </w:tcMar>
          </w:tcPr>
          <w:p>
            <w:r>
              <w:rPr>
                <w:rFonts w:ascii="Calibri" w:hAnsi="Calibri"/>
                <w:color w:val="1E293B"/>
                <w:sz w:val="15"/>
              </w:rPr>
              <w:t>Data Asset</w:t>
            </w:r>
          </w:p>
        </w:tc>
        <w:tc>
          <w:tcPr>
            <w:tcW w:type="dxa" w:w="3360"/>
            <w:shd w:fill="F8FAFC"/>
            <w:tcMar>
              <w:top w:w="50" w:type="dxa"/>
              <w:bottom w:w="50" w:type="dxa"/>
              <w:left w:w="90" w:type="dxa"/>
              <w:right w:w="90" w:type="dxa"/>
            </w:tcMar>
          </w:tcPr>
          <w:p>
            <w:r>
              <w:rPr>
                <w:rFonts w:ascii="Calibri" w:hAnsi="Calibri"/>
                <w:color w:val="1E293B"/>
                <w:sz w:val="15"/>
              </w:rPr>
              <w:t>9,078 records across 38 district entities and 6 Kharif crops</w:t>
            </w:r>
          </w:p>
        </w:tc>
      </w:tr>
      <w:tr>
        <w:tc>
          <w:tcPr>
            <w:tcW w:type="dxa" w:w="3360"/>
            <w:shd w:fill="FFFFFF"/>
            <w:tcMar>
              <w:top w:w="50" w:type="dxa"/>
              <w:bottom w:w="50" w:type="dxa"/>
              <w:left w:w="90" w:type="dxa"/>
              <w:right w:w="90" w:type="dxa"/>
            </w:tcMar>
          </w:tcPr>
          <w:p>
            <w:r>
              <w:rPr>
                <w:rFonts w:ascii="Calibri" w:hAnsi="Calibri"/>
                <w:b/>
                <w:color w:val="1E293B"/>
                <w:sz w:val="15"/>
              </w:rPr>
              <w:t>data/crop_failure_predictions.csv</w:t>
            </w:r>
          </w:p>
        </w:tc>
        <w:tc>
          <w:tcPr>
            <w:tcW w:type="dxa" w:w="3360"/>
            <w:shd w:fill="FFFFFF"/>
            <w:tcMar>
              <w:top w:w="50" w:type="dxa"/>
              <w:bottom w:w="50" w:type="dxa"/>
              <w:left w:w="90" w:type="dxa"/>
              <w:right w:w="90" w:type="dxa"/>
            </w:tcMar>
          </w:tcPr>
          <w:p>
            <w:r>
              <w:rPr>
                <w:rFonts w:ascii="Calibri" w:hAnsi="Calibri"/>
                <w:color w:val="1E293B"/>
                <w:sz w:val="15"/>
              </w:rPr>
              <w:t>Predictions</w:t>
            </w:r>
          </w:p>
        </w:tc>
        <w:tc>
          <w:tcPr>
            <w:tcW w:type="dxa" w:w="3360"/>
            <w:shd w:fill="FFFFFF"/>
            <w:tcMar>
              <w:top w:w="50" w:type="dxa"/>
              <w:bottom w:w="50" w:type="dxa"/>
              <w:left w:w="90" w:type="dxa"/>
              <w:right w:w="90" w:type="dxa"/>
            </w:tcMar>
          </w:tcPr>
          <w:p>
            <w:r>
              <w:rPr>
                <w:rFonts w:ascii="Calibri" w:hAnsi="Calibri"/>
                <w:color w:val="1E293B"/>
                <w:sz w:val="15"/>
              </w:rPr>
              <w:t>320 precomputed district-crop predictions ingested by React dashboard</w:t>
            </w:r>
          </w:p>
        </w:tc>
      </w:tr>
    </w:tbl>
    <w:p>
      <w:pPr>
        <w:spacing w:after="240"/>
      </w:pPr>
    </w:p>
    <w:sectPr w:rsidR="00FC693F" w:rsidRPr="0006063C" w:rsidSect="00034616">
      <w:headerReference w:type="default" r:id="rId10"/>
      <w:footerReference w:type="default" r:id="rId11"/>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475569"/>
        <w:sz w:val="16"/>
      </w:rPr>
      <w:t>B.Tech Capstone Technical Report | AI &amp; Data Science</w:t>
      <w:tab/>
      <w:tab/>
      <w:t xml:space="preserve">Page </w:t>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6"/>
      </w:rPr>
      <w:t>Spatiotemporal CNN-LSTM Framework — Maharashtra Kharif Crop Failure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jpeg"/><Relationship Id="rId13" Type="http://schemas.openxmlformats.org/officeDocument/2006/relationships/image" Target="media/image3.png"/><Relationship Id="rId14" Type="http://schemas.openxmlformats.org/officeDocument/2006/relationships/image" Target="media/image4.jpe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