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1B30" w14:textId="3F56A599" w:rsidR="004416B5" w:rsidRDefault="004416B5">
      <w:pPr>
        <w:spacing w:after="200" w:line="276" w:lineRule="auto"/>
        <w:jc w:val="right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3780"/>
      </w:tblGrid>
      <w:tr w:rsidR="004416B5" w:rsidRPr="001361CA" w14:paraId="6FFA0B29" w14:textId="77777777">
        <w:tc>
          <w:tcPr>
            <w:tcW w:w="6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FD748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 xml:space="preserve">Nombres: </w:t>
            </w:r>
            <w:r w:rsidRPr="001361CA">
              <w:rPr>
                <w:rFonts w:ascii="Bahnschrift" w:hAnsi="Bahnschrift"/>
                <w:sz w:val="22"/>
                <w:szCs w:val="22"/>
              </w:rPr>
              <w:t>Equipo 5</w:t>
            </w:r>
          </w:p>
          <w:p w14:paraId="62E2ACA3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sz w:val="22"/>
                <w:szCs w:val="22"/>
              </w:rPr>
              <w:t>Rodrigo Noguera Pérez</w:t>
            </w:r>
          </w:p>
          <w:p w14:paraId="2D05CDFF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sz w:val="22"/>
                <w:szCs w:val="22"/>
              </w:rPr>
              <w:t>Andrik Hasiel Pérez Limón</w:t>
            </w:r>
          </w:p>
          <w:p w14:paraId="52BC6EE0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sz w:val="22"/>
                <w:szCs w:val="22"/>
              </w:rPr>
              <w:t xml:space="preserve">Erick Antonio </w:t>
            </w:r>
            <w:proofErr w:type="spellStart"/>
            <w:r w:rsidRPr="001361CA">
              <w:rPr>
                <w:rFonts w:ascii="Bahnschrift" w:hAnsi="Bahnschrift"/>
                <w:sz w:val="22"/>
                <w:szCs w:val="22"/>
              </w:rPr>
              <w:t>Paez</w:t>
            </w:r>
            <w:proofErr w:type="spellEnd"/>
            <w:r w:rsidRPr="001361CA">
              <w:rPr>
                <w:rFonts w:ascii="Bahnschrift" w:hAnsi="Bahnschrift"/>
                <w:sz w:val="22"/>
                <w:szCs w:val="22"/>
              </w:rPr>
              <w:t xml:space="preserve"> Estrada</w:t>
            </w:r>
          </w:p>
        </w:tc>
        <w:tc>
          <w:tcPr>
            <w:tcW w:w="3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66CE8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>Matrículas</w:t>
            </w:r>
            <w:r w:rsidRPr="001361CA">
              <w:rPr>
                <w:rFonts w:ascii="Bahnschrift" w:hAnsi="Bahnschrift"/>
                <w:sz w:val="22"/>
                <w:szCs w:val="22"/>
              </w:rPr>
              <w:t>:</w:t>
            </w:r>
          </w:p>
          <w:p w14:paraId="05BCB87B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sz w:val="22"/>
                <w:szCs w:val="22"/>
              </w:rPr>
              <w:t>2136238</w:t>
            </w:r>
          </w:p>
          <w:p w14:paraId="33FE0300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sz w:val="22"/>
                <w:szCs w:val="22"/>
              </w:rPr>
              <w:t>2118898</w:t>
            </w:r>
          </w:p>
          <w:p w14:paraId="32C5F94F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sz w:val="22"/>
                <w:szCs w:val="22"/>
              </w:rPr>
              <w:t>2120761</w:t>
            </w:r>
          </w:p>
        </w:tc>
      </w:tr>
      <w:tr w:rsidR="004416B5" w:rsidRPr="001361CA" w14:paraId="53393FAA" w14:textId="77777777">
        <w:tc>
          <w:tcPr>
            <w:tcW w:w="6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B1E53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 xml:space="preserve">Nombre del curso: </w:t>
            </w:r>
            <w:r w:rsidRPr="001361CA">
              <w:rPr>
                <w:rFonts w:ascii="Bahnschrift" w:hAnsi="Bahnschrift"/>
                <w:sz w:val="22"/>
                <w:szCs w:val="22"/>
              </w:rPr>
              <w:t>Componentes de Lógica de Negocio</w:t>
            </w:r>
          </w:p>
        </w:tc>
        <w:tc>
          <w:tcPr>
            <w:tcW w:w="3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74EDE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>Nombre del profesor</w:t>
            </w:r>
            <w:r w:rsidRPr="001361CA">
              <w:rPr>
                <w:rFonts w:ascii="Bahnschrift" w:hAnsi="Bahnschrift"/>
                <w:sz w:val="22"/>
                <w:szCs w:val="22"/>
              </w:rPr>
              <w:t>: Miguel Ángel Gómez Marroquín</w:t>
            </w:r>
          </w:p>
        </w:tc>
      </w:tr>
      <w:tr w:rsidR="004416B5" w:rsidRPr="001361CA" w14:paraId="269EC364" w14:textId="77777777">
        <w:tc>
          <w:tcPr>
            <w:tcW w:w="6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C2C42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 xml:space="preserve">Módulo </w:t>
            </w:r>
            <w:proofErr w:type="spellStart"/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>Netacad</w:t>
            </w:r>
            <w:proofErr w:type="spellEnd"/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 xml:space="preserve">: </w:t>
            </w:r>
            <w:r w:rsidRPr="001361CA">
              <w:rPr>
                <w:rFonts w:ascii="Bahnschrift" w:hAnsi="Bahnschrift"/>
                <w:sz w:val="22"/>
                <w:szCs w:val="22"/>
              </w:rPr>
              <w:t>3</w:t>
            </w:r>
          </w:p>
        </w:tc>
        <w:tc>
          <w:tcPr>
            <w:tcW w:w="3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AC61B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>Actividad</w:t>
            </w:r>
            <w:r w:rsidRPr="001361CA">
              <w:rPr>
                <w:rFonts w:ascii="Bahnschrift" w:hAnsi="Bahnschrift"/>
                <w:sz w:val="22"/>
                <w:szCs w:val="22"/>
              </w:rPr>
              <w:t xml:space="preserve">: Matriz de Trazabilidad – </w:t>
            </w:r>
            <w:proofErr w:type="spellStart"/>
            <w:r w:rsidRPr="001361CA">
              <w:rPr>
                <w:rFonts w:ascii="Bahnschrift" w:hAnsi="Bahnschrift"/>
                <w:sz w:val="22"/>
                <w:szCs w:val="22"/>
              </w:rPr>
              <w:t>TecnoStock</w:t>
            </w:r>
            <w:proofErr w:type="spellEnd"/>
            <w:r w:rsidRPr="001361CA">
              <w:rPr>
                <w:rFonts w:ascii="Bahnschrift" w:hAnsi="Bahnschrift"/>
                <w:sz w:val="22"/>
                <w:szCs w:val="22"/>
              </w:rPr>
              <w:t xml:space="preserve"> (Caso 05)</w:t>
            </w:r>
          </w:p>
        </w:tc>
      </w:tr>
      <w:tr w:rsidR="004416B5" w:rsidRPr="001361CA" w14:paraId="1AC311D8" w14:textId="77777777">
        <w:tc>
          <w:tcPr>
            <w:tcW w:w="630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A950B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 xml:space="preserve">Empresa asignada: </w:t>
            </w:r>
            <w:proofErr w:type="spellStart"/>
            <w:r w:rsidRPr="001361CA">
              <w:rPr>
                <w:rFonts w:ascii="Bahnschrift" w:hAnsi="Bahnschrift"/>
                <w:sz w:val="22"/>
                <w:szCs w:val="22"/>
              </w:rPr>
              <w:t>TecnoStock</w:t>
            </w:r>
            <w:proofErr w:type="spellEnd"/>
            <w:r w:rsidRPr="001361CA">
              <w:rPr>
                <w:rFonts w:ascii="Bahnschrift" w:hAnsi="Bahnschrift"/>
                <w:sz w:val="22"/>
                <w:szCs w:val="22"/>
              </w:rPr>
              <w:t xml:space="preserve"> (Caso 05)</w:t>
            </w:r>
          </w:p>
        </w:tc>
        <w:tc>
          <w:tcPr>
            <w:tcW w:w="378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485F0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>Fecha</w:t>
            </w:r>
            <w:r w:rsidRPr="001361CA">
              <w:rPr>
                <w:rFonts w:ascii="Bahnschrift" w:hAnsi="Bahnschrift"/>
                <w:sz w:val="22"/>
                <w:szCs w:val="22"/>
              </w:rPr>
              <w:t>: 17/10/2026</w:t>
            </w:r>
          </w:p>
        </w:tc>
      </w:tr>
      <w:tr w:rsidR="004416B5" w:rsidRPr="00F11F7B" w14:paraId="65F3B1F0" w14:textId="77777777">
        <w:tc>
          <w:tcPr>
            <w:tcW w:w="10080" w:type="dxa"/>
            <w:gridSpan w:val="2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05426" w14:textId="77777777" w:rsidR="004416B5" w:rsidRPr="001361CA" w:rsidRDefault="004416B5">
            <w:pPr>
              <w:spacing w:after="80" w:line="276" w:lineRule="auto"/>
              <w:rPr>
                <w:rFonts w:ascii="Bahnschrift" w:hAnsi="Bahnschrift"/>
                <w:sz w:val="22"/>
                <w:szCs w:val="22"/>
              </w:rPr>
            </w:pPr>
            <w:r w:rsidRPr="001361CA">
              <w:rPr>
                <w:rFonts w:ascii="Bahnschrift" w:hAnsi="Bahnschrift"/>
                <w:b/>
                <w:bCs/>
                <w:sz w:val="22"/>
                <w:szCs w:val="22"/>
              </w:rPr>
              <w:t>Bibliografía (Formato APA)</w:t>
            </w:r>
          </w:p>
          <w:p w14:paraId="1671FE32" w14:textId="77777777" w:rsidR="00897888" w:rsidRDefault="00A5730B">
            <w:pPr>
              <w:spacing w:after="8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FIME UANL. (2026). Caso 05: </w:t>
            </w:r>
            <w:proofErr w:type="spellStart"/>
            <w:r>
              <w:rPr>
                <w:sz w:val="19"/>
                <w:szCs w:val="19"/>
              </w:rPr>
              <w:t>TecnoStock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D328C7D" w14:textId="77777777" w:rsidR="00A5730B" w:rsidRPr="008E1EAF" w:rsidRDefault="00A5730B">
            <w:pPr>
              <w:spacing w:after="80" w:line="276" w:lineRule="auto"/>
              <w:rPr>
                <w:rFonts w:ascii="Bahnschrift" w:hAnsi="Bahnschrift"/>
                <w:sz w:val="19"/>
                <w:szCs w:val="19"/>
              </w:rPr>
            </w:pPr>
            <w:r w:rsidRPr="008E1EAF">
              <w:rPr>
                <w:rFonts w:ascii="Bahnschrift" w:hAnsi="Bahnschrift"/>
                <w:sz w:val="19"/>
                <w:szCs w:val="19"/>
              </w:rPr>
              <w:t xml:space="preserve">Noguera Pérez, R., Pérez Limón, A. H., &amp; </w:t>
            </w:r>
            <w:proofErr w:type="spellStart"/>
            <w:r w:rsidRPr="008E1EAF">
              <w:rPr>
                <w:rFonts w:ascii="Bahnschrift" w:hAnsi="Bahnschrift"/>
                <w:sz w:val="19"/>
                <w:szCs w:val="19"/>
              </w:rPr>
              <w:t>Paez</w:t>
            </w:r>
            <w:proofErr w:type="spellEnd"/>
            <w:r w:rsidRPr="008E1EAF">
              <w:rPr>
                <w:rFonts w:ascii="Bahnschrift" w:hAnsi="Bahnschrift"/>
                <w:sz w:val="19"/>
                <w:szCs w:val="19"/>
              </w:rPr>
              <w:t xml:space="preserve"> Estrada, E. A. (2026). </w:t>
            </w:r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 xml:space="preserve">BRD de </w:t>
            </w:r>
            <w:proofErr w:type="spellStart"/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>TecnoStock</w:t>
            </w:r>
            <w:proofErr w:type="spellEnd"/>
            <w:r w:rsidRPr="008E1EAF">
              <w:rPr>
                <w:rFonts w:ascii="Bahnschrift" w:hAnsi="Bahnschrift"/>
                <w:sz w:val="19"/>
                <w:szCs w:val="19"/>
              </w:rPr>
              <w:t xml:space="preserve"> [Documento del curso Componentes de lógica de negocio].</w:t>
            </w:r>
          </w:p>
          <w:p w14:paraId="432884B3" w14:textId="77777777" w:rsidR="00A5730B" w:rsidRPr="008E1EAF" w:rsidRDefault="00A5730B" w:rsidP="00A5730B">
            <w:pPr>
              <w:spacing w:after="80" w:line="276" w:lineRule="auto"/>
              <w:rPr>
                <w:rFonts w:ascii="Bahnschrift" w:hAnsi="Bahnschrift"/>
                <w:sz w:val="19"/>
                <w:szCs w:val="19"/>
              </w:rPr>
            </w:pPr>
            <w:r w:rsidRPr="008E1EAF">
              <w:rPr>
                <w:rFonts w:ascii="Bahnschrift" w:hAnsi="Bahnschrift"/>
                <w:sz w:val="19"/>
                <w:szCs w:val="19"/>
              </w:rPr>
              <w:t xml:space="preserve">Noguera Pérez, R., Pérez Limón, A. H., &amp; </w:t>
            </w:r>
            <w:proofErr w:type="spellStart"/>
            <w:r w:rsidRPr="008E1EAF">
              <w:rPr>
                <w:rFonts w:ascii="Bahnschrift" w:hAnsi="Bahnschrift"/>
                <w:sz w:val="19"/>
                <w:szCs w:val="19"/>
              </w:rPr>
              <w:t>Paez</w:t>
            </w:r>
            <w:proofErr w:type="spellEnd"/>
            <w:r w:rsidRPr="008E1EAF">
              <w:rPr>
                <w:rFonts w:ascii="Bahnschrift" w:hAnsi="Bahnschrift"/>
                <w:sz w:val="19"/>
                <w:szCs w:val="19"/>
              </w:rPr>
              <w:t xml:space="preserve"> Estrada, E. A. (2026). </w:t>
            </w:r>
            <w:proofErr w:type="spellStart"/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>User</w:t>
            </w:r>
            <w:proofErr w:type="spellEnd"/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>Stories</w:t>
            </w:r>
            <w:proofErr w:type="spellEnd"/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 xml:space="preserve"> de </w:t>
            </w:r>
            <w:proofErr w:type="spellStart"/>
            <w:r w:rsidRPr="008E1EAF">
              <w:rPr>
                <w:rFonts w:ascii="Bahnschrift" w:hAnsi="Bahnschrift"/>
                <w:i/>
                <w:iCs/>
                <w:sz w:val="19"/>
                <w:szCs w:val="19"/>
              </w:rPr>
              <w:t>TecnoStock</w:t>
            </w:r>
            <w:proofErr w:type="spellEnd"/>
            <w:r w:rsidRPr="008E1EAF">
              <w:rPr>
                <w:rFonts w:ascii="Bahnschrift" w:hAnsi="Bahnschrift"/>
                <w:sz w:val="19"/>
                <w:szCs w:val="19"/>
              </w:rPr>
              <w:t xml:space="preserve"> [Documento del curso Componentes de lógica de negocio].</w:t>
            </w:r>
          </w:p>
          <w:p w14:paraId="30E07722" w14:textId="77777777" w:rsidR="00A5730B" w:rsidRPr="008E1EAF" w:rsidRDefault="00A5730B" w:rsidP="00A5730B">
            <w:pPr>
              <w:spacing w:after="80" w:line="276" w:lineRule="auto"/>
              <w:rPr>
                <w:rFonts w:ascii="Bahnschrift" w:hAnsi="Bahnschrift"/>
                <w:sz w:val="19"/>
                <w:szCs w:val="19"/>
                <w:lang w:val="en-US"/>
              </w:rPr>
            </w:pP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 xml:space="preserve">Evans, E. (2004). </w:t>
            </w:r>
            <w:r w:rsidRPr="008E1EAF">
              <w:rPr>
                <w:rFonts w:ascii="Bahnschrift" w:hAnsi="Bahnschrift"/>
                <w:i/>
                <w:iCs/>
                <w:sz w:val="19"/>
                <w:szCs w:val="19"/>
                <w:lang w:val="en-US"/>
              </w:rPr>
              <w:t>Domain-driven design: Tackling complexity in the heart of software</w:t>
            </w: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>. Addison-Wesley.</w:t>
            </w:r>
          </w:p>
          <w:p w14:paraId="7E8F8486" w14:textId="77777777" w:rsidR="00F11F7B" w:rsidRPr="008E1EAF" w:rsidRDefault="00F11F7B" w:rsidP="00F11F7B">
            <w:pPr>
              <w:spacing w:after="80" w:line="276" w:lineRule="auto"/>
              <w:rPr>
                <w:rFonts w:ascii="Bahnschrift" w:hAnsi="Bahnschrift"/>
                <w:sz w:val="19"/>
                <w:szCs w:val="19"/>
                <w:lang w:val="en-US"/>
              </w:rPr>
            </w:pP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 xml:space="preserve">Gamma, E., Helm, R., Johnson, R., &amp; </w:t>
            </w:r>
            <w:proofErr w:type="spellStart"/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>Vlissides</w:t>
            </w:r>
            <w:proofErr w:type="spellEnd"/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 xml:space="preserve">, J. (1994). </w:t>
            </w:r>
            <w:r w:rsidRPr="008E1EAF">
              <w:rPr>
                <w:rFonts w:ascii="Bahnschrift" w:hAnsi="Bahnschrift"/>
                <w:i/>
                <w:iCs/>
                <w:sz w:val="19"/>
                <w:szCs w:val="19"/>
                <w:lang w:val="en-US"/>
              </w:rPr>
              <w:t>Design patterns: Elements of reusable object-oriented software</w:t>
            </w: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>. Addison-Wesley.</w:t>
            </w:r>
          </w:p>
          <w:p w14:paraId="62DC05E2" w14:textId="77777777" w:rsidR="00F11F7B" w:rsidRPr="008E1EAF" w:rsidRDefault="00F11F7B" w:rsidP="00F11F7B">
            <w:pPr>
              <w:spacing w:after="80" w:line="276" w:lineRule="auto"/>
              <w:rPr>
                <w:rFonts w:ascii="Bahnschrift" w:hAnsi="Bahnschrift"/>
                <w:sz w:val="19"/>
                <w:szCs w:val="19"/>
                <w:lang w:val="en-US"/>
              </w:rPr>
            </w:pP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 xml:space="preserve">Millett, S., &amp; Tune, N. (2015). </w:t>
            </w:r>
            <w:r w:rsidRPr="008E1EAF">
              <w:rPr>
                <w:rFonts w:ascii="Bahnschrift" w:hAnsi="Bahnschrift"/>
                <w:i/>
                <w:iCs/>
                <w:sz w:val="19"/>
                <w:szCs w:val="19"/>
                <w:lang w:val="en-US"/>
              </w:rPr>
              <w:t>Patterns, principles, and practices of domain-driven design</w:t>
            </w: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>. John Wiley &amp; Sons.</w:t>
            </w:r>
          </w:p>
          <w:p w14:paraId="2DDA9D06" w14:textId="77777777" w:rsidR="00F11F7B" w:rsidRPr="008E1EAF" w:rsidRDefault="00F11F7B" w:rsidP="00F11F7B">
            <w:pPr>
              <w:spacing w:after="80" w:line="276" w:lineRule="auto"/>
              <w:rPr>
                <w:rFonts w:ascii="Bahnschrift" w:hAnsi="Bahnschrift"/>
                <w:sz w:val="19"/>
                <w:szCs w:val="19"/>
                <w:lang w:val="en-US"/>
              </w:rPr>
            </w:pP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 xml:space="preserve">Richards, M., &amp; Ford, N. (2020). </w:t>
            </w:r>
            <w:r w:rsidRPr="008E1EAF">
              <w:rPr>
                <w:rFonts w:ascii="Bahnschrift" w:hAnsi="Bahnschrift"/>
                <w:i/>
                <w:iCs/>
                <w:sz w:val="19"/>
                <w:szCs w:val="19"/>
                <w:lang w:val="en-US"/>
              </w:rPr>
              <w:t>Fundamentals of software architecture: An engineering approach</w:t>
            </w: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>. O'Reilly Media.</w:t>
            </w:r>
          </w:p>
          <w:p w14:paraId="36C6B490" w14:textId="77777777" w:rsidR="00F11F7B" w:rsidRPr="008E1EAF" w:rsidRDefault="00F11F7B" w:rsidP="00F11F7B">
            <w:pPr>
              <w:spacing w:after="80" w:line="276" w:lineRule="auto"/>
              <w:rPr>
                <w:rFonts w:ascii="Bahnschrift" w:hAnsi="Bahnschrift"/>
                <w:sz w:val="19"/>
                <w:szCs w:val="19"/>
                <w:lang w:val="en-US"/>
              </w:rPr>
            </w:pP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lastRenderedPageBreak/>
              <w:t xml:space="preserve">Vernon, V. (2013). </w:t>
            </w:r>
            <w:r w:rsidRPr="008E1EAF">
              <w:rPr>
                <w:rFonts w:ascii="Bahnschrift" w:hAnsi="Bahnschrift"/>
                <w:i/>
                <w:iCs/>
                <w:sz w:val="19"/>
                <w:szCs w:val="19"/>
                <w:lang w:val="en-US"/>
              </w:rPr>
              <w:t>Implementing domain-driven design</w:t>
            </w:r>
            <w:r w:rsidRPr="008E1EAF">
              <w:rPr>
                <w:rFonts w:ascii="Bahnschrift" w:hAnsi="Bahnschrift"/>
                <w:sz w:val="19"/>
                <w:szCs w:val="19"/>
                <w:lang w:val="en-US"/>
              </w:rPr>
              <w:t>. Addison-Wesley.</w:t>
            </w:r>
          </w:p>
          <w:p w14:paraId="63F916FC" w14:textId="6DDA5AD4" w:rsidR="00A5730B" w:rsidRPr="00F11F7B" w:rsidRDefault="00A5730B">
            <w:pPr>
              <w:spacing w:after="80" w:line="276" w:lineRule="auto"/>
              <w:rPr>
                <w:rFonts w:ascii="Bahnschrift" w:hAnsi="Bahnschrift"/>
                <w:sz w:val="22"/>
                <w:szCs w:val="22"/>
                <w:lang w:val="en-US"/>
              </w:rPr>
            </w:pPr>
          </w:p>
        </w:tc>
      </w:tr>
    </w:tbl>
    <w:p w14:paraId="50FE2FB5" w14:textId="77777777" w:rsidR="004416B5" w:rsidRPr="00F11F7B" w:rsidRDefault="004416B5">
      <w:pPr>
        <w:spacing w:after="120"/>
        <w:rPr>
          <w:rFonts w:ascii="Bahnschrift" w:hAnsi="Bahnschrift"/>
          <w:sz w:val="22"/>
          <w:szCs w:val="22"/>
          <w:lang w:val="en-US"/>
        </w:rPr>
      </w:pPr>
    </w:p>
    <w:p w14:paraId="427925B2" w14:textId="77777777" w:rsidR="004416B5" w:rsidRPr="008E1EAF" w:rsidRDefault="004416B5" w:rsidP="008E1EAF">
      <w:pPr>
        <w:spacing w:before="240" w:after="80"/>
        <w:jc w:val="both"/>
        <w:rPr>
          <w:rFonts w:ascii="Aptos" w:hAnsi="Aptos"/>
          <w:sz w:val="22"/>
          <w:szCs w:val="22"/>
        </w:rPr>
      </w:pPr>
      <w:r w:rsidRPr="008E1EAF">
        <w:rPr>
          <w:rFonts w:ascii="Aptos" w:hAnsi="Aptos"/>
          <w:b/>
          <w:bCs/>
          <w:sz w:val="22"/>
          <w:szCs w:val="22"/>
        </w:rPr>
        <w:t>Objetivo</w:t>
      </w:r>
      <w:r w:rsidRPr="008E1EAF">
        <w:rPr>
          <w:rFonts w:ascii="Aptos" w:hAnsi="Aptos"/>
          <w:sz w:val="22"/>
          <w:szCs w:val="22"/>
        </w:rPr>
        <w:t>:</w:t>
      </w:r>
    </w:p>
    <w:p w14:paraId="3CA7E991" w14:textId="3583DDF1" w:rsidR="004416B5" w:rsidRPr="008E1EAF" w:rsidRDefault="004416B5" w:rsidP="008E1EAF">
      <w:pPr>
        <w:jc w:val="both"/>
        <w:rPr>
          <w:rFonts w:ascii="Aptos" w:hAnsi="Aptos"/>
          <w:sz w:val="22"/>
          <w:szCs w:val="22"/>
        </w:rPr>
      </w:pPr>
      <w:r w:rsidRPr="008E1EAF">
        <w:rPr>
          <w:rFonts w:ascii="Aptos" w:hAnsi="Aptos"/>
          <w:sz w:val="22"/>
          <w:szCs w:val="22"/>
        </w:rPr>
        <w:t xml:space="preserve">Relacionar y conectar de forma directa las necesidades de negocio, reglas, historias de usuario, casos de uso, componentes de arquitectura y decisiones técnicas de </w:t>
      </w:r>
      <w:proofErr w:type="spellStart"/>
      <w:r w:rsidRPr="008E1EAF">
        <w:rPr>
          <w:rFonts w:ascii="Aptos" w:hAnsi="Aptos"/>
          <w:sz w:val="22"/>
          <w:szCs w:val="22"/>
        </w:rPr>
        <w:t>TecnoStock</w:t>
      </w:r>
      <w:proofErr w:type="spellEnd"/>
      <w:r w:rsidRPr="008E1EAF">
        <w:rPr>
          <w:rFonts w:ascii="Aptos" w:hAnsi="Aptos"/>
          <w:sz w:val="22"/>
          <w:szCs w:val="22"/>
        </w:rPr>
        <w:t xml:space="preserve"> para garantizar </w:t>
      </w:r>
      <w:r w:rsidR="00F053CD" w:rsidRPr="008E1EAF">
        <w:rPr>
          <w:rFonts w:ascii="Aptos" w:hAnsi="Aptos"/>
          <w:sz w:val="22"/>
          <w:szCs w:val="22"/>
        </w:rPr>
        <w:t xml:space="preserve">su </w:t>
      </w:r>
      <w:r w:rsidRPr="008E1EAF">
        <w:rPr>
          <w:rFonts w:ascii="Aptos" w:hAnsi="Aptos"/>
          <w:sz w:val="22"/>
          <w:szCs w:val="22"/>
        </w:rPr>
        <w:t xml:space="preserve">coherencia </w:t>
      </w:r>
      <w:r w:rsidR="00F053CD" w:rsidRPr="008E1EAF">
        <w:rPr>
          <w:rFonts w:ascii="Aptos" w:hAnsi="Aptos"/>
          <w:sz w:val="22"/>
          <w:szCs w:val="22"/>
        </w:rPr>
        <w:t xml:space="preserve">correcta </w:t>
      </w:r>
      <w:r w:rsidRPr="008E1EAF">
        <w:rPr>
          <w:rFonts w:ascii="Aptos" w:hAnsi="Aptos"/>
          <w:sz w:val="22"/>
          <w:szCs w:val="22"/>
        </w:rPr>
        <w:t>y</w:t>
      </w:r>
      <w:r w:rsidR="00F053CD" w:rsidRPr="008E1EAF">
        <w:rPr>
          <w:rFonts w:ascii="Aptos" w:hAnsi="Aptos"/>
          <w:sz w:val="22"/>
          <w:szCs w:val="22"/>
        </w:rPr>
        <w:t xml:space="preserve"> la</w:t>
      </w:r>
      <w:r w:rsidRPr="008E1EAF">
        <w:rPr>
          <w:rFonts w:ascii="Aptos" w:hAnsi="Aptos"/>
          <w:sz w:val="22"/>
          <w:szCs w:val="22"/>
        </w:rPr>
        <w:t xml:space="preserve"> trazabilidad del sistema.</w:t>
      </w:r>
      <w:r w:rsidRPr="008E1EAF">
        <w:rPr>
          <w:rFonts w:ascii="Aptos" w:hAnsi="Aptos"/>
          <w:sz w:val="22"/>
          <w:szCs w:val="22"/>
        </w:rPr>
        <w:br w:type="page"/>
      </w:r>
    </w:p>
    <w:p w14:paraId="10B83998" w14:textId="5129B808" w:rsidR="004416B5" w:rsidRPr="008E1EAF" w:rsidRDefault="004416B5">
      <w:pPr>
        <w:pStyle w:val="Ttulo2"/>
        <w:spacing w:before="280" w:after="120"/>
        <w:rPr>
          <w:rFonts w:ascii="Aptos" w:hAnsi="Aptos"/>
          <w:color w:val="auto"/>
          <w:sz w:val="28"/>
          <w:szCs w:val="28"/>
        </w:rPr>
      </w:pPr>
      <w:r w:rsidRPr="008E1EAF">
        <w:rPr>
          <w:rFonts w:ascii="Aptos" w:hAnsi="Aptos"/>
          <w:b/>
          <w:bCs/>
          <w:color w:val="auto"/>
          <w:sz w:val="28"/>
          <w:szCs w:val="28"/>
        </w:rPr>
        <w:lastRenderedPageBreak/>
        <w:t>Matriz de trazabilidad</w:t>
      </w:r>
    </w:p>
    <w:p w14:paraId="06862E80" w14:textId="77777777" w:rsidR="00DA05E9" w:rsidRPr="008E1EAF" w:rsidRDefault="002E6E92" w:rsidP="008E1EAF">
      <w:pPr>
        <w:spacing w:after="100" w:line="276" w:lineRule="auto"/>
        <w:jc w:val="both"/>
        <w:rPr>
          <w:rFonts w:ascii="Aptos" w:hAnsi="Aptos"/>
          <w:sz w:val="22"/>
          <w:szCs w:val="22"/>
        </w:rPr>
      </w:pPr>
      <w:r w:rsidRPr="008E1EAF">
        <w:rPr>
          <w:rFonts w:ascii="Aptos" w:hAnsi="Aptos" w:cs="Verdana"/>
          <w:sz w:val="22"/>
          <w:szCs w:val="22"/>
        </w:rPr>
        <w:t xml:space="preserve">La matriz parte de cada necesidad o regla del negocio (BRD y Caso 05) y sigue su camino hasta la historia de usuario, el caso de uso, el componente de la arquitectura y la decisión que la resuelve. Corresponde al diseño final del informe de arquitectura del equipo (Domain Model, Service Layer, </w:t>
      </w:r>
      <w:proofErr w:type="spellStart"/>
      <w:r w:rsidRPr="008E1EAF">
        <w:rPr>
          <w:rFonts w:ascii="Aptos" w:hAnsi="Aptos" w:cs="Verdana"/>
          <w:sz w:val="22"/>
          <w:szCs w:val="22"/>
        </w:rPr>
        <w:t>Repository</w:t>
      </w:r>
      <w:proofErr w:type="spellEnd"/>
      <w:r w:rsidRPr="008E1EAF">
        <w:rPr>
          <w:rFonts w:ascii="Aptos" w:hAnsi="Aptos" w:cs="Verdana"/>
          <w:sz w:val="22"/>
          <w:szCs w:val="22"/>
        </w:rPr>
        <w:t xml:space="preserve">, </w:t>
      </w:r>
      <w:proofErr w:type="spellStart"/>
      <w:r w:rsidRPr="008E1EAF">
        <w:rPr>
          <w:rFonts w:ascii="Aptos" w:hAnsi="Aptos" w:cs="Verdana"/>
          <w:sz w:val="22"/>
          <w:szCs w:val="22"/>
        </w:rPr>
        <w:t>Unit</w:t>
      </w:r>
      <w:proofErr w:type="spellEnd"/>
      <w:r w:rsidRPr="008E1EAF">
        <w:rPr>
          <w:rFonts w:ascii="Aptos" w:hAnsi="Aptos" w:cs="Verdana"/>
          <w:sz w:val="22"/>
          <w:szCs w:val="22"/>
        </w:rPr>
        <w:t xml:space="preserve"> </w:t>
      </w:r>
      <w:proofErr w:type="spellStart"/>
      <w:r w:rsidRPr="008E1EAF">
        <w:rPr>
          <w:rFonts w:ascii="Aptos" w:hAnsi="Aptos" w:cs="Verdana"/>
          <w:sz w:val="22"/>
          <w:szCs w:val="22"/>
        </w:rPr>
        <w:t>of</w:t>
      </w:r>
      <w:proofErr w:type="spellEnd"/>
      <w:r w:rsidRPr="008E1EAF">
        <w:rPr>
          <w:rFonts w:ascii="Aptos" w:hAnsi="Aptos" w:cs="Verdana"/>
          <w:sz w:val="22"/>
          <w:szCs w:val="22"/>
        </w:rPr>
        <w:t xml:space="preserve"> Work y CQRS básico).</w:t>
      </w:r>
    </w:p>
    <w:p w14:paraId="64B29367" w14:textId="669D1411" w:rsidR="00DA05E9" w:rsidRPr="008E1EAF" w:rsidRDefault="002E6E92">
      <w:pPr>
        <w:keepNext/>
        <w:spacing w:before="160" w:after="80"/>
        <w:rPr>
          <w:rFonts w:ascii="Aptos" w:hAnsi="Aptos"/>
          <w:sz w:val="22"/>
          <w:szCs w:val="22"/>
        </w:rPr>
      </w:pPr>
      <w:r w:rsidRPr="008E1EAF">
        <w:rPr>
          <w:rFonts w:ascii="Aptos" w:hAnsi="Aptos" w:cs="Verdana"/>
          <w:b/>
          <w:bCs/>
          <w:sz w:val="22"/>
          <w:szCs w:val="22"/>
        </w:rPr>
        <w:t xml:space="preserve">A. Matriz principal: necesidad de negocio </w:t>
      </w:r>
      <w:r w:rsidRPr="008E1EAF">
        <w:rPr>
          <w:rFonts w:ascii="Aptos" w:hAnsi="Aptos" w:cs="Arial"/>
          <w:b/>
          <w:bCs/>
          <w:sz w:val="22"/>
          <w:szCs w:val="22"/>
        </w:rPr>
        <w:t>→</w:t>
      </w:r>
      <w:r w:rsidRPr="008E1EAF">
        <w:rPr>
          <w:rFonts w:ascii="Aptos" w:hAnsi="Aptos" w:cs="Verdana"/>
          <w:b/>
          <w:bCs/>
          <w:sz w:val="22"/>
          <w:szCs w:val="22"/>
        </w:rPr>
        <w:t xml:space="preserve"> caso de uso </w:t>
      </w:r>
      <w:r w:rsidRPr="008E1EAF">
        <w:rPr>
          <w:rFonts w:ascii="Aptos" w:hAnsi="Aptos" w:cs="Arial"/>
          <w:b/>
          <w:bCs/>
          <w:sz w:val="22"/>
          <w:szCs w:val="22"/>
        </w:rPr>
        <w:t>→</w:t>
      </w:r>
      <w:r w:rsidRPr="008E1EAF">
        <w:rPr>
          <w:rFonts w:ascii="Aptos" w:hAnsi="Aptos" w:cs="Verdana"/>
          <w:b/>
          <w:bCs/>
          <w:sz w:val="22"/>
          <w:szCs w:val="22"/>
        </w:rPr>
        <w:t xml:space="preserve"> regla </w:t>
      </w:r>
      <w:r w:rsidRPr="008E1EAF">
        <w:rPr>
          <w:rFonts w:ascii="Aptos" w:hAnsi="Aptos" w:cs="Arial"/>
          <w:b/>
          <w:bCs/>
          <w:sz w:val="22"/>
          <w:szCs w:val="22"/>
        </w:rPr>
        <w:t>→</w:t>
      </w:r>
      <w:r w:rsidRPr="008E1EAF">
        <w:rPr>
          <w:rFonts w:ascii="Aptos" w:hAnsi="Aptos" w:cs="Verdana"/>
          <w:b/>
          <w:bCs/>
          <w:sz w:val="22"/>
          <w:szCs w:val="22"/>
        </w:rPr>
        <w:t xml:space="preserve"> </w:t>
      </w:r>
      <w:proofErr w:type="spellStart"/>
      <w:r w:rsidR="00897888" w:rsidRPr="008E1EAF">
        <w:rPr>
          <w:rFonts w:ascii="Aptos" w:hAnsi="Aptos" w:cs="Verdana"/>
          <w:b/>
          <w:bCs/>
          <w:sz w:val="22"/>
          <w:szCs w:val="22"/>
        </w:rPr>
        <w:t>stories</w:t>
      </w:r>
      <w:proofErr w:type="spellEnd"/>
      <w:r w:rsidRPr="008E1EAF">
        <w:rPr>
          <w:rFonts w:ascii="Aptos" w:hAnsi="Aptos" w:cs="Verdana"/>
          <w:b/>
          <w:bCs/>
          <w:sz w:val="22"/>
          <w:szCs w:val="22"/>
        </w:rPr>
        <w:t xml:space="preserve"> </w:t>
      </w:r>
      <w:r w:rsidRPr="008E1EAF">
        <w:rPr>
          <w:rFonts w:ascii="Aptos" w:hAnsi="Aptos" w:cs="Arial"/>
          <w:b/>
          <w:bCs/>
          <w:sz w:val="22"/>
          <w:szCs w:val="22"/>
        </w:rPr>
        <w:t>→</w:t>
      </w:r>
      <w:r w:rsidRPr="008E1EAF">
        <w:rPr>
          <w:rFonts w:ascii="Aptos" w:hAnsi="Aptos" w:cs="Verdana"/>
          <w:b/>
          <w:bCs/>
          <w:sz w:val="22"/>
          <w:szCs w:val="22"/>
        </w:rPr>
        <w:t xml:space="preserve"> componente </w:t>
      </w:r>
      <w:r w:rsidRPr="008E1EAF">
        <w:rPr>
          <w:rFonts w:ascii="Aptos" w:hAnsi="Aptos" w:cs="Arial"/>
          <w:b/>
          <w:bCs/>
          <w:sz w:val="22"/>
          <w:szCs w:val="22"/>
        </w:rPr>
        <w:t>→</w:t>
      </w:r>
      <w:r w:rsidRPr="008E1EAF">
        <w:rPr>
          <w:rFonts w:ascii="Aptos" w:hAnsi="Aptos" w:cs="Verdana"/>
          <w:b/>
          <w:bCs/>
          <w:sz w:val="22"/>
          <w:szCs w:val="22"/>
        </w:rPr>
        <w:t xml:space="preserve"> decisi</w:t>
      </w:r>
      <w:r w:rsidRPr="008E1EAF">
        <w:rPr>
          <w:rFonts w:ascii="Aptos" w:hAnsi="Aptos" w:cs="Bahnschrift"/>
          <w:b/>
          <w:bCs/>
          <w:sz w:val="22"/>
          <w:szCs w:val="22"/>
        </w:rPr>
        <w:t>ó</w:t>
      </w:r>
      <w:r w:rsidRPr="008E1EAF">
        <w:rPr>
          <w:rFonts w:ascii="Aptos" w:hAnsi="Aptos" w:cs="Verdana"/>
          <w:b/>
          <w:bCs/>
          <w:sz w:val="22"/>
          <w:szCs w:val="22"/>
        </w:rPr>
        <w:t>n</w:t>
      </w:r>
    </w:p>
    <w:tbl>
      <w:tblPr>
        <w:tblW w:w="13680" w:type="dxa"/>
        <w:tblLayout w:type="fixed"/>
        <w:tblLook w:val="04A0" w:firstRow="1" w:lastRow="0" w:firstColumn="1" w:lastColumn="0" w:noHBand="0" w:noVBand="1"/>
      </w:tblPr>
      <w:tblGrid>
        <w:gridCol w:w="2456"/>
        <w:gridCol w:w="1395"/>
        <w:gridCol w:w="2903"/>
        <w:gridCol w:w="1563"/>
        <w:gridCol w:w="3350"/>
        <w:gridCol w:w="2013"/>
      </w:tblGrid>
      <w:tr w:rsidR="00DA05E9" w:rsidRPr="008E1EAF" w14:paraId="5DC0969A" w14:textId="77777777" w:rsidTr="00E5276E">
        <w:trPr>
          <w:cantSplit/>
          <w:tblHeader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DCB62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Necesidad de negocio / problema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036D5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Caso de uso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4671E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Reglas de negocio relacionadas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4A64B" w14:textId="239A0980" w:rsidR="00DA05E9" w:rsidRPr="008E1EAF" w:rsidRDefault="00897888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User</w:t>
            </w:r>
            <w:proofErr w:type="spellEnd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stories</w:t>
            </w:r>
            <w:proofErr w:type="spellEnd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(</w:t>
            </w:r>
            <w:proofErr w:type="gramEnd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US)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C4E28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Componentes de arquitectura</w:t>
            </w:r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F363C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Decisiones (ADR)</w:t>
            </w:r>
          </w:p>
        </w:tc>
      </w:tr>
      <w:tr w:rsidR="00DA05E9" w:rsidRPr="008E1EAF" w14:paraId="598D1718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E870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Venta accidental de productos apartados (BRD 3.2)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0209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CU-02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022E4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Un producto apartado o reservado no puede venderse a otro cliente; la existencia nunca es negativa (BRD 5.2).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76855" w14:textId="6AA23B19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US-08, US-09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A671C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Inventario (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ApartarUnidades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LiberarUnidad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27C0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  <w:lang w:val="en-US"/>
              </w:rPr>
            </w:pPr>
            <w:r w:rsidRPr="008E1EAF">
              <w:rPr>
                <w:rFonts w:ascii="Aptos" w:hAnsi="Aptos" w:cs="Verdana"/>
                <w:sz w:val="22"/>
                <w:szCs w:val="22"/>
                <w:lang w:val="en-US"/>
              </w:rPr>
              <w:t>ADR-01 Domain Model; ADR-02 Unit of Work</w:t>
            </w:r>
          </w:p>
        </w:tc>
      </w:tr>
      <w:tr w:rsidR="00DA05E9" w:rsidRPr="008E1EAF" w14:paraId="404D49D7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BEBE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La existencia del sistema no coincide con el inventario físico (BRD 3.2)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5E43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CU-02, CU-04, CU-05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20AD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El stock se libera al expirar la reserva o vencer el apartado; la salida física se registra una sola vez.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7D983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US-09, US-12, US-16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061E2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Venta.RegistrarSalidaFisica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(); eventos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ReservaTemporalExpirada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ApartadoVencido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SalidaFisicaRegistrada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81F8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ADR-01; ADR-02</w:t>
            </w:r>
          </w:p>
        </w:tc>
      </w:tr>
      <w:tr w:rsidR="00DA05E9" w:rsidRPr="008E1EAF" w14:paraId="3E716952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69CDC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Apartados sin control de anticipo y plazos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CA95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CU-02, CU-03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A685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Anticipo mínimo del 20%; reserva temporal de 15 min; liquidar antes de 30 días (BRD 5.1).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0DE3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US-08, US-09, US-10, US-11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9C84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CajaService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Apartado con Anticipo y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VigenciaApartado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660E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ADR-01; hallazgo 2 (SOLID: O)</w:t>
            </w:r>
          </w:p>
        </w:tc>
      </w:tr>
      <w:tr w:rsidR="00DA05E9" w:rsidRPr="008E1EAF" w14:paraId="17CB6C93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246FB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lastRenderedPageBreak/>
              <w:t>Clientes que acumulan más apartados de los permitidos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9DD0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CU-02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056B0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Máximo 5 artículos por persona, sumando todos sus apartados activos (confirmado por el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stakeholder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>).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A8A4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7DF06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IApartadoRepository.ContarArticulosActivos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Apartado.Crear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>()</w:t>
            </w:r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3AE1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ADR-04; ADR-02</w:t>
            </w:r>
          </w:p>
        </w:tc>
      </w:tr>
      <w:tr w:rsidR="00DA05E9" w:rsidRPr="008E1EAF" w14:paraId="14E40859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0F54D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Anticipo perdido cuando el apartado vence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F8A2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CU-04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2D0E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 los 30 días sin liquidar se libera el stock y el anticipo pasa al monedero, una sola vez.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5219C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US-12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7228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ApartadoService.ProcesarVencimientos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Monedero (idempotente por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apartadoId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IMonederoRepository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4927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ADR-02; hallazgo 1 (SOLID: S)</w:t>
            </w:r>
          </w:p>
        </w:tc>
      </w:tr>
      <w:tr w:rsidR="00DA05E9" w:rsidRPr="008E1EAF" w14:paraId="739852AD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0F076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Dificultad para rastrear números de serie (BRD 3.2)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5A634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CU-05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5C95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El número de serie es único, corresponde al SKU del </w:t>
            </w:r>
            <w:proofErr w:type="gramStart"/>
            <w:r w:rsidRPr="008E1EAF">
              <w:rPr>
                <w:rFonts w:ascii="Aptos" w:hAnsi="Aptos" w:cs="Verdana"/>
                <w:sz w:val="22"/>
                <w:szCs w:val="22"/>
              </w:rPr>
              <w:t>ticket</w:t>
            </w:r>
            <w:proofErr w:type="gram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se asocia a la venta al entregar.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B08F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US-15, US-16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4DD0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AlmacenService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Venta.AsociarNumeroSerie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();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UnidadSeriada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NumeroSerie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IVentaRepository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12154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ADR-01; hallazgo 3 (SOLID: L)</w:t>
            </w:r>
          </w:p>
        </w:tc>
      </w:tr>
      <w:tr w:rsidR="00DA05E9" w:rsidRPr="008E1EAF" w14:paraId="3CF6B1F3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8BBC5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Lentitud y bloqueos por consultas simultáneas de las cinco sucursales (BRD 3.2)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85766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CU-01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DADE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La consulta de existencias local y en otras sucursales no modifica el estado del sistema.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6876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US-01, US-02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59C0A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ConsultarDisponibilidadGlobalQuery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y su Handler; modelo de lectura plano</w:t>
            </w:r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FFDC2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ADR-03; hallazgo 4 (SOLID: I)</w:t>
            </w:r>
          </w:p>
        </w:tc>
      </w:tr>
      <w:tr w:rsidR="00DA05E9" w:rsidRPr="008E1EAF" w14:paraId="429CD859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59323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Entrega de mercancía sin comprobar el pago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A9A14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CU-03, CU-05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5CE7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El </w:t>
            </w:r>
            <w:proofErr w:type="gramStart"/>
            <w:r w:rsidRPr="008E1EAF">
              <w:rPr>
                <w:rFonts w:ascii="Aptos" w:hAnsi="Aptos" w:cs="Verdana"/>
                <w:sz w:val="22"/>
                <w:szCs w:val="22"/>
              </w:rPr>
              <w:t>ticket</w:t>
            </w:r>
            <w:proofErr w:type="gramEnd"/>
            <w:r w:rsidRPr="008E1EAF">
              <w:rPr>
                <w:rFonts w:ascii="Aptos" w:hAnsi="Aptos" w:cs="Verdana"/>
                <w:sz w:val="22"/>
                <w:szCs w:val="22"/>
              </w:rPr>
              <w:t xml:space="preserve"> con código QR solo existe con pago aprobado o apartado liquidado.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EF6A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US-11, US-13, US-15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9912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CajaService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Comprobante (Venta);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EscanearTicketParaEntregaQuery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2644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ADR-02; ADR-03</w:t>
            </w:r>
          </w:p>
        </w:tc>
      </w:tr>
      <w:tr w:rsidR="00DA05E9" w:rsidRPr="008E1EAF" w14:paraId="46DB0A88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493CB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lastRenderedPageBreak/>
              <w:t>Transferencias entre sucursales sin control ni trazabilidad de discrepancias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694D6" w14:textId="2B061588" w:rsidR="00DA05E9" w:rsidRPr="008E1EAF" w:rsidRDefault="006215E3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CU-06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8912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Solo un Supervisor autoriza; solo una transferencia Autorizada pasa a En Tránsito; con discrepancia no ingresa al inventario.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5AD4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  <w:lang w:val="en-US"/>
              </w:rPr>
            </w:pPr>
            <w:r w:rsidRPr="008E1EAF">
              <w:rPr>
                <w:rFonts w:ascii="Aptos" w:hAnsi="Aptos" w:cs="Verdana"/>
                <w:sz w:val="22"/>
                <w:szCs w:val="22"/>
                <w:lang w:val="en-US"/>
              </w:rPr>
              <w:t>US-03, US-04, US-05, US-06, US-07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67A4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TransferenciaService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Transferencia;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ServicioDeTransferencias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CDF30" w14:textId="73CC277D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ADR-02; hallazgo </w:t>
            </w:r>
            <w:r w:rsidR="008A611C" w:rsidRPr="008E1EAF">
              <w:rPr>
                <w:rFonts w:ascii="Aptos" w:hAnsi="Aptos" w:cs="Verdana"/>
                <w:sz w:val="22"/>
                <w:szCs w:val="22"/>
              </w:rPr>
              <w:t>4</w:t>
            </w:r>
            <w:r w:rsidRPr="008E1EAF">
              <w:rPr>
                <w:rFonts w:ascii="Aptos" w:hAnsi="Aptos" w:cs="Verdana"/>
                <w:sz w:val="22"/>
                <w:szCs w:val="22"/>
              </w:rPr>
              <w:t xml:space="preserve"> (SOLID: S)</w:t>
            </w:r>
          </w:p>
        </w:tc>
      </w:tr>
      <w:tr w:rsidR="00DA05E9" w:rsidRPr="008E1EAF" w14:paraId="1CC07C27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FD1E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Ventas registradas con pago declinado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57F1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Complemento (venta directa)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50D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Un pago declinado cancela la transacción y los productos permanecen en stock general.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F7736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US-13, US-14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D3F6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Aggregate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Venta (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TransaccionCancelada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UnitOfWork.Rollback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>()</w:t>
            </w:r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69576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ADR-02</w:t>
            </w:r>
          </w:p>
        </w:tc>
      </w:tr>
      <w:tr w:rsidR="00DA05E9" w:rsidRPr="008E1EAF" w14:paraId="2AA8ACE6" w14:textId="77777777" w:rsidTr="001361CA">
        <w:trPr>
          <w:cantSplit/>
        </w:trPr>
        <w:tc>
          <w:tcPr>
            <w:tcW w:w="245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7A50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Aplicación y dominio atados a la base de datos</w:t>
            </w:r>
          </w:p>
        </w:tc>
        <w:tc>
          <w:tcPr>
            <w:tcW w:w="1395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3EF76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Todos</w:t>
            </w:r>
          </w:p>
        </w:tc>
        <w:tc>
          <w:tcPr>
            <w:tcW w:w="29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678DA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El dominio no depende de SQL ni de un ORM; los servicios usan interfaces.</w:t>
            </w:r>
          </w:p>
        </w:tc>
        <w:tc>
          <w:tcPr>
            <w:tcW w:w="156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72E1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US-08, US-11, US-12, US-16</w:t>
            </w:r>
          </w:p>
        </w:tc>
        <w:tc>
          <w:tcPr>
            <w:tcW w:w="3350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1168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IVentaRepository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ITransferenciaRepository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IMonederoRepository</w:t>
            </w:r>
            <w:proofErr w:type="spellEnd"/>
          </w:p>
        </w:tc>
        <w:tc>
          <w:tcPr>
            <w:tcW w:w="201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A2CE2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Hallazgos 5 y 6 (SOLID: I y D)</w:t>
            </w:r>
          </w:p>
        </w:tc>
      </w:tr>
    </w:tbl>
    <w:p w14:paraId="65A3E5FE" w14:textId="77777777" w:rsidR="00DA05E9" w:rsidRPr="008E1EAF" w:rsidRDefault="00DA05E9">
      <w:pPr>
        <w:spacing w:after="80"/>
        <w:rPr>
          <w:rFonts w:ascii="Aptos" w:hAnsi="Aptos"/>
          <w:sz w:val="22"/>
          <w:szCs w:val="22"/>
        </w:rPr>
      </w:pPr>
    </w:p>
    <w:p w14:paraId="5BBB34BD" w14:textId="03F3D15A" w:rsidR="00DA05E9" w:rsidRPr="008E1EAF" w:rsidRDefault="002E6E92" w:rsidP="008E1EAF">
      <w:pPr>
        <w:keepNext/>
        <w:spacing w:before="200" w:after="80"/>
        <w:rPr>
          <w:rFonts w:ascii="Aptos" w:hAnsi="Aptos"/>
          <w:sz w:val="28"/>
          <w:szCs w:val="28"/>
        </w:rPr>
      </w:pPr>
      <w:r w:rsidRPr="008E1EAF">
        <w:rPr>
          <w:rFonts w:ascii="Aptos" w:hAnsi="Aptos" w:cs="Verdana"/>
          <w:b/>
          <w:bCs/>
          <w:sz w:val="28"/>
          <w:szCs w:val="28"/>
        </w:rPr>
        <w:t>Cobertura de cada caso de uso</w:t>
      </w:r>
    </w:p>
    <w:tbl>
      <w:tblPr>
        <w:tblW w:w="13680" w:type="dxa"/>
        <w:tblLayout w:type="fixed"/>
        <w:tblLook w:val="04A0" w:firstRow="1" w:lastRow="0" w:firstColumn="1" w:lastColumn="0" w:noHBand="0" w:noVBand="1"/>
      </w:tblPr>
      <w:tblGrid>
        <w:gridCol w:w="3069"/>
        <w:gridCol w:w="1461"/>
        <w:gridCol w:w="3361"/>
        <w:gridCol w:w="3303"/>
        <w:gridCol w:w="2486"/>
      </w:tblGrid>
      <w:tr w:rsidR="00DA05E9" w:rsidRPr="008E1EAF" w14:paraId="46ECD2C6" w14:textId="77777777" w:rsidTr="00E5276E">
        <w:trPr>
          <w:cantSplit/>
          <w:tblHeader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30CFA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Caso de uso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5B641" w14:textId="5BAD8B5D" w:rsidR="00DA05E9" w:rsidRPr="008E1EAF" w:rsidRDefault="008A611C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User</w:t>
            </w:r>
            <w:proofErr w:type="spellEnd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Stories</w:t>
            </w:r>
            <w:proofErr w:type="spellEnd"/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D9083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Application</w:t>
            </w:r>
            <w:proofErr w:type="spellEnd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 xml:space="preserve"> Service o Query</w:t>
            </w:r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D492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Aggregates</w:t>
            </w:r>
            <w:proofErr w:type="spellEnd"/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 xml:space="preserve"> y eventos</w:t>
            </w:r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3A3A3A" w:themeFill="background2" w:themeFillShade="4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0BCEE" w14:textId="77777777" w:rsidR="00DA05E9" w:rsidRPr="008E1EAF" w:rsidRDefault="002E6E92">
            <w:pPr>
              <w:spacing w:after="30" w:line="250" w:lineRule="auto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color w:val="FFFFFF"/>
                <w:sz w:val="22"/>
                <w:szCs w:val="22"/>
              </w:rPr>
              <w:t>Persistencia</w:t>
            </w:r>
          </w:p>
        </w:tc>
      </w:tr>
      <w:tr w:rsidR="00DA05E9" w:rsidRPr="008E1EAF" w14:paraId="6228FE9F" w14:textId="77777777" w:rsidTr="001361CA">
        <w:trPr>
          <w:cantSplit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EC76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CU-01 Consulta de disponibilidad global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398B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US-01, US-02</w:t>
            </w:r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6CBCB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ConsultarDisponibilidadGlobalQuery</w:t>
            </w:r>
            <w:proofErr w:type="spellEnd"/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51BD1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Ninguno (modelo de lectura plano)</w:t>
            </w:r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8D825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Sin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of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 Work</w:t>
            </w:r>
          </w:p>
        </w:tc>
      </w:tr>
      <w:tr w:rsidR="00DA05E9" w:rsidRPr="008E1EAF" w14:paraId="3F152903" w14:textId="77777777" w:rsidTr="001361CA">
        <w:trPr>
          <w:cantSplit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D0B4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CU-02 Creación de apartado y cálculo de anticipo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683C0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US-08, US-09, US-10</w:t>
            </w:r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9383D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ApartadoService.IniciarApartado</w:t>
            </w:r>
            <w:proofErr w:type="spellEnd"/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F4DA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Apartado, 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ReservaTemporalExpirada</w:t>
            </w:r>
            <w:proofErr w:type="spellEnd"/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3FE0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  <w:tr w:rsidR="00DA05E9" w:rsidRPr="008E1EAF" w14:paraId="0D3836DE" w14:textId="77777777" w:rsidTr="001361CA">
        <w:trPr>
          <w:cantSplit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3231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lastRenderedPageBreak/>
              <w:t>CU-03 Liquidación final de apartado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622BE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US-11</w:t>
            </w:r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F9064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CajaService.LiquidarApartado</w:t>
            </w:r>
            <w:proofErr w:type="spellEnd"/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31D19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Apartado, Venta (Comprobante);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ApartadoLiquidado</w:t>
            </w:r>
            <w:proofErr w:type="spellEnd"/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040F2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  <w:tr w:rsidR="00DA05E9" w:rsidRPr="008E1EAF" w14:paraId="2AFAD9D3" w14:textId="77777777" w:rsidTr="001361CA">
        <w:trPr>
          <w:cantSplit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DA9E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CU-04 Vencimiento de apartado y monedero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BF927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US-12</w:t>
            </w:r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23F22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ApartadoService.ProcesarVencimientos</w:t>
            </w:r>
            <w:proofErr w:type="spellEnd"/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CDFD4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Apartado, Inventario, Monedero;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ApartadoVencido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SaldoAFavorGenerado</w:t>
            </w:r>
            <w:proofErr w:type="spellEnd"/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3B81B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IApartadoRepository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IMonederoRepository</w:t>
            </w:r>
            <w:proofErr w:type="spellEnd"/>
          </w:p>
        </w:tc>
      </w:tr>
      <w:tr w:rsidR="00DA05E9" w:rsidRPr="008E1EAF" w14:paraId="7D234AA8" w14:textId="77777777" w:rsidTr="001361CA">
        <w:trPr>
          <w:cantSplit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32A6C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CU-05 Entrega física con número de serie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F68F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>US-15, US-16</w:t>
            </w:r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AD61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EscanearTicketParaEntregaQuery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AlmacenService.RegistrarSalidaFisica</w:t>
            </w:r>
            <w:proofErr w:type="spellEnd"/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54FE8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Venta, 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SalidaFisicaRegistrada</w:t>
            </w:r>
            <w:proofErr w:type="spellEnd"/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75FCF" w14:textId="77777777" w:rsidR="00DA05E9" w:rsidRPr="008E1EAF" w:rsidRDefault="002E6E92" w:rsidP="008E1EAF">
            <w:pPr>
              <w:spacing w:after="30" w:line="250" w:lineRule="auto"/>
              <w:jc w:val="both"/>
              <w:rPr>
                <w:rFonts w:ascii="Aptos" w:hAnsi="Aptos"/>
                <w:sz w:val="22"/>
                <w:szCs w:val="22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IVentaRepository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  <w:tr w:rsidR="008A611C" w:rsidRPr="008E1EAF" w14:paraId="23E9222A" w14:textId="77777777" w:rsidTr="001361CA">
        <w:trPr>
          <w:cantSplit/>
        </w:trPr>
        <w:tc>
          <w:tcPr>
            <w:tcW w:w="3069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8452A" w14:textId="4820AA04" w:rsidR="008A611C" w:rsidRPr="008E1EAF" w:rsidRDefault="008A611C" w:rsidP="008E1EAF">
            <w:pPr>
              <w:spacing w:after="30" w:line="250" w:lineRule="auto"/>
              <w:jc w:val="both"/>
              <w:rPr>
                <w:rFonts w:ascii="Aptos" w:hAnsi="Aptos" w:cs="Verdana"/>
                <w:b/>
                <w:bCs/>
                <w:sz w:val="22"/>
                <w:szCs w:val="22"/>
              </w:rPr>
            </w:pPr>
            <w:r w:rsidRPr="008E1EAF">
              <w:rPr>
                <w:rFonts w:ascii="Aptos" w:hAnsi="Aptos" w:cs="Verdana"/>
                <w:b/>
                <w:bCs/>
                <w:sz w:val="22"/>
                <w:szCs w:val="22"/>
              </w:rPr>
              <w:t>CU-06 Autorización y Envío de Transferencia</w:t>
            </w:r>
          </w:p>
        </w:tc>
        <w:tc>
          <w:tcPr>
            <w:tcW w:w="14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22F35" w14:textId="0F74B5E0" w:rsidR="008A611C" w:rsidRPr="008E1EAF" w:rsidRDefault="008A611C" w:rsidP="008E1EAF">
            <w:pPr>
              <w:spacing w:after="30" w:line="250" w:lineRule="auto"/>
              <w:jc w:val="both"/>
              <w:rPr>
                <w:rFonts w:ascii="Aptos" w:hAnsi="Aptos" w:cs="Verdana"/>
                <w:sz w:val="22"/>
                <w:szCs w:val="22"/>
                <w:lang w:val="en-US"/>
              </w:rPr>
            </w:pPr>
            <w:r w:rsidRPr="008E1EAF">
              <w:rPr>
                <w:rFonts w:ascii="Aptos" w:hAnsi="Aptos" w:cs="Verdana"/>
                <w:sz w:val="22"/>
                <w:szCs w:val="22"/>
                <w:lang w:val="en-US"/>
              </w:rPr>
              <w:t>US-03, US-04, US-05, US-06, US-07</w:t>
            </w:r>
          </w:p>
        </w:tc>
        <w:tc>
          <w:tcPr>
            <w:tcW w:w="3361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9BAA7" w14:textId="47A7DED4" w:rsidR="008A611C" w:rsidRPr="008E1EAF" w:rsidRDefault="008A611C" w:rsidP="008E1EAF">
            <w:pPr>
              <w:spacing w:after="30" w:line="250" w:lineRule="auto"/>
              <w:jc w:val="both"/>
              <w:rPr>
                <w:rFonts w:ascii="Aptos" w:hAnsi="Aptos" w:cs="Verdana"/>
                <w:sz w:val="22"/>
                <w:szCs w:val="22"/>
                <w:lang w:val="en-U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TransferenciaService.AutorizarEnvio</w:t>
            </w:r>
            <w:proofErr w:type="spellEnd"/>
          </w:p>
        </w:tc>
        <w:tc>
          <w:tcPr>
            <w:tcW w:w="3303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A6D90" w14:textId="5B44B3BA" w:rsidR="008A611C" w:rsidRPr="008E1EAF" w:rsidRDefault="008A611C" w:rsidP="008E1EAF">
            <w:pPr>
              <w:spacing w:after="30" w:line="250" w:lineRule="auto"/>
              <w:jc w:val="both"/>
              <w:rPr>
                <w:rFonts w:ascii="Aptos" w:hAnsi="Aptos" w:cs="Verdana"/>
                <w:sz w:val="22"/>
                <w:szCs w:val="22"/>
                <w:lang w:val="en-US"/>
              </w:rPr>
            </w:pPr>
            <w:r w:rsidRPr="008E1EAF">
              <w:rPr>
                <w:rFonts w:ascii="Aptos" w:hAnsi="Aptos" w:cs="Verdana"/>
                <w:sz w:val="22"/>
                <w:szCs w:val="22"/>
              </w:rPr>
              <w:t xml:space="preserve">Transferencia, Inventario;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TransferenciaAutorizada</w:t>
            </w:r>
            <w:proofErr w:type="spellEnd"/>
          </w:p>
        </w:tc>
        <w:tc>
          <w:tcPr>
            <w:tcW w:w="2486" w:type="dxa"/>
            <w:tcBorders>
              <w:top w:val="single" w:sz="4" w:space="0" w:color="A6B4CC"/>
              <w:left w:val="single" w:sz="4" w:space="0" w:color="A6B4CC"/>
              <w:bottom w:val="single" w:sz="4" w:space="0" w:color="A6B4CC"/>
              <w:right w:val="single" w:sz="4" w:space="0" w:color="A6B4CC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9FF6E" w14:textId="1F0ABE9C" w:rsidR="008A611C" w:rsidRPr="008E1EAF" w:rsidRDefault="008A611C" w:rsidP="008E1EAF">
            <w:pPr>
              <w:spacing w:after="30" w:line="250" w:lineRule="auto"/>
              <w:jc w:val="both"/>
              <w:rPr>
                <w:rFonts w:ascii="Aptos" w:hAnsi="Aptos" w:cs="Verdana"/>
                <w:sz w:val="22"/>
                <w:szCs w:val="22"/>
                <w:lang w:val="en-US"/>
              </w:rPr>
            </w:pP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ITransferenciaRepository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IInventarioRepository</w:t>
            </w:r>
            <w:proofErr w:type="spellEnd"/>
            <w:r w:rsidRPr="008E1EAF">
              <w:rPr>
                <w:rFonts w:ascii="Aptos" w:hAnsi="Aptos" w:cs="Verdana"/>
                <w:sz w:val="22"/>
                <w:szCs w:val="22"/>
              </w:rPr>
              <w:t xml:space="preserve">, </w:t>
            </w:r>
            <w:proofErr w:type="spellStart"/>
            <w:r w:rsidRPr="008E1EAF">
              <w:rPr>
                <w:rFonts w:ascii="Aptos" w:hAnsi="Aptos" w:cs="Verdana"/>
                <w:sz w:val="22"/>
                <w:szCs w:val="22"/>
              </w:rPr>
              <w:t>UnitOfWork</w:t>
            </w:r>
            <w:proofErr w:type="spellEnd"/>
          </w:p>
        </w:tc>
      </w:tr>
    </w:tbl>
    <w:p w14:paraId="4DF413A7" w14:textId="77777777" w:rsidR="00DA05E9" w:rsidRPr="008A611C" w:rsidRDefault="00DA05E9">
      <w:pPr>
        <w:spacing w:after="80"/>
        <w:rPr>
          <w:rFonts w:ascii="Bahnschrift" w:hAnsi="Bahnschrift"/>
          <w:sz w:val="22"/>
          <w:szCs w:val="22"/>
          <w:lang w:val="en-US"/>
        </w:rPr>
      </w:pPr>
    </w:p>
    <w:sectPr w:rsidR="00DA05E9" w:rsidRPr="008A611C" w:rsidSect="004416B5">
      <w:headerReference w:type="default" r:id="rId7"/>
      <w:footerReference w:type="default" r:id="rId8"/>
      <w:pgSz w:w="15840" w:h="12240" w:orient="landscape"/>
      <w:pgMar w:top="1200" w:right="1080" w:bottom="120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29D6" w14:textId="77777777" w:rsidR="002E6E92" w:rsidRDefault="002E6E92">
      <w:pPr>
        <w:spacing w:after="0" w:line="240" w:lineRule="auto"/>
      </w:pPr>
      <w:r>
        <w:separator/>
      </w:r>
    </w:p>
  </w:endnote>
  <w:endnote w:type="continuationSeparator" w:id="0">
    <w:p w14:paraId="2F0DE372" w14:textId="77777777" w:rsidR="002E6E92" w:rsidRDefault="002E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2F26" w14:textId="77777777" w:rsidR="004416B5" w:rsidRDefault="004416B5">
    <w:pPr>
      <w:jc w:val="right"/>
    </w:pPr>
    <w:r>
      <w:rPr>
        <w:noProof/>
      </w:rPr>
      <w:drawing>
        <wp:inline distT="0" distB="0" distL="0" distR="0" wp14:anchorId="6634183C" wp14:editId="7792AA9B">
          <wp:extent cx="822960" cy="409016"/>
          <wp:effectExtent l="0" t="0" r="0" b="0"/>
          <wp:docPr id="103" name="unid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unido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409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604A" w14:textId="77777777" w:rsidR="002E6E92" w:rsidRDefault="002E6E92">
      <w:pPr>
        <w:spacing w:after="0" w:line="240" w:lineRule="auto"/>
      </w:pPr>
      <w:r>
        <w:separator/>
      </w:r>
    </w:p>
  </w:footnote>
  <w:footnote w:type="continuationSeparator" w:id="0">
    <w:p w14:paraId="2A5E636B" w14:textId="77777777" w:rsidR="002E6E92" w:rsidRDefault="002E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40"/>
      <w:gridCol w:w="5040"/>
    </w:tblGrid>
    <w:tr w:rsidR="004416B5" w14:paraId="25EA0E5B" w14:textId="77777777">
      <w:tc>
        <w:tcPr>
          <w:tcW w:w="5040" w:type="dxa"/>
        </w:tcPr>
        <w:p w14:paraId="01B0DCEC" w14:textId="77777777" w:rsidR="004416B5" w:rsidRDefault="004416B5">
          <w:r>
            <w:rPr>
              <w:noProof/>
            </w:rPr>
            <w:drawing>
              <wp:inline distT="0" distB="0" distL="0" distR="0" wp14:anchorId="11E3F496" wp14:editId="712ACB5F">
                <wp:extent cx="1280160" cy="606829"/>
                <wp:effectExtent l="0" t="0" r="0" b="0"/>
                <wp:docPr id="101" name="UAN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UANL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606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7917ECF3" w14:textId="77777777" w:rsidR="004416B5" w:rsidRDefault="004416B5">
          <w:pPr>
            <w:jc w:val="right"/>
          </w:pPr>
          <w:r>
            <w:rPr>
              <w:noProof/>
            </w:rPr>
            <w:drawing>
              <wp:inline distT="0" distB="0" distL="0" distR="0" wp14:anchorId="11C8F426" wp14:editId="654B1A5D">
                <wp:extent cx="960120" cy="542003"/>
                <wp:effectExtent l="0" t="0" r="0" b="0"/>
                <wp:docPr id="102" name="FIM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FIME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542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F358F01" w14:textId="77777777" w:rsidR="004416B5" w:rsidRDefault="004416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56C"/>
    <w:multiLevelType w:val="hybridMultilevel"/>
    <w:tmpl w:val="D6FE47B8"/>
    <w:lvl w:ilvl="0" w:tplc="E960B000">
      <w:start w:val="1"/>
      <w:numFmt w:val="bullet"/>
      <w:lvlText w:val="•"/>
      <w:lvlJc w:val="left"/>
      <w:pPr>
        <w:ind w:left="540" w:hanging="270"/>
      </w:pPr>
    </w:lvl>
    <w:lvl w:ilvl="1" w:tplc="88FCB6FA">
      <w:numFmt w:val="decimal"/>
      <w:lvlText w:val=""/>
      <w:lvlJc w:val="left"/>
    </w:lvl>
    <w:lvl w:ilvl="2" w:tplc="2C668C5A">
      <w:numFmt w:val="decimal"/>
      <w:lvlText w:val=""/>
      <w:lvlJc w:val="left"/>
    </w:lvl>
    <w:lvl w:ilvl="3" w:tplc="ED56A13A">
      <w:numFmt w:val="decimal"/>
      <w:lvlText w:val=""/>
      <w:lvlJc w:val="left"/>
    </w:lvl>
    <w:lvl w:ilvl="4" w:tplc="A5505B84">
      <w:numFmt w:val="decimal"/>
      <w:lvlText w:val=""/>
      <w:lvlJc w:val="left"/>
    </w:lvl>
    <w:lvl w:ilvl="5" w:tplc="34D8D202">
      <w:numFmt w:val="decimal"/>
      <w:lvlText w:val=""/>
      <w:lvlJc w:val="left"/>
    </w:lvl>
    <w:lvl w:ilvl="6" w:tplc="34E8276E">
      <w:numFmt w:val="decimal"/>
      <w:lvlText w:val=""/>
      <w:lvlJc w:val="left"/>
    </w:lvl>
    <w:lvl w:ilvl="7" w:tplc="F100480E">
      <w:numFmt w:val="decimal"/>
      <w:lvlText w:val=""/>
      <w:lvlJc w:val="left"/>
    </w:lvl>
    <w:lvl w:ilvl="8" w:tplc="A7AAA098">
      <w:numFmt w:val="decimal"/>
      <w:lvlText w:val=""/>
      <w:lvlJc w:val="left"/>
    </w:lvl>
  </w:abstractNum>
  <w:num w:numId="1" w16cid:durableId="1831632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B5"/>
    <w:rsid w:val="001361CA"/>
    <w:rsid w:val="002E6E92"/>
    <w:rsid w:val="004416B5"/>
    <w:rsid w:val="006215E3"/>
    <w:rsid w:val="00710F18"/>
    <w:rsid w:val="00741F72"/>
    <w:rsid w:val="00897888"/>
    <w:rsid w:val="008A611C"/>
    <w:rsid w:val="008E1EAF"/>
    <w:rsid w:val="00A5730B"/>
    <w:rsid w:val="00AC32A8"/>
    <w:rsid w:val="00BC612C"/>
    <w:rsid w:val="00BC7867"/>
    <w:rsid w:val="00D621EB"/>
    <w:rsid w:val="00DA05E9"/>
    <w:rsid w:val="00E5276E"/>
    <w:rsid w:val="00E75FA4"/>
    <w:rsid w:val="00EF71AA"/>
    <w:rsid w:val="00F053CD"/>
    <w:rsid w:val="00F1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D9CA"/>
  <w15:chartTrackingRefBased/>
  <w15:docId w15:val="{6F82262B-7606-4DF4-98FF-C1319D7F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6B5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41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1004</Words>
  <Characters>5526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ANTONIO PAEZ ESTRADA</dc:creator>
  <cp:keywords/>
  <dc:description/>
  <cp:lastModifiedBy>Rodrigo NP</cp:lastModifiedBy>
  <cp:revision>2</cp:revision>
  <dcterms:created xsi:type="dcterms:W3CDTF">2026-10-16T14:50:00Z</dcterms:created>
  <dcterms:modified xsi:type="dcterms:W3CDTF">2026-10-16T14:50:00Z</dcterms:modified>
</cp:coreProperties>
</file>