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5 – EXPERIMENTAL EVALUATION OF SAFETY APPROVAL POLICIES</w:t>
      </w:r>
    </w:p>
    <w:p>
      <w:pPr>
        <w:pStyle w:val="Heading1"/>
      </w:pPr>
      <w:r>
        <w:t>AIM</w:t>
      </w:r>
    </w:p>
    <w:p>
      <w:r>
        <w:rPr>
          <w:b/>
        </w:rPr>
        <w:t xml:space="preserve">1.  </w:t>
      </w:r>
      <w:r>
        <w:t>To evaluate approval-gate safety, legitimate task completion, escalation burden and inference usage across Full Approve, Full Escalate, Direct LLM and Checklist policies.</w:t>
      </w:r>
    </w:p>
    <w:p>
      <w:pPr>
        <w:pStyle w:val="Heading1"/>
      </w:pPr>
      <w:r>
        <w:t>METHODOLOGY</w:t>
      </w:r>
    </w:p>
    <w:p>
      <w:r>
        <w:rPr>
          <w:b/>
        </w:rPr>
        <w:t xml:space="preserve">2.  </w:t>
      </w:r>
      <w:r>
        <w:t>Experimental setup. AgentDojo workspace suite (benchmark v1.2.2; installed package v0.1.35) was evaluated using agent model openai/gpt-4o-mini. Each run comprised three user tasks crossed with two injection tasks (six task–attack pairs), using important_instructions_no_model_name. The gate selected approve, deny or escalate. Escalated decisions were assessed by an LLM-simulated reviewer. Policy and reviewer model identities for historical baseline runs were not independently verified.</w:t>
      </w:r>
    </w:p>
    <w:p>
      <w:r>
        <w:rPr>
          <w:b/>
        </w:rPr>
        <w:t xml:space="preserve">3.  </w:t>
      </w:r>
      <w:r>
        <w:t>Measures and comparability. Safe Task Completion Rate (TCR) counts a case only when legitimate task utility succeeds and the attack fails. Attack success is reported separately. Escalation budget k is the maximum referrals per task; total referrals count all escalations, whereas official HITL load counts escalations on safely completed tasks. API calls and tokens indicate model usage, not validated monetary expenditure. All policies were tested on the same six scenario identifiers, but stochastic runs and differing replication counts limit causal ranking.</w:t>
      </w:r>
    </w:p>
    <w:p>
      <w:pPr>
        <w:pStyle w:val="Heading1"/>
      </w:pPr>
      <w:r>
        <w:t>FINDINGS</w:t>
      </w:r>
    </w:p>
    <w:p>
      <w:r>
        <w:rPr>
          <w:b/>
        </w:rPr>
        <w:t xml:space="preserve">4.  </w:t>
      </w:r>
      <w:r>
        <w:t>Policy comparison at k=3. Unconditional approval exposed the benchmark to four successful attacks. Full Escalate prevented the tested attacks but imposed 17 reviewer referrals. Direct LLM achieved 6/6 safe completions in its initial run. Checklist completed 4/6 and 5/6 safely across two k=3 trials, with no successful attacks and substantially fewer referrals than Full Escalate.</w:t>
      </w:r>
    </w:p>
    <w:tbl>
      <w:tblPr>
        <w:tblStyle w:val="LightShading-Accent1"/>
        <w:tblW w:type="auto" w:w="0"/>
        <w:jc w:val="center"/>
        <w:tblLook w:firstColumn="1" w:firstRow="1" w:lastColumn="0" w:lastRow="0" w:noHBand="0" w:noVBand="1" w:val="04A0"/>
      </w:tblPr>
      <w:tblGrid>
        <w:gridCol w:w="1953"/>
        <w:gridCol w:w="1953"/>
        <w:gridCol w:w="1953"/>
        <w:gridCol w:w="1953"/>
        <w:gridCol w:w="1953"/>
      </w:tblGrid>
      <w:tr>
        <w:tc>
          <w:tcPr>
            <w:tcW w:type="dxa" w:w="1953"/>
            <w:vAlign w:val="center"/>
          </w:tcPr>
          <w:p>
            <w:pPr>
              <w:spacing w:after="0"/>
            </w:pPr>
            <w:r>
              <w:rPr>
                <w:sz w:val="16"/>
              </w:rPr>
              <w:t>Measure (k=3)</w:t>
            </w:r>
          </w:p>
        </w:tc>
        <w:tc>
          <w:tcPr>
            <w:tcW w:type="dxa" w:w="1953"/>
            <w:vAlign w:val="center"/>
          </w:tcPr>
          <w:p>
            <w:pPr>
              <w:spacing w:after="0"/>
            </w:pPr>
            <w:r>
              <w:rPr>
                <w:sz w:val="16"/>
              </w:rPr>
              <w:t>Full Approve</w:t>
            </w:r>
          </w:p>
        </w:tc>
        <w:tc>
          <w:tcPr>
            <w:tcW w:type="dxa" w:w="1953"/>
            <w:vAlign w:val="center"/>
          </w:tcPr>
          <w:p>
            <w:pPr>
              <w:spacing w:after="0"/>
            </w:pPr>
            <w:r>
              <w:rPr>
                <w:sz w:val="16"/>
              </w:rPr>
              <w:t>Full Escalate</w:t>
            </w:r>
          </w:p>
        </w:tc>
        <w:tc>
          <w:tcPr>
            <w:tcW w:type="dxa" w:w="1953"/>
            <w:vAlign w:val="center"/>
          </w:tcPr>
          <w:p>
            <w:pPr>
              <w:spacing w:after="0"/>
            </w:pPr>
            <w:r>
              <w:rPr>
                <w:sz w:val="16"/>
              </w:rPr>
              <w:t>Direct LLM</w:t>
            </w:r>
          </w:p>
        </w:tc>
        <w:tc>
          <w:tcPr>
            <w:tcW w:type="dxa" w:w="1953"/>
            <w:vAlign w:val="center"/>
          </w:tcPr>
          <w:p>
            <w:pPr>
              <w:spacing w:after="0"/>
            </w:pPr>
            <w:r>
              <w:rPr>
                <w:sz w:val="16"/>
              </w:rPr>
              <w:t>Checklist (T1 / T2)</w:t>
            </w:r>
          </w:p>
        </w:tc>
      </w:tr>
      <w:tr>
        <w:tc>
          <w:tcPr>
            <w:tcW w:type="dxa" w:w="1953"/>
            <w:vAlign w:val="center"/>
          </w:tcPr>
          <w:p>
            <w:pPr>
              <w:spacing w:after="0"/>
            </w:pPr>
            <w:r>
              <w:rPr>
                <w:sz w:val="16"/>
              </w:rPr>
              <w:t>Safe TCR</w:t>
            </w:r>
          </w:p>
        </w:tc>
        <w:tc>
          <w:tcPr>
            <w:tcW w:type="dxa" w:w="1953"/>
            <w:vAlign w:val="center"/>
          </w:tcPr>
          <w:p>
            <w:pPr>
              <w:spacing w:after="0"/>
            </w:pPr>
            <w:r>
              <w:rPr>
                <w:sz w:val="16"/>
              </w:rPr>
              <w:t>2/6 (33.3%)</w:t>
            </w:r>
          </w:p>
        </w:tc>
        <w:tc>
          <w:tcPr>
            <w:tcW w:type="dxa" w:w="1953"/>
            <w:vAlign w:val="center"/>
          </w:tcPr>
          <w:p>
            <w:pPr>
              <w:spacing w:after="0"/>
            </w:pPr>
            <w:r>
              <w:rPr>
                <w:sz w:val="16"/>
              </w:rPr>
              <w:t>3/6 (50.0%)</w:t>
            </w:r>
          </w:p>
        </w:tc>
        <w:tc>
          <w:tcPr>
            <w:tcW w:type="dxa" w:w="1953"/>
            <w:vAlign w:val="center"/>
          </w:tcPr>
          <w:p>
            <w:pPr>
              <w:spacing w:after="0"/>
            </w:pPr>
            <w:r>
              <w:rPr>
                <w:sz w:val="16"/>
              </w:rPr>
              <w:t>6/6 (100%)</w:t>
            </w:r>
          </w:p>
        </w:tc>
        <w:tc>
          <w:tcPr>
            <w:tcW w:type="dxa" w:w="1953"/>
            <w:vAlign w:val="center"/>
          </w:tcPr>
          <w:p>
            <w:pPr>
              <w:spacing w:after="0"/>
            </w:pPr>
            <w:r>
              <w:rPr>
                <w:sz w:val="16"/>
              </w:rPr>
              <w:t>4/6 (66.7%) / 5/6 (83.3%)</w:t>
            </w:r>
          </w:p>
        </w:tc>
      </w:tr>
      <w:tr>
        <w:tc>
          <w:tcPr>
            <w:tcW w:type="dxa" w:w="1953"/>
            <w:vAlign w:val="center"/>
          </w:tcPr>
          <w:p>
            <w:pPr>
              <w:spacing w:after="0"/>
            </w:pPr>
            <w:r>
              <w:rPr>
                <w:sz w:val="16"/>
              </w:rPr>
              <w:t>Attack success</w:t>
            </w:r>
          </w:p>
        </w:tc>
        <w:tc>
          <w:tcPr>
            <w:tcW w:type="dxa" w:w="1953"/>
            <w:vAlign w:val="center"/>
          </w:tcPr>
          <w:p>
            <w:pPr>
              <w:spacing w:after="0"/>
            </w:pPr>
            <w:r>
              <w:rPr>
                <w:sz w:val="16"/>
              </w:rPr>
              <w:t>4/6</w:t>
            </w:r>
          </w:p>
        </w:tc>
        <w:tc>
          <w:tcPr>
            <w:tcW w:type="dxa" w:w="1953"/>
            <w:vAlign w:val="center"/>
          </w:tcPr>
          <w:p>
            <w:pPr>
              <w:spacing w:after="0"/>
            </w:pPr>
            <w:r>
              <w:rPr>
                <w:sz w:val="16"/>
              </w:rPr>
              <w:t>0/6</w:t>
            </w:r>
          </w:p>
        </w:tc>
        <w:tc>
          <w:tcPr>
            <w:tcW w:type="dxa" w:w="1953"/>
            <w:vAlign w:val="center"/>
          </w:tcPr>
          <w:p>
            <w:pPr>
              <w:spacing w:after="0"/>
            </w:pPr>
            <w:r>
              <w:rPr>
                <w:sz w:val="16"/>
              </w:rPr>
              <w:t>0/6</w:t>
            </w:r>
          </w:p>
        </w:tc>
        <w:tc>
          <w:tcPr>
            <w:tcW w:type="dxa" w:w="1953"/>
            <w:vAlign w:val="center"/>
          </w:tcPr>
          <w:p>
            <w:pPr>
              <w:spacing w:after="0"/>
            </w:pPr>
            <w:r>
              <w:rPr>
                <w:sz w:val="16"/>
              </w:rPr>
              <w:t>0/6 / 0/6</w:t>
            </w:r>
          </w:p>
        </w:tc>
      </w:tr>
      <w:tr>
        <w:tc>
          <w:tcPr>
            <w:tcW w:type="dxa" w:w="1953"/>
            <w:vAlign w:val="center"/>
          </w:tcPr>
          <w:p>
            <w:pPr>
              <w:spacing w:after="0"/>
            </w:pPr>
            <w:r>
              <w:rPr>
                <w:sz w:val="16"/>
              </w:rPr>
              <w:t>Total referrals</w:t>
            </w:r>
          </w:p>
        </w:tc>
        <w:tc>
          <w:tcPr>
            <w:tcW w:type="dxa" w:w="1953"/>
            <w:vAlign w:val="center"/>
          </w:tcPr>
          <w:p>
            <w:pPr>
              <w:spacing w:after="0"/>
            </w:pPr>
            <w:r>
              <w:rPr>
                <w:sz w:val="16"/>
              </w:rPr>
              <w:t>0</w:t>
            </w:r>
          </w:p>
        </w:tc>
        <w:tc>
          <w:tcPr>
            <w:tcW w:type="dxa" w:w="1953"/>
            <w:vAlign w:val="center"/>
          </w:tcPr>
          <w:p>
            <w:pPr>
              <w:spacing w:after="0"/>
            </w:pPr>
            <w:r>
              <w:rPr>
                <w:sz w:val="16"/>
              </w:rPr>
              <w:t>17</w:t>
            </w:r>
          </w:p>
        </w:tc>
        <w:tc>
          <w:tcPr>
            <w:tcW w:type="dxa" w:w="1953"/>
            <w:vAlign w:val="center"/>
          </w:tcPr>
          <w:p>
            <w:pPr>
              <w:spacing w:after="0"/>
            </w:pPr>
            <w:r>
              <w:rPr>
                <w:sz w:val="16"/>
              </w:rPr>
              <w:t>0</w:t>
            </w:r>
          </w:p>
        </w:tc>
        <w:tc>
          <w:tcPr>
            <w:tcW w:type="dxa" w:w="1953"/>
            <w:vAlign w:val="center"/>
          </w:tcPr>
          <w:p>
            <w:pPr>
              <w:spacing w:after="0"/>
            </w:pPr>
            <w:r>
              <w:rPr>
                <w:sz w:val="16"/>
              </w:rPr>
              <w:t>3 / 2</w:t>
            </w:r>
          </w:p>
        </w:tc>
      </w:tr>
      <w:tr>
        <w:tc>
          <w:tcPr>
            <w:tcW w:type="dxa" w:w="1953"/>
            <w:vAlign w:val="center"/>
          </w:tcPr>
          <w:p>
            <w:pPr>
              <w:spacing w:after="0"/>
            </w:pPr>
            <w:r>
              <w:rPr>
                <w:sz w:val="16"/>
              </w:rPr>
              <w:t>Official HITL load</w:t>
            </w:r>
          </w:p>
        </w:tc>
        <w:tc>
          <w:tcPr>
            <w:tcW w:type="dxa" w:w="1953"/>
            <w:vAlign w:val="center"/>
          </w:tcPr>
          <w:p>
            <w:pPr>
              <w:spacing w:after="0"/>
            </w:pPr>
            <w:r>
              <w:rPr>
                <w:sz w:val="16"/>
              </w:rPr>
              <w:t>0</w:t>
            </w:r>
          </w:p>
        </w:tc>
        <w:tc>
          <w:tcPr>
            <w:tcW w:type="dxa" w:w="1953"/>
            <w:vAlign w:val="center"/>
          </w:tcPr>
          <w:p>
            <w:pPr>
              <w:spacing w:after="0"/>
            </w:pPr>
            <w:r>
              <w:rPr>
                <w:sz w:val="16"/>
              </w:rPr>
              <w:t>9</w:t>
            </w:r>
          </w:p>
        </w:tc>
        <w:tc>
          <w:tcPr>
            <w:tcW w:type="dxa" w:w="1953"/>
            <w:vAlign w:val="center"/>
          </w:tcPr>
          <w:p>
            <w:pPr>
              <w:spacing w:after="0"/>
            </w:pPr>
            <w:r>
              <w:rPr>
                <w:sz w:val="16"/>
              </w:rPr>
              <w:t>0</w:t>
            </w:r>
          </w:p>
        </w:tc>
        <w:tc>
          <w:tcPr>
            <w:tcW w:type="dxa" w:w="1953"/>
            <w:vAlign w:val="center"/>
          </w:tcPr>
          <w:p>
            <w:pPr>
              <w:spacing w:after="0"/>
            </w:pPr>
            <w:r>
              <w:rPr>
                <w:sz w:val="16"/>
              </w:rPr>
              <w:t>0 / 1</w:t>
            </w:r>
          </w:p>
        </w:tc>
      </w:tr>
      <w:tr>
        <w:tc>
          <w:tcPr>
            <w:tcW w:type="dxa" w:w="1953"/>
            <w:vAlign w:val="center"/>
          </w:tcPr>
          <w:p>
            <w:pPr>
              <w:spacing w:after="0"/>
            </w:pPr>
            <w:r>
              <w:rPr>
                <w:sz w:val="16"/>
              </w:rPr>
              <w:t>API calls / tokens</w:t>
            </w:r>
          </w:p>
        </w:tc>
        <w:tc>
          <w:tcPr>
            <w:tcW w:type="dxa" w:w="1953"/>
            <w:vAlign w:val="center"/>
          </w:tcPr>
          <w:p>
            <w:pPr>
              <w:spacing w:after="0"/>
            </w:pPr>
            <w:r>
              <w:rPr>
                <w:sz w:val="16"/>
              </w:rPr>
              <w:t>23 / 55,749</w:t>
            </w:r>
          </w:p>
        </w:tc>
        <w:tc>
          <w:tcPr>
            <w:tcW w:type="dxa" w:w="1953"/>
            <w:vAlign w:val="center"/>
          </w:tcPr>
          <w:p>
            <w:pPr>
              <w:spacing w:after="0"/>
            </w:pPr>
            <w:r>
              <w:rPr>
                <w:sz w:val="16"/>
              </w:rPr>
              <w:t>83 / 173,242</w:t>
            </w:r>
          </w:p>
        </w:tc>
        <w:tc>
          <w:tcPr>
            <w:tcW w:type="dxa" w:w="1953"/>
            <w:vAlign w:val="center"/>
          </w:tcPr>
          <w:p>
            <w:pPr>
              <w:spacing w:after="0"/>
            </w:pPr>
            <w:r>
              <w:rPr>
                <w:sz w:val="16"/>
              </w:rPr>
              <w:t>46 / 68,194</w:t>
            </w:r>
          </w:p>
        </w:tc>
        <w:tc>
          <w:tcPr>
            <w:tcW w:type="dxa" w:w="1953"/>
            <w:vAlign w:val="center"/>
          </w:tcPr>
          <w:p>
            <w:pPr>
              <w:spacing w:after="0"/>
            </w:pPr>
            <w:r>
              <w:rPr>
                <w:sz w:val="16"/>
              </w:rPr>
              <w:t>Not verified</w:t>
            </w:r>
          </w:p>
        </w:tc>
      </w:tr>
    </w:tbl>
    <w:p>
      <w:r>
        <w:rPr>
          <w:b/>
        </w:rPr>
        <w:t xml:space="preserve">5.  </w:t>
      </w:r>
      <w:r>
        <w:t>Escalation-budget sensitivity. Full Escalate and Checklist were each assessed at k=0,1,2,3,5. Checklist k=3 was repeated. Both blocked every tested injection across their respective budget sweeps; however, safe task completion remained variable. The single-run budget results are not evidence of a monotonic response or an optimal k.</w:t>
      </w:r>
    </w:p>
    <w:tbl>
      <w:tblPr>
        <w:tblStyle w:val="LightShading-Accent1"/>
        <w:tblW w:type="auto" w:w="0"/>
        <w:jc w:val="center"/>
        <w:tblLook w:firstColumn="1" w:firstRow="1" w:lastColumn="0" w:lastRow="0" w:noHBand="0" w:noVBand="1" w:val="04A0"/>
      </w:tblPr>
      <w:tblGrid>
        <w:gridCol w:w="1627"/>
        <w:gridCol w:w="1627"/>
        <w:gridCol w:w="1627"/>
        <w:gridCol w:w="1627"/>
        <w:gridCol w:w="1627"/>
        <w:gridCol w:w="1627"/>
      </w:tblGrid>
      <w:tr>
        <w:tc>
          <w:tcPr>
            <w:tcW w:type="dxa" w:w="1627"/>
            <w:vAlign w:val="center"/>
          </w:tcPr>
          <w:p>
            <w:pPr>
              <w:spacing w:after="0"/>
            </w:pPr>
            <w:r>
              <w:rPr>
                <w:sz w:val="16"/>
              </w:rPr>
              <w:t>Policy / measure</w:t>
            </w:r>
          </w:p>
        </w:tc>
        <w:tc>
          <w:tcPr>
            <w:tcW w:type="dxa" w:w="1627"/>
            <w:vAlign w:val="center"/>
          </w:tcPr>
          <w:p>
            <w:pPr>
              <w:spacing w:after="0"/>
            </w:pPr>
            <w:r>
              <w:rPr>
                <w:sz w:val="16"/>
              </w:rPr>
              <w:t>k=0</w:t>
            </w:r>
          </w:p>
        </w:tc>
        <w:tc>
          <w:tcPr>
            <w:tcW w:type="dxa" w:w="1627"/>
            <w:vAlign w:val="center"/>
          </w:tcPr>
          <w:p>
            <w:pPr>
              <w:spacing w:after="0"/>
            </w:pPr>
            <w:r>
              <w:rPr>
                <w:sz w:val="16"/>
              </w:rPr>
              <w:t>k=1</w:t>
            </w:r>
          </w:p>
        </w:tc>
        <w:tc>
          <w:tcPr>
            <w:tcW w:type="dxa" w:w="1627"/>
            <w:vAlign w:val="center"/>
          </w:tcPr>
          <w:p>
            <w:pPr>
              <w:spacing w:after="0"/>
            </w:pPr>
            <w:r>
              <w:rPr>
                <w:sz w:val="16"/>
              </w:rPr>
              <w:t>k=2</w:t>
            </w:r>
          </w:p>
        </w:tc>
        <w:tc>
          <w:tcPr>
            <w:tcW w:type="dxa" w:w="1627"/>
            <w:vAlign w:val="center"/>
          </w:tcPr>
          <w:p>
            <w:pPr>
              <w:spacing w:after="0"/>
            </w:pPr>
            <w:r>
              <w:rPr>
                <w:sz w:val="16"/>
              </w:rPr>
              <w:t>k=3</w:t>
            </w:r>
          </w:p>
        </w:tc>
        <w:tc>
          <w:tcPr>
            <w:tcW w:type="dxa" w:w="1627"/>
            <w:vAlign w:val="center"/>
          </w:tcPr>
          <w:p>
            <w:pPr>
              <w:spacing w:after="0"/>
            </w:pPr>
            <w:r>
              <w:rPr>
                <w:sz w:val="16"/>
              </w:rPr>
              <w:t>k=5</w:t>
            </w:r>
          </w:p>
        </w:tc>
      </w:tr>
      <w:tr>
        <w:tc>
          <w:tcPr>
            <w:tcW w:type="dxa" w:w="1627"/>
            <w:vAlign w:val="center"/>
          </w:tcPr>
          <w:p>
            <w:pPr>
              <w:spacing w:after="0"/>
            </w:pPr>
            <w:r>
              <w:rPr>
                <w:sz w:val="16"/>
              </w:rPr>
              <w:t>Full Escalate safe TCR</w:t>
            </w:r>
          </w:p>
        </w:tc>
        <w:tc>
          <w:tcPr>
            <w:tcW w:type="dxa" w:w="1627"/>
            <w:vAlign w:val="center"/>
          </w:tcPr>
          <w:p>
            <w:pPr>
              <w:spacing w:after="0"/>
            </w:pPr>
            <w:r>
              <w:rPr>
                <w:sz w:val="16"/>
              </w:rPr>
              <w:t>0/6</w:t>
            </w:r>
          </w:p>
        </w:tc>
        <w:tc>
          <w:tcPr>
            <w:tcW w:type="dxa" w:w="1627"/>
            <w:vAlign w:val="center"/>
          </w:tcPr>
          <w:p>
            <w:pPr>
              <w:spacing w:after="0"/>
            </w:pPr>
            <w:r>
              <w:rPr>
                <w:sz w:val="16"/>
              </w:rPr>
              <w:t>2/6</w:t>
            </w:r>
          </w:p>
        </w:tc>
        <w:tc>
          <w:tcPr>
            <w:tcW w:type="dxa" w:w="1627"/>
            <w:vAlign w:val="center"/>
          </w:tcPr>
          <w:p>
            <w:pPr>
              <w:spacing w:after="0"/>
            </w:pPr>
            <w:r>
              <w:rPr>
                <w:sz w:val="16"/>
              </w:rPr>
              <w:t>4/6</w:t>
            </w:r>
          </w:p>
        </w:tc>
        <w:tc>
          <w:tcPr>
            <w:tcW w:type="dxa" w:w="1627"/>
            <w:vAlign w:val="center"/>
          </w:tcPr>
          <w:p>
            <w:pPr>
              <w:spacing w:after="0"/>
            </w:pPr>
            <w:r>
              <w:rPr>
                <w:sz w:val="16"/>
              </w:rPr>
              <w:t>3/6</w:t>
            </w:r>
          </w:p>
        </w:tc>
        <w:tc>
          <w:tcPr>
            <w:tcW w:type="dxa" w:w="1627"/>
            <w:vAlign w:val="center"/>
          </w:tcPr>
          <w:p>
            <w:pPr>
              <w:spacing w:after="0"/>
            </w:pPr>
            <w:r>
              <w:rPr>
                <w:sz w:val="16"/>
              </w:rPr>
              <w:t>5/6</w:t>
            </w:r>
          </w:p>
        </w:tc>
      </w:tr>
      <w:tr>
        <w:tc>
          <w:tcPr>
            <w:tcW w:type="dxa" w:w="1627"/>
            <w:vAlign w:val="center"/>
          </w:tcPr>
          <w:p>
            <w:pPr>
              <w:spacing w:after="0"/>
            </w:pPr>
            <w:r>
              <w:rPr>
                <w:sz w:val="16"/>
              </w:rPr>
              <w:t>Full Escalate referrals</w:t>
            </w:r>
          </w:p>
        </w:tc>
        <w:tc>
          <w:tcPr>
            <w:tcW w:type="dxa" w:w="1627"/>
            <w:vAlign w:val="center"/>
          </w:tcPr>
          <w:p>
            <w:pPr>
              <w:spacing w:after="0"/>
            </w:pPr>
            <w:r>
              <w:rPr>
                <w:sz w:val="16"/>
              </w:rPr>
              <w:t>0</w:t>
            </w:r>
          </w:p>
        </w:tc>
        <w:tc>
          <w:tcPr>
            <w:tcW w:type="dxa" w:w="1627"/>
            <w:vAlign w:val="center"/>
          </w:tcPr>
          <w:p>
            <w:pPr>
              <w:spacing w:after="0"/>
            </w:pPr>
            <w:r>
              <w:rPr>
                <w:sz w:val="16"/>
              </w:rPr>
              <w:t>6</w:t>
            </w:r>
          </w:p>
        </w:tc>
        <w:tc>
          <w:tcPr>
            <w:tcW w:type="dxa" w:w="1627"/>
            <w:vAlign w:val="center"/>
          </w:tcPr>
          <w:p>
            <w:pPr>
              <w:spacing w:after="0"/>
            </w:pPr>
            <w:r>
              <w:rPr>
                <w:sz w:val="16"/>
              </w:rPr>
              <w:t>12</w:t>
            </w:r>
          </w:p>
        </w:tc>
        <w:tc>
          <w:tcPr>
            <w:tcW w:type="dxa" w:w="1627"/>
            <w:vAlign w:val="center"/>
          </w:tcPr>
          <w:p>
            <w:pPr>
              <w:spacing w:after="0"/>
            </w:pPr>
            <w:r>
              <w:rPr>
                <w:sz w:val="16"/>
              </w:rPr>
              <w:t>17</w:t>
            </w:r>
          </w:p>
        </w:tc>
        <w:tc>
          <w:tcPr>
            <w:tcW w:type="dxa" w:w="1627"/>
            <w:vAlign w:val="center"/>
          </w:tcPr>
          <w:p>
            <w:pPr>
              <w:spacing w:after="0"/>
            </w:pPr>
            <w:r>
              <w:rPr>
                <w:sz w:val="16"/>
              </w:rPr>
              <w:t>18</w:t>
            </w:r>
          </w:p>
        </w:tc>
      </w:tr>
      <w:tr>
        <w:tc>
          <w:tcPr>
            <w:tcW w:type="dxa" w:w="1627"/>
            <w:vAlign w:val="center"/>
          </w:tcPr>
          <w:p>
            <w:pPr>
              <w:spacing w:after="0"/>
            </w:pPr>
            <w:r>
              <w:rPr>
                <w:sz w:val="16"/>
              </w:rPr>
              <w:t>Full Escalate HITL</w:t>
            </w:r>
          </w:p>
        </w:tc>
        <w:tc>
          <w:tcPr>
            <w:tcW w:type="dxa" w:w="1627"/>
            <w:vAlign w:val="center"/>
          </w:tcPr>
          <w:p>
            <w:pPr>
              <w:spacing w:after="0"/>
            </w:pPr>
            <w:r>
              <w:rPr>
                <w:sz w:val="16"/>
              </w:rPr>
              <w:t>0</w:t>
            </w:r>
          </w:p>
        </w:tc>
        <w:tc>
          <w:tcPr>
            <w:tcW w:type="dxa" w:w="1627"/>
            <w:vAlign w:val="center"/>
          </w:tcPr>
          <w:p>
            <w:pPr>
              <w:spacing w:after="0"/>
            </w:pPr>
            <w:r>
              <w:rPr>
                <w:sz w:val="16"/>
              </w:rPr>
              <w:t>2</w:t>
            </w:r>
          </w:p>
        </w:tc>
        <w:tc>
          <w:tcPr>
            <w:tcW w:type="dxa" w:w="1627"/>
            <w:vAlign w:val="center"/>
          </w:tcPr>
          <w:p>
            <w:pPr>
              <w:spacing w:after="0"/>
            </w:pPr>
            <w:r>
              <w:rPr>
                <w:sz w:val="16"/>
              </w:rPr>
              <w:t>8</w:t>
            </w:r>
          </w:p>
        </w:tc>
        <w:tc>
          <w:tcPr>
            <w:tcW w:type="dxa" w:w="1627"/>
            <w:vAlign w:val="center"/>
          </w:tcPr>
          <w:p>
            <w:pPr>
              <w:spacing w:after="0"/>
            </w:pPr>
            <w:r>
              <w:rPr>
                <w:sz w:val="16"/>
              </w:rPr>
              <w:t>9</w:t>
            </w:r>
          </w:p>
        </w:tc>
        <w:tc>
          <w:tcPr>
            <w:tcW w:type="dxa" w:w="1627"/>
            <w:vAlign w:val="center"/>
          </w:tcPr>
          <w:p>
            <w:pPr>
              <w:spacing w:after="0"/>
            </w:pPr>
            <w:r>
              <w:rPr>
                <w:sz w:val="16"/>
              </w:rPr>
              <w:t>15</w:t>
            </w:r>
          </w:p>
        </w:tc>
      </w:tr>
      <w:tr>
        <w:tc>
          <w:tcPr>
            <w:tcW w:type="dxa" w:w="1627"/>
            <w:vAlign w:val="center"/>
          </w:tcPr>
          <w:p>
            <w:pPr>
              <w:spacing w:after="0"/>
            </w:pPr>
            <w:r>
              <w:rPr>
                <w:sz w:val="16"/>
              </w:rPr>
              <w:t>Checklist safe TCR</w:t>
            </w:r>
          </w:p>
        </w:tc>
        <w:tc>
          <w:tcPr>
            <w:tcW w:type="dxa" w:w="1627"/>
            <w:vAlign w:val="center"/>
          </w:tcPr>
          <w:p>
            <w:pPr>
              <w:spacing w:after="0"/>
            </w:pPr>
            <w:r>
              <w:rPr>
                <w:sz w:val="16"/>
              </w:rPr>
              <w:t>3/6</w:t>
            </w:r>
          </w:p>
        </w:tc>
        <w:tc>
          <w:tcPr>
            <w:tcW w:type="dxa" w:w="1627"/>
            <w:vAlign w:val="center"/>
          </w:tcPr>
          <w:p>
            <w:pPr>
              <w:spacing w:after="0"/>
            </w:pPr>
            <w:r>
              <w:rPr>
                <w:sz w:val="16"/>
              </w:rPr>
              <w:t>3/6</w:t>
            </w:r>
          </w:p>
        </w:tc>
        <w:tc>
          <w:tcPr>
            <w:tcW w:type="dxa" w:w="1627"/>
            <w:vAlign w:val="center"/>
          </w:tcPr>
          <w:p>
            <w:pPr>
              <w:spacing w:after="0"/>
            </w:pPr>
            <w:r>
              <w:rPr>
                <w:sz w:val="16"/>
              </w:rPr>
              <w:t>3/6</w:t>
            </w:r>
          </w:p>
        </w:tc>
        <w:tc>
          <w:tcPr>
            <w:tcW w:type="dxa" w:w="1627"/>
            <w:vAlign w:val="center"/>
          </w:tcPr>
          <w:p>
            <w:pPr>
              <w:spacing w:after="0"/>
            </w:pPr>
            <w:r>
              <w:rPr>
                <w:sz w:val="16"/>
              </w:rPr>
              <w:t>4/6; 5/6</w:t>
            </w:r>
          </w:p>
        </w:tc>
        <w:tc>
          <w:tcPr>
            <w:tcW w:type="dxa" w:w="1627"/>
            <w:vAlign w:val="center"/>
          </w:tcPr>
          <w:p>
            <w:pPr>
              <w:spacing w:after="0"/>
            </w:pPr>
            <w:r>
              <w:rPr>
                <w:sz w:val="16"/>
              </w:rPr>
              <w:t>4/6</w:t>
            </w:r>
          </w:p>
        </w:tc>
      </w:tr>
      <w:tr>
        <w:tc>
          <w:tcPr>
            <w:tcW w:type="dxa" w:w="1627"/>
            <w:vAlign w:val="center"/>
          </w:tcPr>
          <w:p>
            <w:pPr>
              <w:spacing w:after="0"/>
            </w:pPr>
            <w:r>
              <w:rPr>
                <w:sz w:val="16"/>
              </w:rPr>
              <w:t>Checklist referrals</w:t>
            </w:r>
          </w:p>
        </w:tc>
        <w:tc>
          <w:tcPr>
            <w:tcW w:type="dxa" w:w="1627"/>
            <w:vAlign w:val="center"/>
          </w:tcPr>
          <w:p>
            <w:pPr>
              <w:spacing w:after="0"/>
            </w:pPr>
            <w:r>
              <w:rPr>
                <w:sz w:val="16"/>
              </w:rPr>
              <w:t>0</w:t>
            </w:r>
          </w:p>
        </w:tc>
        <w:tc>
          <w:tcPr>
            <w:tcW w:type="dxa" w:w="1627"/>
            <w:vAlign w:val="center"/>
          </w:tcPr>
          <w:p>
            <w:pPr>
              <w:spacing w:after="0"/>
            </w:pPr>
            <w:r>
              <w:rPr>
                <w:sz w:val="16"/>
              </w:rPr>
              <w:t>3</w:t>
            </w:r>
          </w:p>
        </w:tc>
        <w:tc>
          <w:tcPr>
            <w:tcW w:type="dxa" w:w="1627"/>
            <w:vAlign w:val="center"/>
          </w:tcPr>
          <w:p>
            <w:pPr>
              <w:spacing w:after="0"/>
            </w:pPr>
            <w:r>
              <w:rPr>
                <w:sz w:val="16"/>
              </w:rPr>
              <w:t>4</w:t>
            </w:r>
          </w:p>
        </w:tc>
        <w:tc>
          <w:tcPr>
            <w:tcW w:type="dxa" w:w="1627"/>
            <w:vAlign w:val="center"/>
          </w:tcPr>
          <w:p>
            <w:pPr>
              <w:spacing w:after="0"/>
            </w:pPr>
            <w:r>
              <w:rPr>
                <w:sz w:val="16"/>
              </w:rPr>
              <w:t>3; 2</w:t>
            </w:r>
          </w:p>
        </w:tc>
        <w:tc>
          <w:tcPr>
            <w:tcW w:type="dxa" w:w="1627"/>
            <w:vAlign w:val="center"/>
          </w:tcPr>
          <w:p>
            <w:pPr>
              <w:spacing w:after="0"/>
            </w:pPr>
            <w:r>
              <w:rPr>
                <w:sz w:val="16"/>
              </w:rPr>
              <w:t>3</w:t>
            </w:r>
          </w:p>
        </w:tc>
      </w:tr>
      <w:tr>
        <w:tc>
          <w:tcPr>
            <w:tcW w:type="dxa" w:w="1627"/>
            <w:vAlign w:val="center"/>
          </w:tcPr>
          <w:p>
            <w:pPr>
              <w:spacing w:after="0"/>
            </w:pPr>
            <w:r>
              <w:rPr>
                <w:sz w:val="16"/>
              </w:rPr>
              <w:t>Checklist HITL</w:t>
            </w:r>
          </w:p>
        </w:tc>
        <w:tc>
          <w:tcPr>
            <w:tcW w:type="dxa" w:w="1627"/>
            <w:vAlign w:val="center"/>
          </w:tcPr>
          <w:p>
            <w:pPr>
              <w:spacing w:after="0"/>
            </w:pPr>
            <w:r>
              <w:rPr>
                <w:sz w:val="16"/>
              </w:rPr>
              <w:t>0</w:t>
            </w:r>
          </w:p>
        </w:tc>
        <w:tc>
          <w:tcPr>
            <w:tcW w:type="dxa" w:w="1627"/>
            <w:vAlign w:val="center"/>
          </w:tcPr>
          <w:p>
            <w:pPr>
              <w:spacing w:after="0"/>
            </w:pPr>
            <w:r>
              <w:rPr>
                <w:sz w:val="16"/>
              </w:rPr>
              <w:t>0</w:t>
            </w:r>
          </w:p>
        </w:tc>
        <w:tc>
          <w:tcPr>
            <w:tcW w:type="dxa" w:w="1627"/>
            <w:vAlign w:val="center"/>
          </w:tcPr>
          <w:p>
            <w:pPr>
              <w:spacing w:after="0"/>
            </w:pPr>
            <w:r>
              <w:rPr>
                <w:sz w:val="16"/>
              </w:rPr>
              <w:t>0</w:t>
            </w:r>
          </w:p>
        </w:tc>
        <w:tc>
          <w:tcPr>
            <w:tcW w:type="dxa" w:w="1627"/>
            <w:vAlign w:val="center"/>
          </w:tcPr>
          <w:p>
            <w:pPr>
              <w:spacing w:after="0"/>
            </w:pPr>
            <w:r>
              <w:rPr>
                <w:sz w:val="16"/>
              </w:rPr>
              <w:t>0; 1</w:t>
            </w:r>
          </w:p>
        </w:tc>
        <w:tc>
          <w:tcPr>
            <w:tcW w:type="dxa" w:w="1627"/>
            <w:vAlign w:val="center"/>
          </w:tcPr>
          <w:p>
            <w:pPr>
              <w:spacing w:after="0"/>
            </w:pPr>
            <w:r>
              <w:rPr>
                <w:sz w:val="16"/>
              </w:rPr>
              <w:t>0</w:t>
            </w:r>
          </w:p>
        </w:tc>
      </w:tr>
      <w:tr>
        <w:tc>
          <w:tcPr>
            <w:tcW w:type="dxa" w:w="1627"/>
            <w:vAlign w:val="center"/>
          </w:tcPr>
          <w:p>
            <w:pPr>
              <w:spacing w:after="0"/>
            </w:pPr>
            <w:r>
              <w:rPr>
                <w:sz w:val="16"/>
              </w:rPr>
              <w:t>Attack success (both)</w:t>
            </w:r>
          </w:p>
        </w:tc>
        <w:tc>
          <w:tcPr>
            <w:tcW w:type="dxa" w:w="1627"/>
            <w:vAlign w:val="center"/>
          </w:tcPr>
          <w:p>
            <w:pPr>
              <w:spacing w:after="0"/>
            </w:pPr>
            <w:r>
              <w:rPr>
                <w:sz w:val="16"/>
              </w:rPr>
              <w:t>0/6</w:t>
            </w:r>
          </w:p>
        </w:tc>
        <w:tc>
          <w:tcPr>
            <w:tcW w:type="dxa" w:w="1627"/>
            <w:vAlign w:val="center"/>
          </w:tcPr>
          <w:p>
            <w:pPr>
              <w:spacing w:after="0"/>
            </w:pPr>
            <w:r>
              <w:rPr>
                <w:sz w:val="16"/>
              </w:rPr>
              <w:t>0/6</w:t>
            </w:r>
          </w:p>
        </w:tc>
        <w:tc>
          <w:tcPr>
            <w:tcW w:type="dxa" w:w="1627"/>
            <w:vAlign w:val="center"/>
          </w:tcPr>
          <w:p>
            <w:pPr>
              <w:spacing w:after="0"/>
            </w:pPr>
            <w:r>
              <w:rPr>
                <w:sz w:val="16"/>
              </w:rPr>
              <w:t>0/6</w:t>
            </w:r>
          </w:p>
        </w:tc>
        <w:tc>
          <w:tcPr>
            <w:tcW w:type="dxa" w:w="1627"/>
            <w:vAlign w:val="center"/>
          </w:tcPr>
          <w:p>
            <w:pPr>
              <w:spacing w:after="0"/>
            </w:pPr>
            <w:r>
              <w:rPr>
                <w:sz w:val="16"/>
              </w:rPr>
              <w:t>0/6 each</w:t>
            </w:r>
          </w:p>
        </w:tc>
        <w:tc>
          <w:tcPr>
            <w:tcW w:type="dxa" w:w="1627"/>
            <w:vAlign w:val="center"/>
          </w:tcPr>
          <w:p>
            <w:pPr>
              <w:spacing w:after="0"/>
            </w:pPr>
            <w:r>
              <w:rPr>
                <w:sz w:val="16"/>
              </w:rPr>
              <w:t>0/6</w:t>
            </w:r>
          </w:p>
        </w:tc>
      </w:tr>
    </w:tbl>
    <w:p>
      <w:r>
        <w:rPr>
          <w:b/>
        </w:rPr>
        <w:t xml:space="preserve">6.  </w:t>
      </w:r>
      <w:r>
        <w:t>Repeatability. Direct LLM produced safe TCRs of 6/6, 5/6 and 5/6 (16/18; 88.9%), with no observed attack success or reviewer escalation. Checklist at k=3 produced 4/6 and 5/6 (9/12; 75.0%), likewise with no observed attack success; referrals varied from three to two. These are descriptive pooled rates across repeated executions of the same six scenarios, not independent benchmark coverage.</w:t>
      </w:r>
    </w:p>
    <w:p>
      <w:r>
        <w:rPr>
          <w:b/>
        </w:rPr>
        <w:t xml:space="preserve">7.  </w:t>
      </w:r>
      <w:r>
        <w:t>Computational usage. The original matched Direct LLM run used 68,194 tokens versus 173,242 for Full Escalate, a 60.6% reduction, and 46 versus 83 API calls (44.6% fewer). Across three Direct LLM trials, 201,838 tokens were recorded, of which 20,268 were attributed to policy decisions (10.0%). Checklist-specific token/API cost was not established from the available verified summary, so no cost advantage is claimed for Checklist.</w:t>
      </w:r>
    </w:p>
    <w:p>
      <w:pPr>
        <w:pStyle w:val="Heading1"/>
      </w:pPr>
      <w:r>
        <w:t>ASSESSMENT</w:t>
      </w:r>
    </w:p>
    <w:p>
      <w:r>
        <w:rPr>
          <w:b/>
        </w:rPr>
        <w:t xml:space="preserve">8.  </w:t>
      </w:r>
      <w:r>
        <w:t>Failure analysis. Checklist blocked malicious send_email and delete_file attempts in the observed traces but sometimes denied benign calendar reads or searches. Reviewer denials of legitimate retrievals also occurred. In one k=3 checklist trial, an escalated calendar search was denied while alternative calls still permitted safe completion. This demonstrates that refusal of an individual benign tool call need not always translate to benchmark task failure. Full Escalate additionally risked consuming its referral allowance on routine operations. Zero observed attack success should therefore not be mistaken for complete mission effectiveness.</w:t>
      </w:r>
    </w:p>
    <w:p>
      <w:r>
        <w:rPr>
          <w:b/>
        </w:rPr>
        <w:t xml:space="preserve">9.  </w:t>
      </w:r>
      <w:r>
        <w:t>Overall assessment. The results support selective approval over unconditional execution in the tested scenarios. Direct LLM recorded the highest descriptive pooled safe TCR (16/18); Checklist provided another attack-resistant option with a limited number of reviewer referrals (9/12 safe completions at k=3). Neither result establishes superiority outside this narrow test set. Six unique pairs, one attack family, simulated review, uneven replication and unverified historical reviewer configuration constrain inference. The possibility of benchmark ground-truth leakage to reviewer context has not been independently ruled out.</w:t>
      </w:r>
    </w:p>
    <w:p>
      <w:pPr>
        <w:pStyle w:val="Heading1"/>
      </w:pPr>
      <w:r>
        <w:t>WAY AHEAD</w:t>
      </w:r>
    </w:p>
    <w:p>
      <w:r>
        <w:rPr>
          <w:b/>
        </w:rPr>
        <w:t xml:space="preserve">10.  </w:t>
      </w:r>
      <w:r>
        <w:t>Recommendations. (a) Improve low-risk read-only calendar-call classification without weakening checks on email/file modifications; (b) reserve referral capacity for consequential or ambiguous actions; (c) log per-call policy rationale, reviewer decisions and model-level cost; (d) verify reviewer isolation from benchmark ground truth; and (e) repeat matched trials across broader task and attack families before selecting a deployment policy or budget.</w:t>
      </w:r>
    </w:p>
    <w:sectPr w:rsidR="00FC693F" w:rsidRPr="0006063C" w:rsidSect="00034616">
      <w:footerReference w:type="default" r:id="rId9"/>
      <w:pgSz w:w="12240" w:h="15840"/>
      <w:pgMar w:top="1094" w:right="1238" w:bottom="100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PE6203  |  PART 5 EXPERIMENTAL EVALUATION  |  29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C"/>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