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第一季度月度计划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Q1（筹备期）月度执行计划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团队配置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技术负责人（T）</w:t>
      </w:r>
      <w:r>
        <w:rPr>
          <w:rFonts w:eastAsia="等线" w:ascii="Arial" w:cs="Arial" w:hAnsi="Arial"/>
          <w:sz w:val="22"/>
        </w:rPr>
        <w:t xml:space="preserve">：1人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开发工程师（D1-D2）</w:t>
      </w:r>
      <w:r>
        <w:rPr>
          <w:rFonts w:eastAsia="等线" w:ascii="Arial" w:cs="Arial" w:hAnsi="Arial"/>
          <w:sz w:val="22"/>
        </w:rPr>
        <w:t xml:space="preserve">：2人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运维工程师（O）</w:t>
      </w:r>
      <w:r>
        <w:rPr>
          <w:rFonts w:eastAsia="等线" w:ascii="Arial" w:cs="Arial" w:hAnsi="Arial"/>
          <w:sz w:val="22"/>
        </w:rPr>
        <w:t xml:space="preserve">：1人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运营经理（OP）</w:t>
      </w:r>
      <w:r>
        <w:rPr>
          <w:rFonts w:eastAsia="等线" w:ascii="Arial" w:cs="Arial" w:hAnsi="Arial"/>
          <w:sz w:val="22"/>
        </w:rPr>
        <w:t xml:space="preserve">：1人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运营专员（OP1-OP2）</w:t>
      </w:r>
      <w:r>
        <w:rPr>
          <w:rFonts w:eastAsia="等线" w:ascii="Arial" w:cs="Arial" w:hAnsi="Arial"/>
          <w:sz w:val="22"/>
        </w:rPr>
        <w:t xml:space="preserve">：2人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商务负责人（B）</w:t>
      </w:r>
      <w:r>
        <w:rPr>
          <w:rFonts w:eastAsia="等线" w:ascii="Arial" w:cs="Arial" w:hAnsi="Arial"/>
          <w:sz w:val="22"/>
        </w:rPr>
        <w:t xml:space="preserve">：1人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第1个月：技术基建与团队搭建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公司注册与银行开户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营业执照、银行账户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办公场地租赁与装修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签署租赁合同、基础办公环境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H100服务器租赁与部署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4台H100上架，网络调试完成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vGPU虚拟化环境搭建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D1-D2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支持8个vGPU实例的调度系统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团队入职与培训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T, OP,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岗位职责文档、技术培训完成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第2个月：系统开发与测试验证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API服务框架开发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D1-D2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支持任务提交、状态查询的API接口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监控与计费模块开发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资源利用率仪表盘、计费逻辑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第6周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压力测试与SLA验证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SLA≥99.5%，并发支持≥100任务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第7周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种子客户招募（免费试用）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OP1-OP2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签约20家测试客户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第8周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第3个月：市场验证与商业化准备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交付成果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时间节点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客户反馈收集与系统优化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T, D1-D2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修复Top 10问题，NPS≥7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第9周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付费测试启动（5家客户）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验证定价模型（vGPU月租≥5万元）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商业计划书（BP）初稿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T, OP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完成融资版BP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第11周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Q1复盘与Q2规划会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T, OP,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输出Q2执行方案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第12周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关键协同机制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每日站会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技术组（T+D1-D2+O）同步开发进度。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运营组（OP+OP1-OP2）同步客户反馈。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风险预警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若H100部署延迟（O→B），启动备用IDC机房方案。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若客户招募不足（B→OP），追加线上广告投放。 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Q1交付成果清单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</w:t>
      </w:r>
      <w:r>
        <w:rPr>
          <w:rFonts w:eastAsia="等线" w:ascii="Arial" w:cs="Arial" w:hAnsi="Arial"/>
          <w:sz w:val="22"/>
        </w:rPr>
        <w:t xml:space="preserve">：vGPU调度系统（支持8实例）、API服务框架。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</w:t>
      </w:r>
      <w:r>
        <w:rPr>
          <w:rFonts w:eastAsia="等线" w:ascii="Arial" w:cs="Arial" w:hAnsi="Arial"/>
          <w:sz w:val="22"/>
        </w:rPr>
        <w:t xml:space="preserve">：20家测试客户（含5家付费），NPS≥7。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</w:t>
      </w:r>
      <w:r>
        <w:rPr>
          <w:rFonts w:eastAsia="等线" w:ascii="Arial" w:cs="Arial" w:hAnsi="Arial"/>
          <w:sz w:val="22"/>
        </w:rPr>
        <w:t>：成本≤150万元（含H100租金68.4万+薪资31.5万）。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9043">
    <w:lvl>
      <w:numFmt w:val="bullet"/>
      <w:suff w:val="tab"/>
      <w:lvlText w:val="•"/>
      <w:rPr>
        <w:color w:val="3370ff"/>
      </w:rPr>
    </w:lvl>
  </w:abstractNum>
  <w:abstractNum w:abstractNumId="1489044">
    <w:lvl>
      <w:numFmt w:val="bullet"/>
      <w:suff w:val="tab"/>
      <w:lvlText w:val="•"/>
      <w:rPr>
        <w:color w:val="3370ff"/>
      </w:rPr>
    </w:lvl>
  </w:abstractNum>
  <w:abstractNum w:abstractNumId="1489045">
    <w:lvl>
      <w:numFmt w:val="bullet"/>
      <w:suff w:val="tab"/>
      <w:lvlText w:val="•"/>
      <w:rPr>
        <w:color w:val="3370ff"/>
      </w:rPr>
    </w:lvl>
  </w:abstractNum>
  <w:abstractNum w:abstractNumId="1489046">
    <w:lvl>
      <w:numFmt w:val="bullet"/>
      <w:suff w:val="tab"/>
      <w:lvlText w:val="•"/>
      <w:rPr>
        <w:color w:val="3370ff"/>
      </w:rPr>
    </w:lvl>
  </w:abstractNum>
  <w:abstractNum w:abstractNumId="1489047">
    <w:lvl>
      <w:numFmt w:val="bullet"/>
      <w:suff w:val="tab"/>
      <w:lvlText w:val="•"/>
      <w:rPr>
        <w:color w:val="3370ff"/>
      </w:rPr>
    </w:lvl>
  </w:abstractNum>
  <w:abstractNum w:abstractNumId="1489048">
    <w:lvl>
      <w:numFmt w:val="bullet"/>
      <w:suff w:val="tab"/>
      <w:lvlText w:val="•"/>
      <w:rPr>
        <w:color w:val="3370ff"/>
      </w:rPr>
    </w:lvl>
  </w:abstractNum>
  <w:abstractNum w:abstractNumId="1489049">
    <w:lvl>
      <w:start w:val="1"/>
      <w:numFmt w:val="decimal"/>
      <w:suff w:val="tab"/>
      <w:lvlText w:val="%1."/>
      <w:rPr>
        <w:color w:val="3370ff"/>
      </w:rPr>
    </w:lvl>
  </w:abstractNum>
  <w:abstractNum w:abstractNumId="1489050">
    <w:lvl>
      <w:numFmt w:val="bullet"/>
      <w:suff w:val="tab"/>
      <w:lvlText w:val="￮"/>
      <w:rPr>
        <w:color w:val="3370ff"/>
      </w:rPr>
    </w:lvl>
  </w:abstractNum>
  <w:abstractNum w:abstractNumId="1489051">
    <w:lvl>
      <w:numFmt w:val="bullet"/>
      <w:suff w:val="tab"/>
      <w:lvlText w:val="￮"/>
      <w:rPr>
        <w:color w:val="3370ff"/>
      </w:rPr>
    </w:lvl>
  </w:abstractNum>
  <w:abstractNum w:abstractNumId="1489052">
    <w:lvl>
      <w:start w:val="2"/>
      <w:numFmt w:val="decimal"/>
      <w:suff w:val="tab"/>
      <w:lvlText w:val="%1."/>
      <w:rPr>
        <w:color w:val="3370ff"/>
      </w:rPr>
    </w:lvl>
  </w:abstractNum>
  <w:abstractNum w:abstractNumId="1489053">
    <w:lvl>
      <w:numFmt w:val="bullet"/>
      <w:suff w:val="tab"/>
      <w:lvlText w:val="￮"/>
      <w:rPr>
        <w:color w:val="3370ff"/>
      </w:rPr>
    </w:lvl>
  </w:abstractNum>
  <w:abstractNum w:abstractNumId="1489054">
    <w:lvl>
      <w:numFmt w:val="bullet"/>
      <w:suff w:val="tab"/>
      <w:lvlText w:val="￮"/>
      <w:rPr>
        <w:color w:val="3370ff"/>
      </w:rPr>
    </w:lvl>
  </w:abstractNum>
  <w:abstractNum w:abstractNumId="1489055">
    <w:lvl>
      <w:numFmt w:val="bullet"/>
      <w:suff w:val="tab"/>
      <w:lvlText w:val="•"/>
      <w:rPr>
        <w:color w:val="3370ff"/>
      </w:rPr>
    </w:lvl>
  </w:abstractNum>
  <w:abstractNum w:abstractNumId="1489056">
    <w:lvl>
      <w:numFmt w:val="bullet"/>
      <w:suff w:val="tab"/>
      <w:lvlText w:val="•"/>
      <w:rPr>
        <w:color w:val="3370ff"/>
      </w:rPr>
    </w:lvl>
  </w:abstractNum>
  <w:abstractNum w:abstractNumId="1489057">
    <w:lvl>
      <w:numFmt w:val="bullet"/>
      <w:suff w:val="tab"/>
      <w:lvlText w:val="•"/>
      <w:rPr>
        <w:color w:val="3370ff"/>
      </w:rPr>
    </w:lvl>
  </w:abstractNum>
  <w:num w:numId="1">
    <w:abstractNumId w:val="1489043"/>
  </w:num>
  <w:num w:numId="2">
    <w:abstractNumId w:val="1489044"/>
  </w:num>
  <w:num w:numId="3">
    <w:abstractNumId w:val="1489045"/>
  </w:num>
  <w:num w:numId="4">
    <w:abstractNumId w:val="1489046"/>
  </w:num>
  <w:num w:numId="5">
    <w:abstractNumId w:val="1489047"/>
  </w:num>
  <w:num w:numId="6">
    <w:abstractNumId w:val="1489048"/>
  </w:num>
  <w:num w:numId="7">
    <w:abstractNumId w:val="1489049"/>
  </w:num>
  <w:num w:numId="8">
    <w:abstractNumId w:val="1489050"/>
  </w:num>
  <w:num w:numId="9">
    <w:abstractNumId w:val="1489051"/>
  </w:num>
  <w:num w:numId="10">
    <w:abstractNumId w:val="1489052"/>
  </w:num>
  <w:num w:numId="11">
    <w:abstractNumId w:val="1489053"/>
  </w:num>
  <w:num w:numId="12">
    <w:abstractNumId w:val="1489054"/>
  </w:num>
  <w:num w:numId="13">
    <w:abstractNumId w:val="1489055"/>
  </w:num>
  <w:num w:numId="14">
    <w:abstractNumId w:val="1489056"/>
  </w:num>
  <w:num w:numId="15">
    <w:abstractNumId w:val="14890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2025-12-25T08:11:17Z</dcterms:created>
  <dc:creator>Apache POI</dc:creator>
</cp:coreProperties>
</file>