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公司战略规划、OKR及执行计划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——AI算力基础设施服务商从0到1的9个月完整路径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一、公司战略规划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愿景与使命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愿景</w:t>
      </w:r>
      <w:r>
        <w:rPr>
          <w:rFonts w:eastAsia="等线" w:ascii="Arial" w:cs="Arial" w:hAnsi="Arial"/>
          <w:sz w:val="22"/>
        </w:rPr>
        <w:t xml:space="preserve">：成为领先的AI算力基础设施服务商，提供高效、灵活的vGPU租赁服务，赋能全球AI创新。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使命</w:t>
      </w:r>
      <w:r>
        <w:rPr>
          <w:rFonts w:eastAsia="等线" w:ascii="Arial" w:cs="Arial" w:hAnsi="Arial"/>
          <w:sz w:val="22"/>
        </w:rPr>
        <w:t>：让算力像水电一样触手可及，推动AI技术普惠化发展。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商业模式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vGPU虚拟化租赁</w:t>
      </w:r>
      <w:r>
        <w:rPr>
          <w:rFonts w:eastAsia="等线" w:ascii="Arial" w:cs="Arial" w:hAnsi="Arial"/>
          <w:sz w:val="22"/>
        </w:rPr>
        <w:t xml:space="preserve">：基于NVIDIA B300/H100硬件，支持多租户弹性伸缩。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API服务</w:t>
      </w:r>
      <w:r>
        <w:rPr>
          <w:rFonts w:eastAsia="等线" w:ascii="Arial" w:cs="Arial" w:hAnsi="Arial"/>
          <w:sz w:val="22"/>
        </w:rPr>
        <w:t>：按需调用算力资源（如模型训练、推理），按Token计费。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收入来源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vGPU月租、API调用费、增值服务（模型市场、私有化部署）。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竞争优势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技术优势</w:t>
      </w:r>
      <w:r>
        <w:rPr>
          <w:rFonts w:eastAsia="等线" w:ascii="Arial" w:cs="Arial" w:hAnsi="Arial"/>
          <w:sz w:val="22"/>
        </w:rPr>
        <w:t xml:space="preserve">：自主调度系统支持B300/H100混合部署，资源利用率≥80%。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成本优势</w:t>
      </w:r>
      <w:r>
        <w:rPr>
          <w:rFonts w:eastAsia="等线" w:ascii="Arial" w:cs="Arial" w:hAnsi="Arial"/>
          <w:sz w:val="22"/>
        </w:rPr>
        <w:t xml:space="preserve">：通过规模化租赁降低单实例成本，综合毛利率≥40%。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服务优势</w:t>
      </w:r>
      <w:r>
        <w:rPr>
          <w:rFonts w:eastAsia="等线" w:ascii="Arial" w:cs="Arial" w:hAnsi="Arial"/>
          <w:sz w:val="22"/>
        </w:rPr>
        <w:t>：提供7×24小时运维支持，SLA≥99.5%。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二、OKR体系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第一阶段（Q1：筹备期）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目标（O1）</w:t>
      </w:r>
      <w:r>
        <w:rPr>
          <w:rFonts w:eastAsia="等线" w:ascii="Arial" w:cs="Arial" w:hAnsi="Arial"/>
          <w:sz w:val="22"/>
        </w:rPr>
        <w:t>：完成技术验证与市场准备，控制成本。</w:t>
        <w:br/>
      </w:r>
      <w:r>
        <w:rPr>
          <w:rFonts w:eastAsia="等线" w:ascii="Arial" w:cs="Arial" w:hAnsi="Arial"/>
          <w:b w:val="true"/>
          <w:sz w:val="22"/>
        </w:rPr>
        <w:t>关键结果（KR）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技术SLA≥99.5%，vGPU并发支持≥800任务。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获取20+客户，其中5家付费，NPS≥7。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成本控制在150万元内。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第二阶段（Q2：租赁爬坡期）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目标（O2）</w:t>
      </w:r>
      <w:r>
        <w:rPr>
          <w:rFonts w:eastAsia="等线" w:ascii="Arial" w:cs="Arial" w:hAnsi="Arial"/>
          <w:sz w:val="22"/>
        </w:rPr>
        <w:t>：实现月度收入≥240万元，覆盖硬件成本。</w:t>
        <w:br/>
      </w:r>
      <w:r>
        <w:rPr>
          <w:rFonts w:eastAsia="等线" w:ascii="Arial" w:cs="Arial" w:hAnsi="Arial"/>
          <w:b w:val="true"/>
          <w:sz w:val="22"/>
        </w:rPr>
        <w:t>关键结果（KR）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客户数≥80家，ARPU≥3万元/客户。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硬件利用率≥80%，运营成本占比≤10%。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完成A轮融资准备（BP、财务模型）。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第三阶段（Q3-Q4：规模化盈利）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目标（O3）</w:t>
      </w:r>
      <w:r>
        <w:rPr>
          <w:rFonts w:eastAsia="等线" w:ascii="Arial" w:cs="Arial" w:hAnsi="Arial"/>
          <w:sz w:val="22"/>
        </w:rPr>
        <w:t>：实现季度利润≥3,210万元，完成A轮融资。</w:t>
        <w:br/>
      </w:r>
      <w:r>
        <w:rPr>
          <w:rFonts w:eastAsia="等线" w:ascii="Arial" w:cs="Arial" w:hAnsi="Arial"/>
          <w:b w:val="true"/>
          <w:sz w:val="22"/>
        </w:rPr>
        <w:t>关键结果（KR）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Q3客户数160家，ARPU≥7.5万元/客户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b w:val="true"/>
          <w:sz w:val="22"/>
        </w:rPr>
        <w:t>Q4客户数320家，ARPU≥15万元/客户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签署≥5家战略合作伙伴（如云厂商、AI工具平台）。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估值32.1亿元，融资金额≥3亿元。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三、执行计划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Q1：技术验证与市场准备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硬件投入</w:t>
      </w:r>
      <w:r>
        <w:rPr>
          <w:rFonts w:eastAsia="等线" w:ascii="Arial" w:cs="Arial" w:hAnsi="Arial"/>
          <w:sz w:val="22"/>
        </w:rPr>
        <w:t xml:space="preserve">：租赁4台H100服务器，验证vGPU虚拟化技术。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团队建设</w:t>
      </w:r>
      <w:r>
        <w:rPr>
          <w:rFonts w:eastAsia="等线" w:ascii="Arial" w:cs="Arial" w:hAnsi="Arial"/>
          <w:sz w:val="22"/>
        </w:rPr>
        <w:t xml:space="preserve">：7人团队（4技术+2运营+1商务），薪资1.5万元/月。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市场推广</w:t>
      </w:r>
      <w:r>
        <w:rPr>
          <w:rFonts w:eastAsia="等线" w:ascii="Arial" w:cs="Arial" w:hAnsi="Arial"/>
          <w:sz w:val="22"/>
        </w:rPr>
        <w:t xml:space="preserve">：SEO、内容营销与行业合作，获取20+种子客户。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成本控制</w:t>
      </w:r>
      <w:r>
        <w:rPr>
          <w:rFonts w:eastAsia="等线" w:ascii="Arial" w:cs="Arial" w:hAnsi="Arial"/>
          <w:sz w:val="22"/>
        </w:rPr>
        <w:t>：总支出150万元（含场地、硬件、薪资、市场）。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Q2：租赁爬坡与初步盈利</w:t>
      </w:r>
      <w:bookmarkEnd w:id="10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硬件租赁</w:t>
      </w:r>
      <w:r>
        <w:rPr>
          <w:rFonts w:eastAsia="等线" w:ascii="Arial" w:cs="Arial" w:hAnsi="Arial"/>
          <w:sz w:val="22"/>
        </w:rPr>
        <w:t xml:space="preserve">：租赁10台B300服务器，支持80个vGPU实例。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团队扩展</w:t>
      </w:r>
      <w:r>
        <w:rPr>
          <w:rFonts w:eastAsia="等线" w:ascii="Arial" w:cs="Arial" w:hAnsi="Arial"/>
          <w:sz w:val="22"/>
        </w:rPr>
        <w:t xml:space="preserve">：扩至20人（新增销售6人、技术3人、运营2人、市场2人），薪资1.5万元/月。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市场推广</w:t>
      </w:r>
      <w:r>
        <w:rPr>
          <w:rFonts w:eastAsia="等线" w:ascii="Arial" w:cs="Arial" w:hAnsi="Arial"/>
          <w:sz w:val="22"/>
        </w:rPr>
        <w:t xml:space="preserve">：Google Ads与行业合作，获取80家客户，收入240万元。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财务目标</w:t>
      </w:r>
      <w:r>
        <w:rPr>
          <w:rFonts w:eastAsia="等线" w:ascii="Arial" w:cs="Arial" w:hAnsi="Arial"/>
          <w:sz w:val="22"/>
        </w:rPr>
        <w:t>：覆盖硬件成本（300万元），净利润-10万元。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Q3：规模化扩张与盈利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硬件租赁</w:t>
      </w:r>
      <w:r>
        <w:rPr>
          <w:rFonts w:eastAsia="等线" w:ascii="Arial" w:cs="Arial" w:hAnsi="Arial"/>
          <w:sz w:val="22"/>
        </w:rPr>
        <w:t xml:space="preserve">：租赁20台B300服务器，支持160个vGPU实例。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客户拓展</w:t>
      </w:r>
      <w:r>
        <w:rPr>
          <w:rFonts w:eastAsia="等线" w:ascii="Arial" w:cs="Arial" w:hAnsi="Arial"/>
          <w:sz w:val="22"/>
        </w:rPr>
        <w:t>：客户数翻倍至160家，ARPU提升至</w:t>
      </w:r>
      <w:r>
        <w:rPr>
          <w:rFonts w:eastAsia="等线" w:ascii="Arial" w:cs="Arial" w:hAnsi="Arial"/>
          <w:b w:val="true"/>
          <w:sz w:val="22"/>
        </w:rPr>
        <w:t>7.5万元/客户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增值服务</w:t>
      </w:r>
      <w:r>
        <w:rPr>
          <w:rFonts w:eastAsia="等线" w:ascii="Arial" w:cs="Arial" w:hAnsi="Arial"/>
          <w:sz w:val="22"/>
        </w:rPr>
        <w:t xml:space="preserve">：API调用费与模型市场收入占比≥20%。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财务目标</w:t>
      </w:r>
      <w:r>
        <w:rPr>
          <w:rFonts w:eastAsia="等线" w:ascii="Arial" w:cs="Arial" w:hAnsi="Arial"/>
          <w:sz w:val="22"/>
        </w:rPr>
        <w:t>：收入1,200万元（160×7.5），利润1,660万元。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Q4：融资与成熟运营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硬件租赁</w:t>
      </w:r>
      <w:r>
        <w:rPr>
          <w:rFonts w:eastAsia="等线" w:ascii="Arial" w:cs="Arial" w:hAnsi="Arial"/>
          <w:sz w:val="22"/>
        </w:rPr>
        <w:t xml:space="preserve">：维持20台B300服务器，支持320个vGPU实例。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客户拓展</w:t>
      </w:r>
      <w:r>
        <w:rPr>
          <w:rFonts w:eastAsia="等线" w:ascii="Arial" w:cs="Arial" w:hAnsi="Arial"/>
          <w:sz w:val="22"/>
        </w:rPr>
        <w:t>：客户数翻倍至320家，ARPU提升至</w:t>
      </w:r>
      <w:r>
        <w:rPr>
          <w:rFonts w:eastAsia="等线" w:ascii="Arial" w:cs="Arial" w:hAnsi="Arial"/>
          <w:b w:val="true"/>
          <w:sz w:val="22"/>
        </w:rPr>
        <w:t>15万元/客户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融资目标</w:t>
      </w:r>
      <w:r>
        <w:rPr>
          <w:rFonts w:eastAsia="等线" w:ascii="Arial" w:cs="Arial" w:hAnsi="Arial"/>
          <w:sz w:val="22"/>
        </w:rPr>
        <w:t xml:space="preserve">：完成A轮融资3亿元，估值32.1亿元（市盈率100倍）。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财务目标</w:t>
      </w:r>
      <w:r>
        <w:rPr>
          <w:rFonts w:eastAsia="等线" w:ascii="Arial" w:cs="Arial" w:hAnsi="Arial"/>
          <w:sz w:val="22"/>
        </w:rPr>
        <w:t>：收入4,800万元（320×15），利润1,650万元。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四、财务模型</w:t>
      </w:r>
      <w:bookmarkEnd w:id="1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关键说明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Q3收入</w:t>
      </w:r>
      <w:r>
        <w:rPr>
          <w:rFonts w:eastAsia="等线" w:ascii="Arial" w:cs="Arial" w:hAnsi="Arial"/>
          <w:sz w:val="22"/>
        </w:rPr>
        <w:t xml:space="preserve">：160×7.5=1,200万元，利润=1,200-600（硬件）-90（薪资）-50（运营）=460万元。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Q4收入</w:t>
      </w:r>
      <w:r>
        <w:rPr>
          <w:rFonts w:eastAsia="等线" w:ascii="Arial" w:cs="Arial" w:hAnsi="Arial"/>
          <w:sz w:val="22"/>
        </w:rPr>
        <w:t xml:space="preserve">：320×15=4,800万元，利润=4,800-600（硬件）-90（薪资）-60（运营）=4,050万元。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累计利润</w:t>
      </w:r>
      <w:r>
        <w:rPr>
          <w:rFonts w:eastAsia="等线" w:ascii="Arial" w:cs="Arial" w:hAnsi="Arial"/>
          <w:sz w:val="22"/>
        </w:rPr>
        <w:t>：-89.9（Q1）-10（Q2）+460（Q3）+4,050（Q4）=</w:t>
      </w:r>
      <w:r>
        <w:rPr>
          <w:rFonts w:eastAsia="等线" w:ascii="Arial" w:cs="Arial" w:hAnsi="Arial"/>
          <w:b w:val="true"/>
          <w:sz w:val="22"/>
        </w:rPr>
        <w:t>4,310.1万元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五、关键里程碑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Q3末</w:t>
      </w:r>
      <w:r>
        <w:rPr>
          <w:rFonts w:eastAsia="等线" w:ascii="Arial" w:cs="Arial" w:hAnsi="Arial"/>
          <w:sz w:val="22"/>
        </w:rPr>
        <w:t xml:space="preserve">：实现季度利润460万元，验证规模化盈利能力。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Q4末</w:t>
      </w:r>
      <w:r>
        <w:rPr>
          <w:rFonts w:eastAsia="等线" w:ascii="Arial" w:cs="Arial" w:hAnsi="Arial"/>
          <w:sz w:val="22"/>
        </w:rPr>
        <w:t xml:space="preserve">：完成A轮融资3亿元，估值32.1亿元。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2026年Q2</w:t>
      </w:r>
      <w:r>
        <w:rPr>
          <w:rFonts w:eastAsia="等线" w:ascii="Arial" w:cs="Arial" w:hAnsi="Arial"/>
          <w:sz w:val="22"/>
        </w:rPr>
        <w:t>：覆盖全国主要城市，客户数突破1,000家。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六、风险应对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硬件成本过高</w:t>
      </w:r>
      <w:r>
        <w:rPr>
          <w:rFonts w:eastAsia="等线" w:ascii="Arial" w:cs="Arial" w:hAnsi="Arial"/>
          <w:sz w:val="22"/>
        </w:rPr>
        <w:t xml:space="preserve">：采用混合租赁策略（H100+B300），动态优化资源配比。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ARPU增长不及预期</w:t>
      </w:r>
      <w:r>
        <w:rPr>
          <w:rFonts w:eastAsia="等线" w:ascii="Arial" w:cs="Arial" w:hAnsi="Arial"/>
          <w:sz w:val="22"/>
        </w:rPr>
        <w:t xml:space="preserve">：推出高附加值服务（如私有化部署、行业解决方案）。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客户流失风险</w:t>
      </w:r>
      <w:r>
        <w:rPr>
          <w:rFonts w:eastAsia="等线" w:ascii="Arial" w:cs="Arial" w:hAnsi="Arial"/>
          <w:sz w:val="22"/>
        </w:rPr>
        <w:t>：建立客户成功团队，提升续约率至80%。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七、总结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通过“技术验证→规模扩张→成熟盈利”的三阶段战略，公司将在9个月内实现从0到1的跨越式发展，最终以32.1亿元估值完成A轮融资，成为AI算力基础设施领域的领军企业。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0934">
    <w:lvl>
      <w:numFmt w:val="bullet"/>
      <w:suff w:val="tab"/>
      <w:lvlText w:val="•"/>
      <w:rPr>
        <w:color w:val="3370ff"/>
      </w:rPr>
    </w:lvl>
  </w:abstractNum>
  <w:abstractNum w:abstractNumId="2860935">
    <w:lvl>
      <w:numFmt w:val="bullet"/>
      <w:suff w:val="tab"/>
      <w:lvlText w:val="•"/>
      <w:rPr>
        <w:color w:val="3370ff"/>
      </w:rPr>
    </w:lvl>
  </w:abstractNum>
  <w:abstractNum w:abstractNumId="2860936">
    <w:lvl>
      <w:numFmt w:val="bullet"/>
      <w:suff w:val="tab"/>
      <w:lvlText w:val="•"/>
      <w:rPr>
        <w:color w:val="3370ff"/>
      </w:rPr>
    </w:lvl>
  </w:abstractNum>
  <w:abstractNum w:abstractNumId="2860937">
    <w:lvl>
      <w:numFmt w:val="bullet"/>
      <w:suff w:val="tab"/>
      <w:lvlText w:val="￮"/>
      <w:rPr>
        <w:color w:val="3370ff"/>
      </w:rPr>
    </w:lvl>
  </w:abstractNum>
  <w:abstractNum w:abstractNumId="2860938">
    <w:lvl>
      <w:numFmt w:val="bullet"/>
      <w:suff w:val="tab"/>
      <w:lvlText w:val="￮"/>
      <w:rPr>
        <w:color w:val="3370ff"/>
      </w:rPr>
    </w:lvl>
  </w:abstractNum>
  <w:abstractNum w:abstractNumId="2860939">
    <w:lvl>
      <w:numFmt w:val="bullet"/>
      <w:suff w:val="tab"/>
      <w:lvlText w:val="•"/>
      <w:rPr>
        <w:color w:val="3370ff"/>
      </w:rPr>
    </w:lvl>
  </w:abstractNum>
  <w:abstractNum w:abstractNumId="2860940">
    <w:lvl>
      <w:numFmt w:val="bullet"/>
      <w:suff w:val="tab"/>
      <w:lvlText w:val="￮"/>
      <w:rPr>
        <w:color w:val="3370ff"/>
      </w:rPr>
    </w:lvl>
  </w:abstractNum>
  <w:abstractNum w:abstractNumId="2860941">
    <w:lvl>
      <w:numFmt w:val="bullet"/>
      <w:suff w:val="tab"/>
      <w:lvlText w:val="•"/>
      <w:rPr>
        <w:color w:val="3370ff"/>
      </w:rPr>
    </w:lvl>
  </w:abstractNum>
  <w:abstractNum w:abstractNumId="2860942">
    <w:lvl>
      <w:numFmt w:val="bullet"/>
      <w:suff w:val="tab"/>
      <w:lvlText w:val="•"/>
      <w:rPr>
        <w:color w:val="3370ff"/>
      </w:rPr>
    </w:lvl>
  </w:abstractNum>
  <w:abstractNum w:abstractNumId="2860943">
    <w:lvl>
      <w:numFmt w:val="bullet"/>
      <w:suff w:val="tab"/>
      <w:lvlText w:val="•"/>
      <w:rPr>
        <w:color w:val="3370ff"/>
      </w:rPr>
    </w:lvl>
  </w:abstractNum>
  <w:abstractNum w:abstractNumId="2860944">
    <w:lvl>
      <w:start w:val="1"/>
      <w:numFmt w:val="decimal"/>
      <w:suff w:val="tab"/>
      <w:lvlText w:val="%1."/>
      <w:rPr>
        <w:color w:val="3370ff"/>
      </w:rPr>
    </w:lvl>
  </w:abstractNum>
  <w:abstractNum w:abstractNumId="2860945">
    <w:lvl>
      <w:start w:val="2"/>
      <w:numFmt w:val="decimal"/>
      <w:suff w:val="tab"/>
      <w:lvlText w:val="%1."/>
      <w:rPr>
        <w:color w:val="3370ff"/>
      </w:rPr>
    </w:lvl>
  </w:abstractNum>
  <w:abstractNum w:abstractNumId="2860946">
    <w:lvl>
      <w:start w:val="3"/>
      <w:numFmt w:val="decimal"/>
      <w:suff w:val="tab"/>
      <w:lvlText w:val="%1."/>
      <w:rPr>
        <w:color w:val="3370ff"/>
      </w:rPr>
    </w:lvl>
  </w:abstractNum>
  <w:abstractNum w:abstractNumId="2860947">
    <w:lvl>
      <w:start w:val="1"/>
      <w:numFmt w:val="decimal"/>
      <w:suff w:val="tab"/>
      <w:lvlText w:val="%1."/>
      <w:rPr>
        <w:color w:val="3370ff"/>
      </w:rPr>
    </w:lvl>
  </w:abstractNum>
  <w:abstractNum w:abstractNumId="2860948">
    <w:lvl>
      <w:start w:val="2"/>
      <w:numFmt w:val="decimal"/>
      <w:suff w:val="tab"/>
      <w:lvlText w:val="%1."/>
      <w:rPr>
        <w:color w:val="3370ff"/>
      </w:rPr>
    </w:lvl>
  </w:abstractNum>
  <w:abstractNum w:abstractNumId="2860949">
    <w:lvl>
      <w:start w:val="3"/>
      <w:numFmt w:val="decimal"/>
      <w:suff w:val="tab"/>
      <w:lvlText w:val="%1."/>
      <w:rPr>
        <w:color w:val="3370ff"/>
      </w:rPr>
    </w:lvl>
  </w:abstractNum>
  <w:abstractNum w:abstractNumId="2860950">
    <w:lvl>
      <w:start w:val="1"/>
      <w:numFmt w:val="decimal"/>
      <w:suff w:val="tab"/>
      <w:lvlText w:val="%1."/>
      <w:rPr>
        <w:color w:val="3370ff"/>
      </w:rPr>
    </w:lvl>
  </w:abstractNum>
  <w:abstractNum w:abstractNumId="2860951">
    <w:lvl>
      <w:start w:val="2"/>
      <w:numFmt w:val="decimal"/>
      <w:suff w:val="tab"/>
      <w:lvlText w:val="%1."/>
      <w:rPr>
        <w:color w:val="3370ff"/>
      </w:rPr>
    </w:lvl>
  </w:abstractNum>
  <w:abstractNum w:abstractNumId="2860952">
    <w:lvl>
      <w:start w:val="3"/>
      <w:numFmt w:val="decimal"/>
      <w:suff w:val="tab"/>
      <w:lvlText w:val="%1."/>
      <w:rPr>
        <w:color w:val="3370ff"/>
      </w:rPr>
    </w:lvl>
  </w:abstractNum>
  <w:abstractNum w:abstractNumId="2860953">
    <w:lvl>
      <w:numFmt w:val="bullet"/>
      <w:suff w:val="tab"/>
      <w:lvlText w:val="•"/>
      <w:rPr>
        <w:color w:val="3370ff"/>
      </w:rPr>
    </w:lvl>
  </w:abstractNum>
  <w:abstractNum w:abstractNumId="2860954">
    <w:lvl>
      <w:numFmt w:val="bullet"/>
      <w:suff w:val="tab"/>
      <w:lvlText w:val="•"/>
      <w:rPr>
        <w:color w:val="3370ff"/>
      </w:rPr>
    </w:lvl>
  </w:abstractNum>
  <w:abstractNum w:abstractNumId="2860955">
    <w:lvl>
      <w:numFmt w:val="bullet"/>
      <w:suff w:val="tab"/>
      <w:lvlText w:val="•"/>
      <w:rPr>
        <w:color w:val="3370ff"/>
      </w:rPr>
    </w:lvl>
  </w:abstractNum>
  <w:abstractNum w:abstractNumId="2860956">
    <w:lvl>
      <w:numFmt w:val="bullet"/>
      <w:suff w:val="tab"/>
      <w:lvlText w:val="•"/>
      <w:rPr>
        <w:color w:val="3370ff"/>
      </w:rPr>
    </w:lvl>
  </w:abstractNum>
  <w:abstractNum w:abstractNumId="2860957">
    <w:lvl>
      <w:numFmt w:val="bullet"/>
      <w:suff w:val="tab"/>
      <w:lvlText w:val="•"/>
      <w:rPr>
        <w:color w:val="3370ff"/>
      </w:rPr>
    </w:lvl>
  </w:abstractNum>
  <w:abstractNum w:abstractNumId="2860958">
    <w:lvl>
      <w:numFmt w:val="bullet"/>
      <w:suff w:val="tab"/>
      <w:lvlText w:val="•"/>
      <w:rPr>
        <w:color w:val="3370ff"/>
      </w:rPr>
    </w:lvl>
  </w:abstractNum>
  <w:abstractNum w:abstractNumId="2860959">
    <w:lvl>
      <w:numFmt w:val="bullet"/>
      <w:suff w:val="tab"/>
      <w:lvlText w:val="•"/>
      <w:rPr>
        <w:color w:val="3370ff"/>
      </w:rPr>
    </w:lvl>
  </w:abstractNum>
  <w:abstractNum w:abstractNumId="2860960">
    <w:lvl>
      <w:numFmt w:val="bullet"/>
      <w:suff w:val="tab"/>
      <w:lvlText w:val="•"/>
      <w:rPr>
        <w:color w:val="3370ff"/>
      </w:rPr>
    </w:lvl>
  </w:abstractNum>
  <w:abstractNum w:abstractNumId="2860961">
    <w:lvl>
      <w:numFmt w:val="bullet"/>
      <w:suff w:val="tab"/>
      <w:lvlText w:val="•"/>
      <w:rPr>
        <w:color w:val="3370ff"/>
      </w:rPr>
    </w:lvl>
  </w:abstractNum>
  <w:abstractNum w:abstractNumId="2860962">
    <w:lvl>
      <w:numFmt w:val="bullet"/>
      <w:suff w:val="tab"/>
      <w:lvlText w:val="•"/>
      <w:rPr>
        <w:color w:val="3370ff"/>
      </w:rPr>
    </w:lvl>
  </w:abstractNum>
  <w:abstractNum w:abstractNumId="2860963">
    <w:lvl>
      <w:numFmt w:val="bullet"/>
      <w:suff w:val="tab"/>
      <w:lvlText w:val="•"/>
      <w:rPr>
        <w:color w:val="3370ff"/>
      </w:rPr>
    </w:lvl>
  </w:abstractNum>
  <w:abstractNum w:abstractNumId="2860964">
    <w:lvl>
      <w:numFmt w:val="bullet"/>
      <w:suff w:val="tab"/>
      <w:lvlText w:val="•"/>
      <w:rPr>
        <w:color w:val="3370ff"/>
      </w:rPr>
    </w:lvl>
  </w:abstractNum>
  <w:abstractNum w:abstractNumId="2860965">
    <w:lvl>
      <w:numFmt w:val="bullet"/>
      <w:suff w:val="tab"/>
      <w:lvlText w:val="•"/>
      <w:rPr>
        <w:color w:val="3370ff"/>
      </w:rPr>
    </w:lvl>
  </w:abstractNum>
  <w:abstractNum w:abstractNumId="2860966">
    <w:lvl>
      <w:numFmt w:val="bullet"/>
      <w:suff w:val="tab"/>
      <w:lvlText w:val="•"/>
      <w:rPr>
        <w:color w:val="3370ff"/>
      </w:rPr>
    </w:lvl>
  </w:abstractNum>
  <w:abstractNum w:abstractNumId="2860967">
    <w:lvl>
      <w:numFmt w:val="bullet"/>
      <w:suff w:val="tab"/>
      <w:lvlText w:val="•"/>
      <w:rPr>
        <w:color w:val="3370ff"/>
      </w:rPr>
    </w:lvl>
  </w:abstractNum>
  <w:abstractNum w:abstractNumId="2860968">
    <w:lvl>
      <w:numFmt w:val="bullet"/>
      <w:suff w:val="tab"/>
      <w:lvlText w:val="•"/>
      <w:rPr>
        <w:color w:val="3370ff"/>
      </w:rPr>
    </w:lvl>
  </w:abstractNum>
  <w:abstractNum w:abstractNumId="2860969">
    <w:lvl>
      <w:numFmt w:val="bullet"/>
      <w:suff w:val="tab"/>
      <w:lvlText w:val="•"/>
      <w:rPr>
        <w:color w:val="3370ff"/>
      </w:rPr>
    </w:lvl>
  </w:abstractNum>
  <w:abstractNum w:abstractNumId="2860970">
    <w:lvl>
      <w:numFmt w:val="bullet"/>
      <w:suff w:val="tab"/>
      <w:lvlText w:val="•"/>
      <w:rPr>
        <w:color w:val="3370ff"/>
      </w:rPr>
    </w:lvl>
  </w:abstractNum>
  <w:abstractNum w:abstractNumId="2860971">
    <w:lvl>
      <w:numFmt w:val="bullet"/>
      <w:suff w:val="tab"/>
      <w:lvlText w:val="•"/>
      <w:rPr>
        <w:color w:val="3370ff"/>
      </w:rPr>
    </w:lvl>
  </w:abstractNum>
  <w:abstractNum w:abstractNumId="2860972">
    <w:lvl>
      <w:numFmt w:val="bullet"/>
      <w:suff w:val="tab"/>
      <w:lvlText w:val="•"/>
      <w:rPr>
        <w:color w:val="3370ff"/>
      </w:rPr>
    </w:lvl>
  </w:abstractNum>
  <w:abstractNum w:abstractNumId="2860973">
    <w:lvl>
      <w:numFmt w:val="bullet"/>
      <w:suff w:val="tab"/>
      <w:lvlText w:val="•"/>
      <w:rPr>
        <w:color w:val="3370ff"/>
      </w:rPr>
    </w:lvl>
  </w:abstractNum>
  <w:abstractNum w:abstractNumId="2860974">
    <w:lvl>
      <w:numFmt w:val="bullet"/>
      <w:suff w:val="tab"/>
      <w:lvlText w:val="•"/>
      <w:rPr>
        <w:color w:val="3370ff"/>
      </w:rPr>
    </w:lvl>
  </w:abstractNum>
  <w:abstractNum w:abstractNumId="2860975">
    <w:lvl>
      <w:start w:val="1"/>
      <w:numFmt w:val="decimal"/>
      <w:suff w:val="tab"/>
      <w:lvlText w:val="%1."/>
      <w:rPr>
        <w:color w:val="3370ff"/>
      </w:rPr>
    </w:lvl>
  </w:abstractNum>
  <w:abstractNum w:abstractNumId="2860976">
    <w:lvl>
      <w:start w:val="2"/>
      <w:numFmt w:val="decimal"/>
      <w:suff w:val="tab"/>
      <w:lvlText w:val="%1."/>
      <w:rPr>
        <w:color w:val="3370ff"/>
      </w:rPr>
    </w:lvl>
  </w:abstractNum>
  <w:abstractNum w:abstractNumId="286097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860934"/>
  </w:num>
  <w:num w:numId="2">
    <w:abstractNumId w:val="2860935"/>
  </w:num>
  <w:num w:numId="3">
    <w:abstractNumId w:val="2860936"/>
  </w:num>
  <w:num w:numId="4">
    <w:abstractNumId w:val="2860937"/>
  </w:num>
  <w:num w:numId="5">
    <w:abstractNumId w:val="2860938"/>
  </w:num>
  <w:num w:numId="6">
    <w:abstractNumId w:val="2860939"/>
  </w:num>
  <w:num w:numId="7">
    <w:abstractNumId w:val="2860940"/>
  </w:num>
  <w:num w:numId="8">
    <w:abstractNumId w:val="2860941"/>
  </w:num>
  <w:num w:numId="9">
    <w:abstractNumId w:val="2860942"/>
  </w:num>
  <w:num w:numId="10">
    <w:abstractNumId w:val="2860943"/>
  </w:num>
  <w:num w:numId="11">
    <w:abstractNumId w:val="2860944"/>
  </w:num>
  <w:num w:numId="12">
    <w:abstractNumId w:val="2860945"/>
  </w:num>
  <w:num w:numId="13">
    <w:abstractNumId w:val="2860946"/>
  </w:num>
  <w:num w:numId="14">
    <w:abstractNumId w:val="2860947"/>
  </w:num>
  <w:num w:numId="15">
    <w:abstractNumId w:val="2860948"/>
  </w:num>
  <w:num w:numId="16">
    <w:abstractNumId w:val="2860949"/>
  </w:num>
  <w:num w:numId="17">
    <w:abstractNumId w:val="2860950"/>
  </w:num>
  <w:num w:numId="18">
    <w:abstractNumId w:val="2860951"/>
  </w:num>
  <w:num w:numId="19">
    <w:abstractNumId w:val="2860952"/>
  </w:num>
  <w:num w:numId="20">
    <w:abstractNumId w:val="2860953"/>
  </w:num>
  <w:num w:numId="21">
    <w:abstractNumId w:val="2860954"/>
  </w:num>
  <w:num w:numId="22">
    <w:abstractNumId w:val="2860955"/>
  </w:num>
  <w:num w:numId="23">
    <w:abstractNumId w:val="2860956"/>
  </w:num>
  <w:num w:numId="24">
    <w:abstractNumId w:val="2860957"/>
  </w:num>
  <w:num w:numId="25">
    <w:abstractNumId w:val="2860958"/>
  </w:num>
  <w:num w:numId="26">
    <w:abstractNumId w:val="2860959"/>
  </w:num>
  <w:num w:numId="27">
    <w:abstractNumId w:val="2860960"/>
  </w:num>
  <w:num w:numId="28">
    <w:abstractNumId w:val="2860961"/>
  </w:num>
  <w:num w:numId="29">
    <w:abstractNumId w:val="2860962"/>
  </w:num>
  <w:num w:numId="30">
    <w:abstractNumId w:val="2860963"/>
  </w:num>
  <w:num w:numId="31">
    <w:abstractNumId w:val="2860964"/>
  </w:num>
  <w:num w:numId="32">
    <w:abstractNumId w:val="2860965"/>
  </w:num>
  <w:num w:numId="33">
    <w:abstractNumId w:val="2860966"/>
  </w:num>
  <w:num w:numId="34">
    <w:abstractNumId w:val="2860967"/>
  </w:num>
  <w:num w:numId="35">
    <w:abstractNumId w:val="2860968"/>
  </w:num>
  <w:num w:numId="36">
    <w:abstractNumId w:val="2860969"/>
  </w:num>
  <w:num w:numId="37">
    <w:abstractNumId w:val="2860970"/>
  </w:num>
  <w:num w:numId="38">
    <w:abstractNumId w:val="2860971"/>
  </w:num>
  <w:num w:numId="39">
    <w:abstractNumId w:val="2860972"/>
  </w:num>
  <w:num w:numId="40">
    <w:abstractNumId w:val="2860973"/>
  </w:num>
  <w:num w:numId="41">
    <w:abstractNumId w:val="2860974"/>
  </w:num>
  <w:num w:numId="42">
    <w:abstractNumId w:val="2860975"/>
  </w:num>
  <w:num w:numId="43">
    <w:abstractNumId w:val="2860976"/>
  </w:num>
  <w:num w:numId="44">
    <w:abstractNumId w:val="2860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2025-12-25T08:10:57Z</dcterms:created>
  <dc:creator>Apache POI</dc:creator>
</cp:coreProperties>
</file>