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pBdr>
          <w:bottom w:val="single" w:color="0D2C54" w:sz="6" w:space="1"/>
        </w:pBdr>
        <w:jc w:val="center"/>
      </w:pP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2C54" w:sz="2"/>
              <w:left w:val="single" w:color="0D2C54" w:sz="2"/>
              <w:bottom w:val="single" w:color="0D2C54" w:sz="2"/>
              <w:right w:val="single" w:color="0D2C54" w:sz="2"/>
            </w:tcBorders>
            <w:shd w:fill="1E579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DA6701 : Data Science and AI for Finance</w:t>
            </w:r>
          </w:p>
        </w:tc>
      </w:tr>
    </w:tbl>
    <w:p>
      <w:pPr>
        <w:spacing w:after="500"/>
      </w:pPr>
    </w:p>
    <w:p>
      <w:pPr>
        <w:jc w:val="center"/>
      </w:pPr>
      <w:r>
        <w:rPr>
          <w:rFonts w:ascii="Arial" w:cs="Arial" w:eastAsia="Arial" w:hAnsi="Arial"/>
          <w:b/>
          <w:bCs/>
          <w:color w:val="0D2C54"/>
          <w:sz w:val="60"/>
          <w:szCs w:val="60"/>
        </w:rPr>
        <w:t xml:space="preserve">Assignment V</w:t>
      </w:r>
    </w:p>
    <w:p>
      <w:pPr>
        <w:spacing w:after="100"/>
        <w:jc w:val="center"/>
      </w:pPr>
      <w:r>
        <w:rPr>
          <w:rFonts w:ascii="Arial" w:cs="Arial" w:eastAsia="Arial" w:hAnsi="Arial"/>
          <w:color w:val="1E5799"/>
          <w:sz w:val="40"/>
          <w:szCs w:val="40"/>
        </w:rPr>
        <w:t xml:space="preserve">Goal-Based Portfolio Optimisation</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Name</w:t>
            </w:r>
          </w:p>
        </w:tc>
        <w:tc>
          <w:tcPr>
            <w:tcW w:type="dxa" w:w="3626"/>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Roll Number</w:t>
            </w:r>
          </w:p>
        </w:tc>
      </w:tr>
      <w:tr>
        <w:tc>
          <w:tcPr>
            <w:tcW w:type="dxa" w:w="54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Member 1 Name</w:t>
            </w:r>
          </w:p>
        </w:tc>
        <w:tc>
          <w:tcPr>
            <w:tcW w:type="dxa" w:w="3626"/>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1E5799"/>
                <w:sz w:val="16"/>
                <w:szCs w:val="16"/>
              </w:rPr>
              <w:t xml:space="preserve">ROLL001</w:t>
            </w:r>
          </w:p>
        </w:tc>
      </w:tr>
      <w:tr>
        <w:tc>
          <w:tcPr>
            <w:tcW w:type="dxa" w:w="54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Member 2 Name</w:t>
            </w:r>
          </w:p>
        </w:tc>
        <w:tc>
          <w:tcPr>
            <w:tcW w:type="dxa" w:w="3626"/>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1E5799"/>
                <w:sz w:val="16"/>
                <w:szCs w:val="16"/>
              </w:rPr>
              <w:t xml:space="preserve">ROLL002</w:t>
            </w:r>
          </w:p>
        </w:tc>
      </w:tr>
      <w:tr>
        <w:tc>
          <w:tcPr>
            <w:tcW w:type="dxa" w:w="54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Member 3 Name</w:t>
            </w:r>
          </w:p>
        </w:tc>
        <w:tc>
          <w:tcPr>
            <w:tcW w:type="dxa" w:w="3626"/>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1E5799"/>
                <w:sz w:val="16"/>
                <w:szCs w:val="16"/>
              </w:rPr>
              <w:t xml:space="preserve">ROLL003</w:t>
            </w:r>
          </w:p>
        </w:tc>
      </w:tr>
      <w:tr>
        <w:tc>
          <w:tcPr>
            <w:tcW w:type="dxa" w:w="54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Member 4 Name</w:t>
            </w:r>
          </w:p>
        </w:tc>
        <w:tc>
          <w:tcPr>
            <w:tcW w:type="dxa" w:w="3626"/>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1E5799"/>
                <w:sz w:val="16"/>
                <w:szCs w:val="16"/>
              </w:rPr>
              <w:t xml:space="preserve">ROLL004</w:t>
            </w:r>
          </w:p>
        </w:tc>
      </w:tr>
    </w:tbl>
    <w:p>
      <w:pPr>
        <w:spacing w:after="2000"/>
      </w:pPr>
    </w:p>
    <w:p>
      <w:pPr>
        <w:pBdr>
          <w:bottom w:val="single" w:color="C8CDD6" w:sz="4" w:space="1"/>
        </w:pBdr>
        <w:jc w:val="center"/>
      </w:pPr>
    </w:p>
    <w:p>
      <w:pPr>
        <w:sectPr>
          <w:pgSz w:w="11906" w:h="16838" w:orient="portrait"/>
          <w:pgMar w:top="720" w:right="1440" w:bottom="720" w:left="1440" w:header="708" w:footer="708" w:gutter="0"/>
          <w:pgNumType/>
          <w:docGrid w:linePitch="360"/>
        </w:sectPr>
      </w:pPr>
    </w:p>
    <w:p>
      <w:pPr>
        <w:spacing w:after="20"/>
        <w:jc w:val="center"/>
      </w:pPr>
      <w:r>
        <w:rPr>
          <w:rFonts w:ascii="Arial" w:cs="Arial" w:eastAsia="Arial" w:hAnsi="Arial"/>
          <w:b/>
          <w:bCs/>
          <w:color w:val="0D2C54"/>
          <w:sz w:val="28"/>
          <w:szCs w:val="28"/>
        </w:rPr>
        <w:t xml:space="preserve">Goal-Based Portfolio Optimisation – Report</w:t>
      </w:r>
    </w:p>
    <w:p>
      <w:pPr>
        <w:spacing w:after="40"/>
        <w:jc w:val="center"/>
      </w:pPr>
      <w:r>
        <w:rPr>
          <w:rFonts w:ascii="Arial" w:cs="Arial" w:eastAsia="Arial" w:hAnsi="Arial"/>
          <w:color w:val="666666"/>
          <w:sz w:val="15"/>
          <w:szCs w:val="15"/>
        </w:rPr>
        <w:t xml:space="preserve">DA6701 – Assignment V | 5-Stock NSE Universe | 20-Year Horizon | Monte Carlo: 5,000 paths | Brute-Force + SciPy SLSQP</w:t>
      </w:r>
    </w:p>
    <w:p>
      <w:pPr>
        <w:pBdr>
          <w:bottom w:val="single" w:color="0D2C54" w:sz="8" w:space="1"/>
        </w:pBdr>
      </w:pP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5"/>
        <w:gridCol w:w="1624"/>
        <w:gridCol w:w="1624"/>
        <w:gridCol w:w="1625"/>
      </w:tblGrid>
      <w:tr>
        <w:tc>
          <w:tcPr>
            <w:tcW w:type="dxa" w:w="1624"/>
            <w:tcBorders>
              <w:top w:val="none" w:sz="0"/>
              <w:left w:val="none" w:sz="0"/>
              <w:bottom w:val="none" w:sz="0"/>
              <w:right w:val="none" w:sz="0"/>
            </w:tcBorders>
            <w:shd w:fill="EAF0FB" w:val="clear"/>
            <w:tcMar>
              <w:top w:type="dxa" w:w="60"/>
              <w:left w:type="dxa" w:w="60"/>
              <w:bottom w:type="dxa" w:w="60"/>
              <w:right w:type="dxa" w:w="60"/>
            </w:tcMar>
            <w:vAlign w:val="center"/>
          </w:tcPr>
          <w:p>
            <w:pPr>
              <w:spacing w:after="20"/>
              <w:jc w:val="center"/>
            </w:pPr>
            <w:r>
              <w:rPr>
                <w:rFonts w:ascii="Arial" w:cs="Arial" w:eastAsia="Arial" w:hAnsi="Arial"/>
                <w:b/>
                <w:bCs/>
                <w:color w:val="1E5799"/>
                <w:sz w:val="24"/>
                <w:szCs w:val="24"/>
              </w:rPr>
              <w:t xml:space="preserve">0.00%</w:t>
            </w:r>
          </w:p>
          <w:p>
            <w:pPr>
              <w:jc w:val="center"/>
            </w:pPr>
            <w:r>
              <w:rPr>
                <w:rFonts w:ascii="Arial" w:cs="Arial" w:eastAsia="Arial" w:hAnsi="Arial"/>
                <w:color w:val="666666"/>
                <w:sz w:val="14"/>
                <w:szCs w:val="14"/>
              </w:rPr>
              <w:t xml:space="preserve">Seq A Success</w:t>
            </w:r>
          </w:p>
        </w:tc>
        <w:tc>
          <w:tcPr>
            <w:tcW w:type="dxa" w:w="1624"/>
            <w:tcBorders>
              <w:top w:val="none" w:sz="0"/>
              <w:left w:val="none" w:sz="0"/>
              <w:bottom w:val="none" w:sz="0"/>
              <w:right w:val="none" w:sz="0"/>
            </w:tcBorders>
            <w:shd w:fill="EAF0FB" w:val="clear"/>
            <w:tcMar>
              <w:top w:type="dxa" w:w="60"/>
              <w:left w:type="dxa" w:w="60"/>
              <w:bottom w:type="dxa" w:w="60"/>
              <w:right w:type="dxa" w:w="60"/>
            </w:tcMar>
            <w:vAlign w:val="center"/>
          </w:tcPr>
          <w:p>
            <w:pPr>
              <w:spacing w:after="20"/>
              <w:jc w:val="center"/>
            </w:pPr>
            <w:r>
              <w:rPr>
                <w:rFonts w:ascii="Arial" w:cs="Arial" w:eastAsia="Arial" w:hAnsi="Arial"/>
                <w:b/>
                <w:bCs/>
                <w:color w:val="C0392B"/>
                <w:sz w:val="24"/>
                <w:szCs w:val="24"/>
              </w:rPr>
              <w:t xml:space="preserve">11.00%</w:t>
            </w:r>
          </w:p>
          <w:p>
            <w:pPr>
              <w:jc w:val="center"/>
            </w:pPr>
            <w:r>
              <w:rPr>
                <w:rFonts w:ascii="Arial" w:cs="Arial" w:eastAsia="Arial" w:hAnsi="Arial"/>
                <w:color w:val="666666"/>
                <w:sz w:val="14"/>
                <w:szCs w:val="14"/>
              </w:rPr>
              <w:t xml:space="preserve">Seq A Return</w:t>
            </w:r>
          </w:p>
        </w:tc>
        <w:tc>
          <w:tcPr>
            <w:tcW w:type="dxa" w:w="1625"/>
            <w:tcBorders>
              <w:top w:val="none" w:sz="0"/>
              <w:left w:val="none" w:sz="0"/>
              <w:bottom w:val="none" w:sz="0"/>
              <w:right w:val="none" w:sz="0"/>
            </w:tcBorders>
            <w:shd w:fill="EAF0FB" w:val="clear"/>
            <w:tcMar>
              <w:top w:type="dxa" w:w="60"/>
              <w:left w:type="dxa" w:w="60"/>
              <w:bottom w:type="dxa" w:w="60"/>
              <w:right w:type="dxa" w:w="60"/>
            </w:tcMar>
            <w:vAlign w:val="center"/>
          </w:tcPr>
          <w:p>
            <w:pPr>
              <w:spacing w:after="20"/>
              <w:jc w:val="center"/>
            </w:pPr>
            <w:r>
              <w:rPr>
                <w:rFonts w:ascii="Arial" w:cs="Arial" w:eastAsia="Arial" w:hAnsi="Arial"/>
                <w:b/>
                <w:bCs/>
                <w:color w:val="1E7D46"/>
                <w:sz w:val="24"/>
                <w:szCs w:val="24"/>
              </w:rPr>
              <w:t xml:space="preserve">25.48%</w:t>
            </w:r>
          </w:p>
          <w:p>
            <w:pPr>
              <w:jc w:val="center"/>
            </w:pPr>
            <w:r>
              <w:rPr>
                <w:rFonts w:ascii="Arial" w:cs="Arial" w:eastAsia="Arial" w:hAnsi="Arial"/>
                <w:color w:val="666666"/>
                <w:sz w:val="14"/>
                <w:szCs w:val="14"/>
              </w:rPr>
              <w:t xml:space="preserve">Seq A Vol</w:t>
            </w:r>
          </w:p>
        </w:tc>
        <w:tc>
          <w:tcPr>
            <w:tcW w:type="dxa" w:w="1624"/>
            <w:tcBorders>
              <w:top w:val="none" w:sz="0"/>
              <w:left w:val="none" w:sz="0"/>
              <w:bottom w:val="none" w:sz="0"/>
              <w:right w:val="none" w:sz="0"/>
            </w:tcBorders>
            <w:shd w:fill="E8F5EE" w:val="clear"/>
            <w:tcMar>
              <w:top w:type="dxa" w:w="60"/>
              <w:left w:type="dxa" w:w="60"/>
              <w:bottom w:type="dxa" w:w="60"/>
              <w:right w:type="dxa" w:w="60"/>
            </w:tcMar>
            <w:vAlign w:val="center"/>
          </w:tcPr>
          <w:p>
            <w:pPr>
              <w:spacing w:after="20"/>
              <w:jc w:val="center"/>
            </w:pPr>
            <w:r>
              <w:rPr>
                <w:rFonts w:ascii="Arial" w:cs="Arial" w:eastAsia="Arial" w:hAnsi="Arial"/>
                <w:b/>
                <w:bCs/>
                <w:color w:val="1E5799"/>
                <w:sz w:val="24"/>
                <w:szCs w:val="24"/>
              </w:rPr>
              <w:t xml:space="preserve">54.94%</w:t>
            </w:r>
          </w:p>
          <w:p>
            <w:pPr>
              <w:jc w:val="center"/>
            </w:pPr>
            <w:r>
              <w:rPr>
                <w:rFonts w:ascii="Arial" w:cs="Arial" w:eastAsia="Arial" w:hAnsi="Arial"/>
                <w:color w:val="666666"/>
                <w:sz w:val="14"/>
                <w:szCs w:val="14"/>
              </w:rPr>
              <w:t xml:space="preserve">Seq B Success</w:t>
            </w:r>
          </w:p>
        </w:tc>
        <w:tc>
          <w:tcPr>
            <w:tcW w:type="dxa" w:w="1624"/>
            <w:tcBorders>
              <w:top w:val="none" w:sz="0"/>
              <w:left w:val="none" w:sz="0"/>
              <w:bottom w:val="none" w:sz="0"/>
              <w:right w:val="none" w:sz="0"/>
            </w:tcBorders>
            <w:shd w:fill="E8F5EE" w:val="clear"/>
            <w:tcMar>
              <w:top w:type="dxa" w:w="60"/>
              <w:left w:type="dxa" w:w="60"/>
              <w:bottom w:type="dxa" w:w="60"/>
              <w:right w:type="dxa" w:w="60"/>
            </w:tcMar>
            <w:vAlign w:val="center"/>
          </w:tcPr>
          <w:p>
            <w:pPr>
              <w:spacing w:after="20"/>
              <w:jc w:val="center"/>
            </w:pPr>
            <w:r>
              <w:rPr>
                <w:rFonts w:ascii="Arial" w:cs="Arial" w:eastAsia="Arial" w:hAnsi="Arial"/>
                <w:b/>
                <w:bCs/>
                <w:color w:val="C0392B"/>
                <w:sz w:val="24"/>
                <w:szCs w:val="24"/>
              </w:rPr>
              <w:t xml:space="preserve">18.55%</w:t>
            </w:r>
          </w:p>
          <w:p>
            <w:pPr>
              <w:jc w:val="center"/>
            </w:pPr>
            <w:r>
              <w:rPr>
                <w:rFonts w:ascii="Arial" w:cs="Arial" w:eastAsia="Arial" w:hAnsi="Arial"/>
                <w:color w:val="666666"/>
                <w:sz w:val="14"/>
                <w:szCs w:val="14"/>
              </w:rPr>
              <w:t xml:space="preserve">Seq B Return</w:t>
            </w:r>
          </w:p>
        </w:tc>
        <w:tc>
          <w:tcPr>
            <w:tcW w:type="dxa" w:w="1625"/>
            <w:tcBorders>
              <w:top w:val="none" w:sz="0"/>
              <w:left w:val="none" w:sz="0"/>
              <w:bottom w:val="none" w:sz="0"/>
              <w:right w:val="none" w:sz="0"/>
            </w:tcBorders>
            <w:shd w:fill="E8F5EE" w:val="clear"/>
            <w:tcMar>
              <w:top w:type="dxa" w:w="60"/>
              <w:left w:type="dxa" w:w="60"/>
              <w:bottom w:type="dxa" w:w="60"/>
              <w:right w:type="dxa" w:w="60"/>
            </w:tcMar>
            <w:vAlign w:val="center"/>
          </w:tcPr>
          <w:p>
            <w:pPr>
              <w:spacing w:after="20"/>
              <w:jc w:val="center"/>
            </w:pPr>
            <w:r>
              <w:rPr>
                <w:rFonts w:ascii="Arial" w:cs="Arial" w:eastAsia="Arial" w:hAnsi="Arial"/>
                <w:b/>
                <w:bCs/>
                <w:color w:val="1E7D46"/>
                <w:sz w:val="24"/>
                <w:szCs w:val="24"/>
              </w:rPr>
              <w:t xml:space="preserve">21.12%</w:t>
            </w:r>
          </w:p>
          <w:p>
            <w:pPr>
              <w:jc w:val="center"/>
            </w:pPr>
            <w:r>
              <w:rPr>
                <w:rFonts w:ascii="Arial" w:cs="Arial" w:eastAsia="Arial" w:hAnsi="Arial"/>
                <w:color w:val="666666"/>
                <w:sz w:val="14"/>
                <w:szCs w:val="14"/>
              </w:rPr>
              <w:t xml:space="preserve">Seq B Vol</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0D2C54" w:val="clear"/>
            <w:tcMar>
              <w:top w:type="dxa" w:w="40"/>
              <w:left w:type="dxa" w:w="120"/>
              <w:bottom w:type="dxa" w:w="40"/>
              <w:right w:type="dxa" w:w="120"/>
            </w:tcMar>
          </w:tcPr>
          <w:p>
            <w:r>
              <w:rPr>
                <w:rFonts w:ascii="Arial" w:cs="Arial" w:eastAsia="Arial" w:hAnsi="Arial"/>
                <w:b/>
                <w:bCs/>
                <w:color w:val="FFFFFF"/>
                <w:sz w:val="18"/>
                <w:szCs w:val="18"/>
              </w:rPr>
              <w:t xml:space="preserve">1  |  Problem Setup &amp; Methodology</w:t>
            </w:r>
          </w:p>
        </w:tc>
      </w:tr>
    </w:tbl>
    <w:p>
      <w:pPr>
        <w:spacing w:after="40"/>
      </w:pPr>
    </w:p>
    <w:p>
      <w:pPr>
        <w:spacing w:after="100"/>
        <w:jc w:val="both"/>
      </w:pPr>
      <w:r>
        <w:rPr>
          <w:rFonts w:ascii="Arial" w:cs="Arial" w:eastAsia="Arial" w:hAnsi="Arial"/>
          <w:b w:val="false"/>
          <w:bCs w:val="false"/>
          <w:i w:val="false"/>
          <w:iCs w:val="false"/>
          <w:color w:val="333333"/>
          <w:sz w:val="18"/>
          <w:szCs w:val="18"/>
        </w:rPr>
        <w:t xml:space="preserve">This report presents the results of a goal-based portfolio optimisation exercise. The objective is to find a static portfolio allocation across five NSE stocks (TCS, HDFC Bank, Reliance, Sun Pharma, ITC) that maximises the probability of achieving a terminal retirement goal of ₹1.5 Crore at Year 20, subject to intermediate goal withdrawals and a 12% borrowing penalty for shortfalls.</w:t>
      </w:r>
    </w:p>
    <w:p>
      <w:pPr>
        <w:spacing w:after="100"/>
        <w:jc w:val="both"/>
      </w:pPr>
      <w:r>
        <w:rPr>
          <w:rFonts w:ascii="Arial" w:cs="Arial" w:eastAsia="Arial" w:hAnsi="Arial"/>
          <w:b w:val="false"/>
          <w:bCs w:val="false"/>
          <w:i w:val="false"/>
          <w:iCs w:val="false"/>
          <w:color w:val="333333"/>
          <w:sz w:val="18"/>
          <w:szCs w:val="18"/>
        </w:rPr>
        <w:t xml:space="preserve">The client contributes ₹20,000/month (₹2,40,000/year) growing at 4% annually, totalling approximately ₹71.5 Lakhs over 20 years. Two goal sequences are evaluated: Sequence A with aggressive early goals (₹15L at Year 3, ₹25L at Year 7, ₹30L at Year 12) and Sequence B with backloaded goals (₹10L at Year 8, ₹20L at Year 12, ₹40L at Year 16). Portfolio weights are drawn from the discrete set {0, 0.25, 0.50, 0.75, 1.00} summing to 1.0, yielding 56 valid combinations. Each combination is evaluated via 5,000-path Monte Carlo simulation using annualised return and covariance parameters estimated from 10 years of daily log returns (Jan 2014 – Dec 2023).</w:t>
      </w:r>
    </w:p>
    <w:p>
      <w:pPr>
        <w:spacing w:after="60" w:before="120"/>
        <w:jc w:val="center"/>
      </w:pPr>
      <w:r>
        <w:rPr>
          <w:rFonts w:ascii="Arial" w:cs="Arial" w:eastAsia="Arial" w:hAnsi="Arial"/>
          <w:i/>
          <w:iCs/>
          <w:color w:val="1E5799"/>
          <w:sz w:val="20"/>
          <w:szCs w:val="20"/>
        </w:rPr>
        <w:t xml:space="preserve">[ INSERT IMAGE: Methodology Flowchart ]</w:t>
      </w:r>
    </w:p>
    <w:p>
      <w:pPr>
        <w:spacing w:after="120"/>
        <w:jc w:val="center"/>
      </w:pPr>
      <w:r>
        <w:rPr>
          <w:rFonts w:ascii="Arial" w:cs="Arial" w:eastAsia="Arial" w:hAnsi="Arial"/>
          <w:color w:val="666666"/>
          <w:sz w:val="14"/>
          <w:szCs w:val="14"/>
        </w:rPr>
        <w:t xml:space="preserve">Methodology 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0D2C54" w:val="clear"/>
            <w:tcMar>
              <w:top w:type="dxa" w:w="40"/>
              <w:left w:type="dxa" w:w="120"/>
              <w:bottom w:type="dxa" w:w="40"/>
              <w:right w:type="dxa" w:w="120"/>
            </w:tcMar>
          </w:tcPr>
          <w:p>
            <w:r>
              <w:rPr>
                <w:rFonts w:ascii="Arial" w:cs="Arial" w:eastAsia="Arial" w:hAnsi="Arial"/>
                <w:b/>
                <w:bCs/>
                <w:color w:val="FFFFFF"/>
                <w:sz w:val="18"/>
                <w:szCs w:val="18"/>
              </w:rPr>
              <w:t xml:space="preserve">2  |  Data &amp; Annualised Statistics</w:t>
            </w:r>
          </w:p>
        </w:tc>
      </w:tr>
    </w:tbl>
    <w:p>
      <w:pPr>
        <w:spacing w:after="40"/>
      </w:pPr>
    </w:p>
    <w:p>
      <w:pPr>
        <w:spacing w:after="100"/>
        <w:jc w:val="both"/>
      </w:pPr>
      <w:r>
        <w:rPr>
          <w:rFonts w:ascii="Arial" w:cs="Arial" w:eastAsia="Arial" w:hAnsi="Arial"/>
          <w:b w:val="false"/>
          <w:bCs w:val="false"/>
          <w:i w:val="false"/>
          <w:iCs w:val="false"/>
          <w:color w:val="333333"/>
          <w:sz w:val="18"/>
          <w:szCs w:val="18"/>
        </w:rPr>
        <w:t xml:space="preserve">Daily adjusted closing prices for 2,465 trading days were downloaded via yfinance. Log returns were computed and annualised (×252) to obtain expected returns and the covariance matrix. The table below summarises the per-stock statistics.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c>
          <w:tcPr>
            <w:tcW w:type="dxa" w:w="3248"/>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Ticker</w:t>
            </w:r>
          </w:p>
        </w:tc>
        <w:tc>
          <w:tcPr>
            <w:tcW w:type="dxa" w:w="3249"/>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Ann. Return</w:t>
            </w:r>
          </w:p>
        </w:tc>
        <w:tc>
          <w:tcPr>
            <w:tcW w:type="dxa" w:w="3249"/>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Ann. Std Dev</w:t>
            </w:r>
          </w:p>
        </w:tc>
      </w:tr>
      <w:tr>
        <w:tc>
          <w:tcPr>
            <w:tcW w:type="dxa" w:w="3248"/>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TCS.NS</w:t>
            </w:r>
          </w:p>
        </w:tc>
        <w:tc>
          <w:tcPr>
            <w:tcW w:type="dxa" w:w="32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15.05%</w:t>
            </w:r>
          </w:p>
        </w:tc>
        <w:tc>
          <w:tcPr>
            <w:tcW w:type="dxa" w:w="32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24.04%</w:t>
            </w:r>
          </w:p>
        </w:tc>
      </w:tr>
      <w:tr>
        <w:tc>
          <w:tcPr>
            <w:tcW w:type="dxa" w:w="3248"/>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HDFCBANK.NS</w:t>
            </w:r>
          </w:p>
        </w:tc>
        <w:tc>
          <w:tcPr>
            <w:tcW w:type="dxa" w:w="32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17.49%</w:t>
            </w:r>
          </w:p>
        </w:tc>
        <w:tc>
          <w:tcPr>
            <w:tcW w:type="dxa" w:w="32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22.46%</w:t>
            </w:r>
          </w:p>
        </w:tc>
      </w:tr>
      <w:tr>
        <w:tc>
          <w:tcPr>
            <w:tcW w:type="dxa" w:w="3248"/>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RELIANCE.NS</w:t>
            </w:r>
          </w:p>
        </w:tc>
        <w:tc>
          <w:tcPr>
            <w:tcW w:type="dxa" w:w="32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19.62%</w:t>
            </w:r>
          </w:p>
        </w:tc>
        <w:tc>
          <w:tcPr>
            <w:tcW w:type="dxa" w:w="32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27.77%</w:t>
            </w:r>
          </w:p>
        </w:tc>
      </w:tr>
      <w:tr>
        <w:tc>
          <w:tcPr>
            <w:tcW w:type="dxa" w:w="3248"/>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SUNPHARMA.NS</w:t>
            </w:r>
          </w:p>
        </w:tc>
        <w:tc>
          <w:tcPr>
            <w:tcW w:type="dxa" w:w="32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8.73%</w:t>
            </w:r>
          </w:p>
        </w:tc>
        <w:tc>
          <w:tcPr>
            <w:tcW w:type="dxa" w:w="32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29.86%</w:t>
            </w:r>
          </w:p>
        </w:tc>
      </w:tr>
      <w:tr>
        <w:tc>
          <w:tcPr>
            <w:tcW w:type="dxa" w:w="3248"/>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ITC.NS</w:t>
            </w:r>
          </w:p>
        </w:tc>
        <w:tc>
          <w:tcPr>
            <w:tcW w:type="dxa" w:w="32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11.00%</w:t>
            </w:r>
          </w:p>
        </w:tc>
        <w:tc>
          <w:tcPr>
            <w:tcW w:type="dxa" w:w="32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25.48%</w:t>
            </w:r>
          </w:p>
        </w:tc>
      </w:tr>
    </w:tbl>
    <w:p>
      <w:pPr>
        <w:spacing w:after="60"/>
      </w:pPr>
    </w:p>
    <w:p>
      <w:pPr>
        <w:spacing w:after="100"/>
        <w:jc w:val="both"/>
      </w:pPr>
      <w:r>
        <w:rPr>
          <w:rFonts w:ascii="Arial" w:cs="Arial" w:eastAsia="Arial" w:hAnsi="Arial"/>
          <w:b w:val="false"/>
          <w:bCs w:val="false"/>
          <w:i w:val="false"/>
          <w:iCs w:val="false"/>
          <w:color w:val="333333"/>
          <w:sz w:val="16"/>
          <w:szCs w:val="16"/>
        </w:rPr>
        <w:t xml:space="preserve">Reliance has the highest annualised return (19.62%) but also elevated volatility. Sun Pharma shows the lowest return (8.73%) with the highest volatility (29.86%), making it the least efficient on a standalone basis. All pairwise correlations in the covariance matrix are moderate, providing diversification potential.</w:t>
      </w:r>
    </w:p>
    <w:p>
      <w:pPr>
        <w:spacing w:after="60" w:before="120"/>
        <w:jc w:val="center"/>
      </w:pPr>
      <w:r>
        <w:rPr>
          <w:rFonts w:ascii="Arial" w:cs="Arial" w:eastAsia="Arial" w:hAnsi="Arial"/>
          <w:i/>
          <w:iCs/>
          <w:color w:val="1E5799"/>
          <w:sz w:val="20"/>
          <w:szCs w:val="20"/>
        </w:rPr>
        <w:t xml:space="preserve">[ INSERT IMAGE: Covariance &amp; Correlation Heatmaps ]</w:t>
      </w:r>
    </w:p>
    <w:p>
      <w:pPr>
        <w:spacing w:after="120"/>
        <w:jc w:val="center"/>
      </w:pPr>
      <w:r>
        <w:rPr>
          <w:rFonts w:ascii="Arial" w:cs="Arial" w:eastAsia="Arial" w:hAnsi="Arial"/>
          <w:color w:val="666666"/>
          <w:sz w:val="14"/>
          <w:szCs w:val="14"/>
        </w:rPr>
        <w:t xml:space="preserve">Covariance &amp; Correlation Heatmaps</w:t>
      </w:r>
    </w:p>
    <w:p>
      <w:pPr>
        <w:spacing w:after="60" w:before="120"/>
        <w:jc w:val="center"/>
      </w:pPr>
      <w:r>
        <w:rPr>
          <w:rFonts w:ascii="Arial" w:cs="Arial" w:eastAsia="Arial" w:hAnsi="Arial"/>
          <w:i/>
          <w:iCs/>
          <w:color w:val="1E5799"/>
          <w:sz w:val="20"/>
          <w:szCs w:val="20"/>
        </w:rPr>
        <w:t xml:space="preserve">[ INSERT IMAGE: Normalised Price History (2014–2023) ]</w:t>
      </w:r>
    </w:p>
    <w:p>
      <w:pPr>
        <w:spacing w:after="120"/>
        <w:jc w:val="center"/>
      </w:pPr>
      <w:r>
        <w:rPr>
          <w:rFonts w:ascii="Arial" w:cs="Arial" w:eastAsia="Arial" w:hAnsi="Arial"/>
          <w:color w:val="666666"/>
          <w:sz w:val="14"/>
          <w:szCs w:val="14"/>
        </w:rPr>
        <w:t xml:space="preserve">Normalised Price History (2014–2023)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0D2C54" w:val="clear"/>
            <w:tcMar>
              <w:top w:type="dxa" w:w="40"/>
              <w:left w:type="dxa" w:w="120"/>
              <w:bottom w:type="dxa" w:w="40"/>
              <w:right w:type="dxa" w:w="120"/>
            </w:tcMar>
          </w:tcPr>
          <w:p>
            <w:r>
              <w:rPr>
                <w:rFonts w:ascii="Arial" w:cs="Arial" w:eastAsia="Arial" w:hAnsi="Arial"/>
                <w:b/>
                <w:bCs/>
                <w:color w:val="FFFFFF"/>
                <w:sz w:val="18"/>
                <w:szCs w:val="18"/>
              </w:rPr>
              <w:t xml:space="preserve">3  |  Optimal Portfolio Weights – Brute-Force Results</w:t>
            </w:r>
          </w:p>
        </w:tc>
      </w:tr>
    </w:tbl>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c>
          <w:tcPr>
            <w:tcW w:type="dxa" w:w="3248"/>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Ticker</w:t>
            </w:r>
          </w:p>
        </w:tc>
        <w:tc>
          <w:tcPr>
            <w:tcW w:type="dxa" w:w="3249"/>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Seq A Weight</w:t>
            </w:r>
          </w:p>
        </w:tc>
        <w:tc>
          <w:tcPr>
            <w:tcW w:type="dxa" w:w="3249"/>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Seq B Weight</w:t>
            </w:r>
          </w:p>
        </w:tc>
      </w:tr>
      <w:tr>
        <w:tc>
          <w:tcPr>
            <w:tcW w:type="dxa" w:w="3248"/>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TCS.NS</w:t>
            </w:r>
          </w:p>
        </w:tc>
        <w:tc>
          <w:tcPr>
            <w:tcW w:type="dxa" w:w="32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1E5799"/>
                <w:sz w:val="16"/>
                <w:szCs w:val="16"/>
              </w:rPr>
              <w:t xml:space="preserve">0.00</w:t>
            </w:r>
          </w:p>
        </w:tc>
        <w:tc>
          <w:tcPr>
            <w:tcW w:type="dxa" w:w="32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1E7D46"/>
                <w:sz w:val="16"/>
                <w:szCs w:val="16"/>
              </w:rPr>
              <w:t xml:space="preserve">0.00</w:t>
            </w:r>
          </w:p>
        </w:tc>
      </w:tr>
      <w:tr>
        <w:tc>
          <w:tcPr>
            <w:tcW w:type="dxa" w:w="3248"/>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HDFCBANK.NS</w:t>
            </w:r>
          </w:p>
        </w:tc>
        <w:tc>
          <w:tcPr>
            <w:tcW w:type="dxa" w:w="32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1E5799"/>
                <w:sz w:val="16"/>
                <w:szCs w:val="16"/>
              </w:rPr>
              <w:t xml:space="preserve">0.00</w:t>
            </w:r>
          </w:p>
        </w:tc>
        <w:tc>
          <w:tcPr>
            <w:tcW w:type="dxa" w:w="32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1E7D46"/>
                <w:sz w:val="16"/>
                <w:szCs w:val="16"/>
              </w:rPr>
              <w:t xml:space="preserve">0.50</w:t>
            </w:r>
          </w:p>
        </w:tc>
      </w:tr>
      <w:tr>
        <w:tc>
          <w:tcPr>
            <w:tcW w:type="dxa" w:w="3248"/>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RELIANCE.NS</w:t>
            </w:r>
          </w:p>
        </w:tc>
        <w:tc>
          <w:tcPr>
            <w:tcW w:type="dxa" w:w="32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1E5799"/>
                <w:sz w:val="16"/>
                <w:szCs w:val="16"/>
              </w:rPr>
              <w:t xml:space="preserve">0.00</w:t>
            </w:r>
          </w:p>
        </w:tc>
        <w:tc>
          <w:tcPr>
            <w:tcW w:type="dxa" w:w="32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1E7D46"/>
                <w:sz w:val="16"/>
                <w:szCs w:val="16"/>
              </w:rPr>
              <w:t xml:space="preserve">0.50</w:t>
            </w:r>
          </w:p>
        </w:tc>
      </w:tr>
      <w:tr>
        <w:tc>
          <w:tcPr>
            <w:tcW w:type="dxa" w:w="3248"/>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SUNPHARMA.NS</w:t>
            </w:r>
          </w:p>
        </w:tc>
        <w:tc>
          <w:tcPr>
            <w:tcW w:type="dxa" w:w="32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1E5799"/>
                <w:sz w:val="16"/>
                <w:szCs w:val="16"/>
              </w:rPr>
              <w:t xml:space="preserve">0.00</w:t>
            </w:r>
          </w:p>
        </w:tc>
        <w:tc>
          <w:tcPr>
            <w:tcW w:type="dxa" w:w="32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1E7D46"/>
                <w:sz w:val="16"/>
                <w:szCs w:val="16"/>
              </w:rPr>
              <w:t xml:space="preserve">0.00</w:t>
            </w:r>
          </w:p>
        </w:tc>
      </w:tr>
      <w:tr>
        <w:tc>
          <w:tcPr>
            <w:tcW w:type="dxa" w:w="3248"/>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ITC.NS</w:t>
            </w:r>
          </w:p>
        </w:tc>
        <w:tc>
          <w:tcPr>
            <w:tcW w:type="dxa" w:w="32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1E5799"/>
                <w:sz w:val="16"/>
                <w:szCs w:val="16"/>
              </w:rPr>
              <w:t xml:space="preserve">1.00</w:t>
            </w:r>
          </w:p>
        </w:tc>
        <w:tc>
          <w:tcPr>
            <w:tcW w:type="dxa" w:w="32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1E7D46"/>
                <w:sz w:val="16"/>
                <w:szCs w:val="16"/>
              </w:rPr>
              <w:t xml:space="preserve">0.00</w:t>
            </w:r>
          </w:p>
        </w:tc>
      </w:tr>
      <w:tr>
        <w:tc>
          <w:tcPr>
            <w:tcW w:type="dxa" w:w="3248"/>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bCs/>
                <w:color w:val="333333"/>
                <w:sz w:val="16"/>
                <w:szCs w:val="16"/>
              </w:rPr>
              <w:t xml:space="preserve">Success Probability</w:t>
            </w:r>
          </w:p>
        </w:tc>
        <w:tc>
          <w:tcPr>
            <w:tcW w:type="dxa" w:w="32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C0392B"/>
                <w:sz w:val="16"/>
                <w:szCs w:val="16"/>
              </w:rPr>
              <w:t xml:space="preserve">0.00%</w:t>
            </w:r>
          </w:p>
        </w:tc>
        <w:tc>
          <w:tcPr>
            <w:tcW w:type="dxa" w:w="32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1E7D46"/>
                <w:sz w:val="16"/>
                <w:szCs w:val="16"/>
              </w:rPr>
              <w:t xml:space="preserve">54.94%</w:t>
            </w:r>
          </w:p>
        </w:tc>
      </w:tr>
    </w:tbl>
    <w:p>
      <w:pPr>
        <w:spacing w:after="60"/>
      </w:pPr>
    </w:p>
    <w:p>
      <w:pPr>
        <w:spacing w:after="60" w:before="120"/>
        <w:jc w:val="center"/>
      </w:pPr>
      <w:r>
        <w:rPr>
          <w:rFonts w:ascii="Arial" w:cs="Arial" w:eastAsia="Arial" w:hAnsi="Arial"/>
          <w:i/>
          <w:iCs/>
          <w:color w:val="1E5799"/>
          <w:sz w:val="20"/>
          <w:szCs w:val="20"/>
        </w:rPr>
        <w:t xml:space="preserve">[ INSERT IMAGE: Optimal Weight Pie Charts – Sequence A vs Sequence B ]</w:t>
      </w:r>
    </w:p>
    <w:p>
      <w:pPr>
        <w:spacing w:after="120"/>
        <w:jc w:val="center"/>
      </w:pPr>
      <w:r>
        <w:rPr>
          <w:rFonts w:ascii="Arial" w:cs="Arial" w:eastAsia="Arial" w:hAnsi="Arial"/>
          <w:color w:val="666666"/>
          <w:sz w:val="14"/>
          <w:szCs w:val="14"/>
        </w:rPr>
        <w:t xml:space="preserve">Optimal Weight Pie Charts – Sequence A vs Sequence B</w:t>
      </w:r>
    </w:p>
    <w:p>
      <w:pPr>
        <w:spacing w:after="60" w:before="120"/>
        <w:jc w:val="center"/>
      </w:pPr>
      <w:r>
        <w:rPr>
          <w:rFonts w:ascii="Arial" w:cs="Arial" w:eastAsia="Arial" w:hAnsi="Arial"/>
          <w:i/>
          <w:iCs/>
          <w:color w:val="1E5799"/>
          <w:sz w:val="20"/>
          <w:szCs w:val="20"/>
        </w:rPr>
        <w:t xml:space="preserve">[ INSERT IMAGE: Success Probability Distributions ]</w:t>
      </w:r>
    </w:p>
    <w:p>
      <w:pPr>
        <w:spacing w:after="120"/>
        <w:jc w:val="center"/>
      </w:pPr>
      <w:r>
        <w:rPr>
          <w:rFonts w:ascii="Arial" w:cs="Arial" w:eastAsia="Arial" w:hAnsi="Arial"/>
          <w:color w:val="666666"/>
          <w:sz w:val="14"/>
          <w:szCs w:val="14"/>
        </w:rPr>
        <w:t xml:space="preserve">Success Probability Distributions</w:t>
      </w:r>
    </w:p>
    <w:p>
      <w:pPr>
        <w:spacing w:after="100"/>
        <w:jc w:val="both"/>
      </w:pPr>
      <w:r>
        <w:rPr>
          <w:rFonts w:ascii="Arial" w:cs="Arial" w:eastAsia="Arial" w:hAnsi="Arial"/>
          <w:b/>
          <w:bCs/>
          <w:i w:val="false"/>
          <w:iCs w:val="false"/>
          <w:color w:val="333333"/>
          <w:sz w:val="20"/>
          <w:szCs w:val="20"/>
        </w:rPr>
        <w:t xml:space="preserve">Full Results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0"/>
        <w:gridCol w:w="2673"/>
        <w:gridCol w:w="2673"/>
      </w:tblGrid>
      <w:tr>
        <w:tc>
          <w:tcPr>
            <w:tcW w:type="dxa" w:w="4400"/>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Metric</w:t>
            </w:r>
          </w:p>
        </w:tc>
        <w:tc>
          <w:tcPr>
            <w:tcW w:type="dxa" w:w="2673"/>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Sequence A</w:t>
            </w:r>
          </w:p>
        </w:tc>
        <w:tc>
          <w:tcPr>
            <w:tcW w:type="dxa" w:w="2673"/>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Sequence B</w:t>
            </w:r>
          </w:p>
        </w:tc>
      </w:tr>
      <w:tr>
        <w:tc>
          <w:tcPr>
            <w:tcW w:type="dxa" w:w="44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TCS.NS weight</w:t>
            </w:r>
          </w:p>
        </w:tc>
        <w:tc>
          <w:tcPr>
            <w:tcW w:type="dxa" w:w="2673"/>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2673"/>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r>
      <w:tr>
        <w:tc>
          <w:tcPr>
            <w:tcW w:type="dxa" w:w="44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HDFCBANK.NS weight</w:t>
            </w:r>
          </w:p>
        </w:tc>
        <w:tc>
          <w:tcPr>
            <w:tcW w:type="dxa" w:w="2673"/>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2673"/>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0.50</w:t>
            </w:r>
          </w:p>
        </w:tc>
      </w:tr>
      <w:tr>
        <w:tc>
          <w:tcPr>
            <w:tcW w:type="dxa" w:w="44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RELIANCE.NS weight</w:t>
            </w:r>
          </w:p>
        </w:tc>
        <w:tc>
          <w:tcPr>
            <w:tcW w:type="dxa" w:w="2673"/>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2673"/>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0.50</w:t>
            </w:r>
          </w:p>
        </w:tc>
      </w:tr>
      <w:tr>
        <w:tc>
          <w:tcPr>
            <w:tcW w:type="dxa" w:w="44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SUNPHARMA.NS weight</w:t>
            </w:r>
          </w:p>
        </w:tc>
        <w:tc>
          <w:tcPr>
            <w:tcW w:type="dxa" w:w="2673"/>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2673"/>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r>
      <w:tr>
        <w:tc>
          <w:tcPr>
            <w:tcW w:type="dxa" w:w="44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ITC.NS weight</w:t>
            </w:r>
          </w:p>
        </w:tc>
        <w:tc>
          <w:tcPr>
            <w:tcW w:type="dxa" w:w="2673"/>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1.00</w:t>
            </w:r>
          </w:p>
        </w:tc>
        <w:tc>
          <w:tcPr>
            <w:tcW w:type="dxa" w:w="2673"/>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r>
      <w:tr>
        <w:tc>
          <w:tcPr>
            <w:tcW w:type="dxa" w:w="44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Portfolio Exp. Return (ann.)</w:t>
            </w:r>
          </w:p>
        </w:tc>
        <w:tc>
          <w:tcPr>
            <w:tcW w:type="dxa" w:w="2673"/>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11.00%</w:t>
            </w:r>
          </w:p>
        </w:tc>
        <w:tc>
          <w:tcPr>
            <w:tcW w:type="dxa" w:w="2673"/>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18.55%</w:t>
            </w:r>
          </w:p>
        </w:tc>
      </w:tr>
      <w:tr>
        <w:tc>
          <w:tcPr>
            <w:tcW w:type="dxa" w:w="44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Portfolio Std Dev (ann.)</w:t>
            </w:r>
          </w:p>
        </w:tc>
        <w:tc>
          <w:tcPr>
            <w:tcW w:type="dxa" w:w="2673"/>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25.48%</w:t>
            </w:r>
          </w:p>
        </w:tc>
        <w:tc>
          <w:tcPr>
            <w:tcW w:type="dxa" w:w="2673"/>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21.12%</w:t>
            </w:r>
          </w:p>
        </w:tc>
      </w:tr>
      <w:tr>
        <w:tc>
          <w:tcPr>
            <w:tcW w:type="dxa" w:w="44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Success Probability (Optimal)</w:t>
            </w:r>
          </w:p>
        </w:tc>
        <w:tc>
          <w:tcPr>
            <w:tcW w:type="dxa" w:w="2673"/>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2673"/>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54.94%</w:t>
            </w:r>
          </w:p>
        </w:tc>
      </w:tr>
      <w:tr>
        <w:tc>
          <w:tcPr>
            <w:tcW w:type="dxa" w:w="44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Success Probability (Equal Weight)</w:t>
            </w:r>
          </w:p>
        </w:tc>
        <w:tc>
          <w:tcPr>
            <w:tcW w:type="dxa" w:w="2673"/>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2673"/>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24.34%</w:t>
            </w:r>
          </w:p>
        </w:tc>
      </w:tr>
      <w:tr>
        <w:tc>
          <w:tcPr>
            <w:tcW w:type="dxa" w:w="44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Improvement over Equal Weight</w:t>
            </w:r>
          </w:p>
        </w:tc>
        <w:tc>
          <w:tcPr>
            <w:tcW w:type="dxa" w:w="2673"/>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2673"/>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+30.60%</w:t>
            </w:r>
          </w:p>
        </w:tc>
      </w:tr>
    </w:tbl>
    <w:p>
      <w:pPr>
        <w:spacing w:after="80"/>
      </w:pPr>
    </w:p>
    <w:p>
      <w:pPr>
        <w:spacing w:after="60" w:before="120"/>
        <w:jc w:val="center"/>
      </w:pPr>
      <w:r>
        <w:rPr>
          <w:rFonts w:ascii="Arial" w:cs="Arial" w:eastAsia="Arial" w:hAnsi="Arial"/>
          <w:i/>
          <w:iCs/>
          <w:color w:val="1E5799"/>
          <w:sz w:val="20"/>
          <w:szCs w:val="20"/>
        </w:rPr>
        <w:t xml:space="preserve">[ INSERT IMAGE: Year-by-Year Percentile Fan Charts (Optimal Portfolios) ]</w:t>
      </w:r>
    </w:p>
    <w:p>
      <w:pPr>
        <w:spacing w:after="120"/>
        <w:jc w:val="center"/>
      </w:pPr>
      <w:r>
        <w:rPr>
          <w:rFonts w:ascii="Arial" w:cs="Arial" w:eastAsia="Arial" w:hAnsi="Arial"/>
          <w:color w:val="666666"/>
          <w:sz w:val="14"/>
          <w:szCs w:val="14"/>
        </w:rPr>
        <w:t xml:space="preserve">Year-by-Year Percentile Fan Charts (Optimal Portfolios)</w:t>
      </w:r>
    </w:p>
    <w:p>
      <w:pPr>
        <w:spacing w:after="60" w:before="120"/>
        <w:jc w:val="center"/>
      </w:pPr>
      <w:r>
        <w:rPr>
          <w:rFonts w:ascii="Arial" w:cs="Arial" w:eastAsia="Arial" w:hAnsi="Arial"/>
          <w:i/>
          <w:iCs/>
          <w:color w:val="1E5799"/>
          <w:sz w:val="20"/>
          <w:szCs w:val="20"/>
        </w:rPr>
        <w:t xml:space="preserve">[ INSERT IMAGE: Risk–Return Scatter Plot ]</w:t>
      </w:r>
    </w:p>
    <w:p>
      <w:pPr>
        <w:spacing w:after="120"/>
        <w:jc w:val="center"/>
      </w:pPr>
      <w:r>
        <w:rPr>
          <w:rFonts w:ascii="Arial" w:cs="Arial" w:eastAsia="Arial" w:hAnsi="Arial"/>
          <w:color w:val="666666"/>
          <w:sz w:val="14"/>
          <w:szCs w:val="14"/>
        </w:rPr>
        <w:t xml:space="preserve">Risk–Return Scatter Plot</w:t>
      </w:r>
    </w:p>
    <w:p>
      <w:pPr>
        <w:spacing w:after="60" w:before="120"/>
        <w:jc w:val="center"/>
      </w:pPr>
      <w:r>
        <w:rPr>
          <w:rFonts w:ascii="Arial" w:cs="Arial" w:eastAsia="Arial" w:hAnsi="Arial"/>
          <w:i/>
          <w:iCs/>
          <w:color w:val="1E5799"/>
          <w:sz w:val="20"/>
          <w:szCs w:val="20"/>
        </w:rPr>
        <w:t xml:space="preserve">[ INSERT IMAGE: Goal Timelines: Sequence A vs Sequence B ]</w:t>
      </w:r>
    </w:p>
    <w:p>
      <w:pPr>
        <w:spacing w:after="120"/>
        <w:jc w:val="center"/>
      </w:pPr>
      <w:r>
        <w:rPr>
          <w:rFonts w:ascii="Arial" w:cs="Arial" w:eastAsia="Arial" w:hAnsi="Arial"/>
          <w:color w:val="666666"/>
          <w:sz w:val="14"/>
          <w:szCs w:val="14"/>
        </w:rPr>
        <w:t xml:space="preserve">Goal Timelines: Sequence A vs Sequence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0D2C54" w:val="clear"/>
            <w:tcMar>
              <w:top w:type="dxa" w:w="40"/>
              <w:left w:type="dxa" w:w="120"/>
              <w:bottom w:type="dxa" w:w="40"/>
              <w:right w:type="dxa" w:w="120"/>
            </w:tcMar>
          </w:tcPr>
          <w:p>
            <w:r>
              <w:rPr>
                <w:rFonts w:ascii="Arial" w:cs="Arial" w:eastAsia="Arial" w:hAnsi="Arial"/>
                <w:b/>
                <w:bCs/>
                <w:color w:val="FFFFFF"/>
                <w:sz w:val="18"/>
                <w:szCs w:val="18"/>
              </w:rPr>
              <w:t xml:space="preserve">4  |  Results Discussion – Why Different Goals Produce Different Portfolios</w:t>
            </w:r>
          </w:p>
        </w:tc>
      </w:tr>
    </w:tbl>
    <w:p>
      <w:pPr>
        <w:spacing w:after="40"/>
      </w:pPr>
    </w:p>
    <w:p>
      <w:pPr>
        <w:spacing w:after="100"/>
        <w:jc w:val="both"/>
      </w:pPr>
      <w:r>
        <w:rPr>
          <w:rFonts w:ascii="Arial" w:cs="Arial" w:eastAsia="Arial" w:hAnsi="Arial"/>
          <w:b/>
          <w:bCs/>
          <w:i w:val="false"/>
          <w:iCs w:val="false"/>
          <w:color w:val="333333"/>
          <w:sz w:val="18"/>
          <w:szCs w:val="18"/>
        </w:rPr>
        <w:t xml:space="preserve">Sequence A (100% ITC, 0.00% success): </w:t>
      </w:r>
      <w:r>
        <w:rPr>
          <w:rFonts w:ascii="Arial" w:cs="Arial" w:eastAsia="Arial" w:hAnsi="Arial"/>
          <w:b w:val="false"/>
          <w:bCs w:val="false"/>
          <w:i w:val="false"/>
          <w:iCs w:val="false"/>
          <w:color w:val="333333"/>
          <w:sz w:val="18"/>
          <w:szCs w:val="18"/>
        </w:rPr>
        <w:t xml:space="preserve">This sequence demands ₹15L by Year 3 and ₹25L by Year 7. The portfolio starts at zero and accumulates only ~₹7.5L in savings over the first three years — meaning even with strong returns, meeting the Year 3 goal is nearly impossible. Almost every simulated path borrows at Year 3, and that loan compounds at 12% for the remaining 17 years. By Year 7, the portfolio is already underwater when the second ₹25L goal hits, triggering more borrowing. The debt spiral is unrecoverable.</w:t>
      </w:r>
    </w:p>
    <w:p>
      <w:pPr>
        <w:spacing w:after="100"/>
        <w:jc w:val="both"/>
      </w:pPr>
      <w:r>
        <w:rPr>
          <w:rFonts w:ascii="Arial" w:cs="Arial" w:eastAsia="Arial" w:hAnsi="Arial"/>
          <w:b w:val="false"/>
          <w:bCs w:val="false"/>
          <w:i w:val="false"/>
          <w:iCs w:val="false"/>
          <w:color w:val="333333"/>
          <w:sz w:val="18"/>
          <w:szCs w:val="18"/>
        </w:rPr>
        <w:t xml:space="preserve">The optimiser picks ITC (the lowest-volatility stock at 25.48%) not because it expects to succeed, but because it is minimising damage. With 0% success across all 56 combinations, the optimiser defaults to the least volatile option — the one that produces the least negative final values. A higher-return, higher-volatility pick like Reliance would just amplify the losses on the downside without meaningfully helping on the upside, since no combination of weights can overcome the structural impossibility of meeting ₹15L from ₹7.5L of savings in 3 years.</w:t>
      </w:r>
    </w:p>
    <w:p>
      <w:pPr>
        <w:spacing w:after="100"/>
        <w:jc w:val="both"/>
      </w:pPr>
      <w:r>
        <w:rPr>
          <w:rFonts w:ascii="Arial" w:cs="Arial" w:eastAsia="Arial" w:hAnsi="Arial"/>
          <w:b/>
          <w:bCs/>
          <w:i w:val="false"/>
          <w:iCs w:val="false"/>
          <w:color w:val="333333"/>
          <w:sz w:val="18"/>
          <w:szCs w:val="18"/>
        </w:rPr>
        <w:t xml:space="preserve">Sequence B (50% HDFCBANK + 50% RELIANCE, 54.94% success): </w:t>
      </w:r>
      <w:r>
        <w:rPr>
          <w:rFonts w:ascii="Arial" w:cs="Arial" w:eastAsia="Arial" w:hAnsi="Arial"/>
          <w:b w:val="false"/>
          <w:bCs w:val="false"/>
          <w:i w:val="false"/>
          <w:iCs w:val="false"/>
          <w:color w:val="333333"/>
          <w:sz w:val="18"/>
          <w:szCs w:val="18"/>
        </w:rPr>
        <w:t xml:space="preserve">The first goal is only ₹10L at Year 8. By then the portfolio has had eight years of uninterrupted compounding and ~₹21L in cumulative savings, so the majority of paths can meet the goal without borrowing at all. With borrowing risk low, the optimiser is free to pursue return maximisation. It picks the two highest-return stocks — HDFCBANK (17.5% ann. return, 22.5% std) and RELIANCE (19.6% return, 27.8% std) — which together deliver an 18.55% portfolio return at a blended 21.12% std dev (lower than either stock alone, thanks to imperfect correlation).</w:t>
      </w:r>
    </w:p>
    <w:p>
      <w:pPr>
        <w:spacing w:after="100"/>
        <w:jc w:val="both"/>
      </w:pPr>
      <w:r>
        <w:rPr>
          <w:rFonts w:ascii="Arial" w:cs="Arial" w:eastAsia="Arial" w:hAnsi="Arial"/>
          <w:b/>
          <w:bCs/>
          <w:i/>
          <w:iCs/>
          <w:color w:val="333333"/>
          <w:sz w:val="18"/>
          <w:szCs w:val="18"/>
        </w:rPr>
        <w:t xml:space="preserve">The core insight: </w:t>
      </w:r>
      <w:r>
        <w:rPr>
          <w:rFonts w:ascii="Arial" w:cs="Arial" w:eastAsia="Arial" w:hAnsi="Arial"/>
          <w:b w:val="false"/>
          <w:bCs w:val="false"/>
          <w:i/>
          <w:iCs/>
          <w:color w:val="333333"/>
          <w:sz w:val="18"/>
          <w:szCs w:val="18"/>
        </w:rPr>
        <w:t xml:space="preserve">The goal sequence does not just change </w:t>
      </w:r>
      <w:r>
        <w:rPr>
          <w:rFonts w:ascii="Arial" w:cs="Arial" w:eastAsia="Arial" w:hAnsi="Arial"/>
          <w:b/>
          <w:bCs/>
          <w:i/>
          <w:iCs/>
          <w:color w:val="333333"/>
          <w:sz w:val="18"/>
          <w:szCs w:val="18"/>
        </w:rPr>
        <w:t xml:space="preserve">which </w:t>
      </w:r>
      <w:r>
        <w:rPr>
          <w:rFonts w:ascii="Arial" w:cs="Arial" w:eastAsia="Arial" w:hAnsi="Arial"/>
          <w:b w:val="false"/>
          <w:bCs w:val="false"/>
          <w:i/>
          <w:iCs/>
          <w:color w:val="333333"/>
          <w:sz w:val="18"/>
          <w:szCs w:val="18"/>
        </w:rPr>
        <w:t xml:space="preserve">portfolio is optimal — it changes </w:t>
      </w:r>
      <w:r>
        <w:rPr>
          <w:rFonts w:ascii="Arial" w:cs="Arial" w:eastAsia="Arial" w:hAnsi="Arial"/>
          <w:b/>
          <w:bCs/>
          <w:i/>
          <w:iCs/>
          <w:color w:val="333333"/>
          <w:sz w:val="18"/>
          <w:szCs w:val="18"/>
        </w:rPr>
        <w:t xml:space="preserve">what the optimiser is even trying to do. </w:t>
      </w:r>
      <w:r>
        <w:rPr>
          <w:rFonts w:ascii="Arial" w:cs="Arial" w:eastAsia="Arial" w:hAnsi="Arial"/>
          <w:b w:val="false"/>
          <w:bCs w:val="false"/>
          <w:i/>
          <w:iCs/>
          <w:color w:val="333333"/>
          <w:sz w:val="18"/>
          <w:szCs w:val="18"/>
        </w:rPr>
        <w:t xml:space="preserve">Sequence A turns the problem from “maximise success probability” into “minimise guaranteed failure,” while Sequence B keeps it a genuine optimisation where diversification and return both matter. This is the fundamental lesson of goal-based investing: the timing and size of intermediate obligations can completely dominate the investment decision, overriding any analysis of the assets themselves.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0D2C54" w:val="clear"/>
            <w:tcMar>
              <w:top w:type="dxa" w:w="40"/>
              <w:left w:type="dxa" w:w="120"/>
              <w:bottom w:type="dxa" w:w="40"/>
              <w:right w:type="dxa" w:w="120"/>
            </w:tcMar>
          </w:tcPr>
          <w:p>
            <w:r>
              <w:rPr>
                <w:rFonts w:ascii="Arial" w:cs="Arial" w:eastAsia="Arial" w:hAnsi="Arial"/>
                <w:b/>
                <w:bCs/>
                <w:color w:val="FFFFFF"/>
                <w:sz w:val="18"/>
                <w:szCs w:val="18"/>
              </w:rPr>
              <w:t xml:space="preserve">5  |  Bonus – Continuous SciPy Optimiser (SLSQP with Short-Selling)</w:t>
            </w:r>
          </w:p>
        </w:tc>
      </w:tr>
    </w:tbl>
    <w:p>
      <w:pPr>
        <w:spacing w:after="40"/>
      </w:pPr>
    </w:p>
    <w:p>
      <w:pPr>
        <w:spacing w:after="100"/>
        <w:jc w:val="both"/>
      </w:pPr>
      <w:r>
        <w:rPr>
          <w:rFonts w:ascii="Arial" w:cs="Arial" w:eastAsia="Arial" w:hAnsi="Arial"/>
          <w:b w:val="false"/>
          <w:bCs w:val="false"/>
          <w:i w:val="false"/>
          <w:iCs w:val="false"/>
          <w:color w:val="333333"/>
          <w:sz w:val="18"/>
          <w:szCs w:val="18"/>
        </w:rPr>
        <w:t xml:space="preserve">The continuous optimiser replaces the discrete brute-force grid with SciPy’s SLSQP method. The only constraint is sum(weights) = 1.0 with no bounds on individual weights, permitting short positions of any size. A 50-restart strategy (half Dirichlet long-only starts, half unconstrained random starts) is used to navigate the non-convex, stochastic objective landscape.</w:t>
      </w:r>
    </w:p>
    <w:p>
      <w:pPr>
        <w:spacing w:after="100"/>
        <w:jc w:val="both"/>
      </w:pPr>
      <w:r>
        <w:rPr>
          <w:rFonts w:ascii="Arial" w:cs="Arial" w:eastAsia="Arial" w:hAnsi="Arial"/>
          <w:b/>
          <w:bCs/>
          <w:i w:val="false"/>
          <w:iCs w:val="false"/>
          <w:color w:val="333333"/>
          <w:sz w:val="18"/>
          <w:szCs w:val="18"/>
        </w:rPr>
        <w:t xml:space="preserve">Three-Way Comparison: Equal Weight vs Brute-Force vs Continuous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349"/>
        <w:gridCol w:w="1349"/>
        <w:gridCol w:w="1500"/>
        <w:gridCol w:w="1349"/>
        <w:gridCol w:w="1349"/>
        <w:gridCol w:w="1350"/>
      </w:tblGrid>
      <w:tr>
        <w:tc>
          <w:tcPr>
            <w:tcW w:type="dxa" w:w="1500"/>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
            </w:r>
          </w:p>
        </w:tc>
        <w:tc>
          <w:tcPr>
            <w:tcW w:type="dxa" w:w="1349"/>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Equal Wt</w:t>
            </w:r>
          </w:p>
        </w:tc>
        <w:tc>
          <w:tcPr>
            <w:tcW w:type="dxa" w:w="1349"/>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BF (A)</w:t>
            </w:r>
          </w:p>
        </w:tc>
        <w:tc>
          <w:tcPr>
            <w:tcW w:type="dxa" w:w="1500"/>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Cont. (A)</w:t>
            </w:r>
          </w:p>
        </w:tc>
        <w:tc>
          <w:tcPr>
            <w:tcW w:type="dxa" w:w="1349"/>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BF (B)</w:t>
            </w:r>
          </w:p>
        </w:tc>
        <w:tc>
          <w:tcPr>
            <w:tcW w:type="dxa" w:w="1349"/>
            <w:tcBorders>
              <w:top w:val="single" w:color="C8CDD6" w:sz="1"/>
              <w:left w:val="single" w:color="C8CDD6" w:sz="1"/>
              <w:bottom w:val="single" w:color="C8CDD6" w:sz="1"/>
              <w:right w:val="single" w:color="C8CDD6" w:sz="1"/>
            </w:tcBorders>
            <w:shd w:fill="0D2C54" w:val="clear"/>
            <w:tcMar>
              <w:top w:type="dxa" w:w="40"/>
              <w:left w:type="dxa" w:w="80"/>
              <w:bottom w:type="dxa" w:w="40"/>
              <w:right w:type="dxa" w:w="80"/>
            </w:tcMar>
            <w:vAlign w:val="center"/>
          </w:tcPr>
          <w:p>
            <w:pPr>
              <w:jc w:val="center"/>
            </w:pPr>
            <w:r>
              <w:rPr>
                <w:rFonts w:ascii="Arial" w:cs="Arial" w:eastAsia="Arial" w:hAnsi="Arial"/>
                <w:b/>
                <w:bCs/>
                <w:color w:val="FFFFFF"/>
                <w:sz w:val="16"/>
                <w:szCs w:val="16"/>
              </w:rPr>
              <w:t xml:space="preserve">Cont. (B)</w:t>
            </w:r>
          </w:p>
        </w:tc>
      </w:tr>
      <w:tr>
        <w:tc>
          <w:tcPr>
            <w:tcW w:type="dxa" w:w="15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TCS.NS</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0.20</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15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-1.2563</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0.9114</w:t>
            </w:r>
          </w:p>
        </w:tc>
      </w:tr>
      <w:tr>
        <w:tc>
          <w:tcPr>
            <w:tcW w:type="dxa" w:w="15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HDFCBANK.NS</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0.20</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15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3.2449</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0.50</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0.2594</w:t>
            </w:r>
          </w:p>
        </w:tc>
      </w:tr>
      <w:tr>
        <w:tc>
          <w:tcPr>
            <w:tcW w:type="dxa" w:w="15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RELIANCE.NS</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0.20</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15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-0.5743</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0.50</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0.8735</w:t>
            </w:r>
          </w:p>
        </w:tc>
      </w:tr>
      <w:tr>
        <w:tc>
          <w:tcPr>
            <w:tcW w:type="dxa" w:w="15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SUNPHARMA.NS</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0.20</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15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-1.6480</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-0.6105</w:t>
            </w:r>
          </w:p>
        </w:tc>
      </w:tr>
      <w:tr>
        <w:tc>
          <w:tcPr>
            <w:tcW w:type="dxa" w:w="15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val="false"/>
                <w:bCs w:val="false"/>
                <w:color w:val="333333"/>
                <w:sz w:val="16"/>
                <w:szCs w:val="16"/>
              </w:rPr>
              <w:t xml:space="preserve">ITC.NS</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0.20</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1.00</w:t>
            </w:r>
          </w:p>
        </w:tc>
        <w:tc>
          <w:tcPr>
            <w:tcW w:type="dxa" w:w="15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1.2336</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0.00</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val="false"/>
                <w:bCs w:val="false"/>
                <w:color w:val="333333"/>
                <w:sz w:val="16"/>
                <w:szCs w:val="16"/>
              </w:rPr>
              <w:t xml:space="preserve">-0.4338</w:t>
            </w:r>
          </w:p>
        </w:tc>
      </w:tr>
      <w:tr>
        <w:tc>
          <w:tcPr>
            <w:tcW w:type="dxa" w:w="15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bCs/>
                <w:color w:val="333333"/>
                <w:sz w:val="16"/>
                <w:szCs w:val="16"/>
              </w:rPr>
              <w:t xml:space="preserve">Success Prob</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0.00%</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0.00%</w:t>
            </w:r>
          </w:p>
        </w:tc>
        <w:tc>
          <w:tcPr>
            <w:tcW w:type="dxa" w:w="15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1.26%</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54.94%</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63.52%</w:t>
            </w:r>
          </w:p>
        </w:tc>
      </w:tr>
      <w:tr>
        <w:tc>
          <w:tcPr>
            <w:tcW w:type="dxa" w:w="15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left"/>
            </w:pPr>
            <w:r>
              <w:rPr>
                <w:rFonts w:ascii="Arial" w:cs="Arial" w:eastAsia="Arial" w:hAnsi="Arial"/>
                <w:b/>
                <w:bCs/>
                <w:color w:val="333333"/>
                <w:sz w:val="16"/>
                <w:szCs w:val="16"/>
              </w:rPr>
              <w:t xml:space="preserve">vs Equal-Wt</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+0.00%</w:t>
            </w:r>
          </w:p>
        </w:tc>
        <w:tc>
          <w:tcPr>
            <w:tcW w:type="dxa" w:w="1500"/>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+1.26%</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+30.60%</w:t>
            </w:r>
          </w:p>
        </w:tc>
        <w:tc>
          <w:tcPr>
            <w:tcW w:type="dxa" w:w="1349"/>
            <w:tcBorders>
              <w:top w:val="single" w:color="C8CDD6" w:sz="1"/>
              <w:left w:val="single" w:color="C8CDD6" w:sz="1"/>
              <w:bottom w:val="single" w:color="C8CDD6" w:sz="1"/>
              <w:right w:val="single" w:color="C8CDD6" w:sz="1"/>
            </w:tcBorders>
            <w:shd w:fill="F4F6F9" w:val="clear"/>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+39.18%</w:t>
            </w:r>
          </w:p>
        </w:tc>
      </w:tr>
      <w:tr>
        <w:tc>
          <w:tcPr>
            <w:tcW w:type="dxa" w:w="15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left"/>
            </w:pPr>
            <w:r>
              <w:rPr>
                <w:rFonts w:ascii="Arial" w:cs="Arial" w:eastAsia="Arial" w:hAnsi="Arial"/>
                <w:b/>
                <w:bCs/>
                <w:color w:val="333333"/>
                <w:sz w:val="16"/>
                <w:szCs w:val="16"/>
              </w:rPr>
              <w:t xml:space="preserve">vs Brute-Force</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w:t>
            </w:r>
          </w:p>
        </w:tc>
        <w:tc>
          <w:tcPr>
            <w:tcW w:type="dxa" w:w="1500"/>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+1.26%</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w:t>
            </w:r>
          </w:p>
        </w:tc>
        <w:tc>
          <w:tcPr>
            <w:tcW w:type="dxa" w:w="1349"/>
            <w:tcBorders>
              <w:top w:val="single" w:color="C8CDD6" w:sz="1"/>
              <w:left w:val="single" w:color="C8CDD6" w:sz="1"/>
              <w:bottom w:val="single" w:color="C8CDD6" w:sz="1"/>
              <w:right w:val="single" w:color="C8CDD6" w:sz="1"/>
            </w:tcBorders>
            <w:tcMar>
              <w:top w:type="dxa" w:w="40"/>
              <w:left w:type="dxa" w:w="80"/>
              <w:bottom w:type="dxa" w:w="40"/>
              <w:right w:type="dxa" w:w="80"/>
            </w:tcMar>
            <w:vAlign w:val="center"/>
          </w:tcPr>
          <w:p>
            <w:pPr>
              <w:jc w:val="center"/>
            </w:pPr>
            <w:r>
              <w:rPr>
                <w:rFonts w:ascii="Arial" w:cs="Arial" w:eastAsia="Arial" w:hAnsi="Arial"/>
                <w:b/>
                <w:bCs/>
                <w:color w:val="333333"/>
                <w:sz w:val="16"/>
                <w:szCs w:val="16"/>
              </w:rPr>
              <w:t xml:space="preserve">+8.58%</w:t>
            </w:r>
          </w:p>
        </w:tc>
      </w:tr>
    </w:tbl>
    <w:p>
      <w:pPr>
        <w:spacing w:after="60"/>
      </w:pPr>
    </w:p>
    <w:p>
      <w:pPr>
        <w:spacing w:after="100"/>
        <w:jc w:val="both"/>
      </w:pPr>
      <w:r>
        <w:rPr>
          <w:rFonts w:ascii="Arial" w:cs="Arial" w:eastAsia="Arial" w:hAnsi="Arial"/>
          <w:b/>
          <w:bCs/>
          <w:i w:val="false"/>
          <w:iCs w:val="false"/>
          <w:color w:val="333333"/>
          <w:sz w:val="18"/>
          <w:szCs w:val="18"/>
        </w:rPr>
        <w:t xml:space="preserve">Sequence A — from 0.00% to 1.26%: </w:t>
      </w:r>
      <w:r>
        <w:rPr>
          <w:rFonts w:ascii="Arial" w:cs="Arial" w:eastAsia="Arial" w:hAnsi="Arial"/>
          <w:b w:val="false"/>
          <w:bCs w:val="false"/>
          <w:i w:val="false"/>
          <w:iCs w:val="false"/>
          <w:color w:val="333333"/>
          <w:sz w:val="18"/>
          <w:szCs w:val="18"/>
        </w:rPr>
        <w:t xml:space="preserve">The continuous optimiser broke through by finding a heavily leveraged portfolio: short TCS (-1.26), short Reliance (-0.57), short SunPharma (-1.65), and long HDFCBANK (3.24×) and ITC (1.23×). This extreme leverage amplifies the portfolio’s expected return, giving a small fraction of paths enough explosive early growth to clear the Year 3 and Year 7 goals. The 1.26% success rate is still very low, but demonstrates that short-selling can extract marginal probability from an otherwise impossible problem.</w:t>
      </w:r>
    </w:p>
    <w:p>
      <w:pPr>
        <w:spacing w:after="100"/>
        <w:jc w:val="both"/>
      </w:pPr>
      <w:r>
        <w:rPr>
          <w:rFonts w:ascii="Arial" w:cs="Arial" w:eastAsia="Arial" w:hAnsi="Arial"/>
          <w:b/>
          <w:bCs/>
          <w:i w:val="false"/>
          <w:iCs w:val="false"/>
          <w:color w:val="333333"/>
          <w:sz w:val="18"/>
          <w:szCs w:val="18"/>
        </w:rPr>
        <w:t xml:space="preserve">Sequence B — from 54.94% to 63.52% (+8.58%): </w:t>
      </w:r>
      <w:r>
        <w:rPr>
          <w:rFonts w:ascii="Arial" w:cs="Arial" w:eastAsia="Arial" w:hAnsi="Arial"/>
          <w:b w:val="false"/>
          <w:bCs w:val="false"/>
          <w:i w:val="false"/>
          <w:iCs w:val="false"/>
          <w:color w:val="333333"/>
          <w:sz w:val="18"/>
          <w:szCs w:val="18"/>
        </w:rPr>
        <w:t xml:space="preserve">The continuous solution keeps heavy long positions in TCS (0.91) and Reliance (0.87), adds moderate HDFCBANK (0.26), and funds this by shorting SunPharma (-0.61) and ITC (-0.43) — the two lowest-return stocks. This is a textbook long-short construction: borrow from low-return assets to overweight high-return ones. The +8.58% improvement over brute-force comes entirely from accessing weight combinations that the discrete grid cannot represent.</w:t>
      </w:r>
    </w:p>
    <w:p>
      <w:pPr>
        <w:spacing w:after="60" w:before="120"/>
        <w:jc w:val="center"/>
      </w:pPr>
      <w:r>
        <w:rPr>
          <w:rFonts w:ascii="Arial" w:cs="Arial" w:eastAsia="Arial" w:hAnsi="Arial"/>
          <w:i/>
          <w:iCs/>
          <w:color w:val="1E5799"/>
          <w:sz w:val="20"/>
          <w:szCs w:val="20"/>
        </w:rPr>
        <w:t xml:space="preserve">[ INSERT IMAGE: Brute-Force vs Continuous Weight Bar Charts ]</w:t>
      </w:r>
    </w:p>
    <w:p>
      <w:pPr>
        <w:spacing w:after="120"/>
        <w:jc w:val="center"/>
      </w:pPr>
      <w:r>
        <w:rPr>
          <w:rFonts w:ascii="Arial" w:cs="Arial" w:eastAsia="Arial" w:hAnsi="Arial"/>
          <w:color w:val="666666"/>
          <w:sz w:val="14"/>
          <w:szCs w:val="14"/>
        </w:rPr>
        <w:t xml:space="preserve">Brute-Force vs Continuous Weight Bar Charts</w:t>
      </w:r>
    </w:p>
    <w:p>
      <w:pPr>
        <w:spacing w:after="60" w:before="120"/>
        <w:jc w:val="center"/>
      </w:pPr>
      <w:r>
        <w:rPr>
          <w:rFonts w:ascii="Arial" w:cs="Arial" w:eastAsia="Arial" w:hAnsi="Arial"/>
          <w:i/>
          <w:iCs/>
          <w:color w:val="1E5799"/>
          <w:sz w:val="20"/>
          <w:szCs w:val="20"/>
        </w:rPr>
        <w:t xml:space="preserve">[ INSERT IMAGE: Restart Convergence Plots ]</w:t>
      </w:r>
    </w:p>
    <w:p>
      <w:pPr>
        <w:spacing w:after="120"/>
        <w:jc w:val="center"/>
      </w:pPr>
      <w:r>
        <w:rPr>
          <w:rFonts w:ascii="Arial" w:cs="Arial" w:eastAsia="Arial" w:hAnsi="Arial"/>
          <w:color w:val="666666"/>
          <w:sz w:val="14"/>
          <w:szCs w:val="14"/>
        </w:rPr>
        <w:t xml:space="preserve">Restart Convergence Plots</w:t>
      </w:r>
    </w:p>
    <w:p>
      <w:pPr>
        <w:spacing w:after="100"/>
        <w:jc w:val="both"/>
      </w:pPr>
      <w:r>
        <w:rPr>
          <w:rFonts w:ascii="Arial" w:cs="Arial" w:eastAsia="Arial" w:hAnsi="Arial"/>
          <w:b/>
          <w:bCs/>
          <w:i w:val="false"/>
          <w:iCs w:val="false"/>
          <w:color w:val="333333"/>
          <w:sz w:val="18"/>
          <w:szCs w:val="18"/>
        </w:rPr>
        <w:t xml:space="preserve">Key takeaway: </w:t>
      </w:r>
      <w:r>
        <w:rPr>
          <w:rFonts w:ascii="Arial" w:cs="Arial" w:eastAsia="Arial" w:hAnsi="Arial"/>
          <w:b w:val="false"/>
          <w:bCs w:val="false"/>
          <w:i w:val="false"/>
          <w:iCs w:val="false"/>
          <w:color w:val="333333"/>
          <w:sz w:val="18"/>
          <w:szCs w:val="18"/>
        </w:rPr>
        <w:t xml:space="preserve">The continuous optimiser improves on brute-force in both sequences, but the nature of the improvement differs. For Sequence A, short-selling turns an impossible problem into a barely possible one (0% → 1.26%) through extreme leverage — theoretically interesting but practically risky. For Sequence B, it delivers a meaningful, implementable improvement (54.94% → 63.52%) through moderate long-short positioning. This contrast reinforces the Section 4 finding: the goal structure determines not just the optimal allocation, but the kind of strategy that can help.</w:t>
      </w:r>
    </w:p>
    <w:p>
      <w:pPr>
        <w:spacing w:after="100"/>
      </w:pPr>
    </w:p>
    <w:p>
      <w:pPr>
        <w:pBdr>
          <w:bottom w:val="single" w:color="C8CDD6" w:sz="4" w:space="1"/>
        </w:pBdr>
      </w:pPr>
    </w:p>
    <w:sectPr>
      <w:headerReference w:type="default" r:id="rId7"/>
      <w:footerReference w:type="default" r:id="rId8"/>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2"/>
        <w:szCs w:val="12"/>
      </w:rPr>
      <w:t xml:space="preserve">Tools: Python 3 – NumPy, Pandas, SciPy (SLSQP), Matplotlib, Seaborn | Data: NSE 10-Year Daily Returns (2,465 days, 5 stocks) | Page </w:t>
    </w:r>
    <w:r>
      <w:rPr>
        <w:rFonts w:ascii="Arial" w:cs="Arial" w:eastAsia="Arial" w:hAnsi="Arial"/>
        <w:color w:val="999999"/>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66666"/>
        <w:sz w:val="14"/>
        <w:szCs w:val="14"/>
      </w:rPr>
      <w:t xml:space="preserve">Goal-Based Portfolio Optimisation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2026-05-02T14:03:39.836Z</dcterms:created>
  <dcterms:modified xsi:type="dcterms:W3CDTF">2026-05-02T14:03:39.836Z</dcterms:modified>
</cp:coreProperties>
</file>

<file path=docProps/custom.xml><?xml version="1.0" encoding="utf-8"?>
<Properties xmlns="http://schemas.openxmlformats.org/officeDocument/2006/custom-properties" xmlns:vt="http://schemas.openxmlformats.org/officeDocument/2006/docPropsVTypes"/>
</file>