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8" w:line="230" w:lineRule="auto"/>
        <w:ind w:left="0" w:right="0" w:firstLine="0"/>
        <w:rPr>
          <w:rFonts w:ascii="Calibri" w:cs="Calibri" w:eastAsia="Calibri" w:hAnsi="Calibri"/>
          <w:b w:val="1"/>
          <w:sz w:val="28"/>
          <w:szCs w:val="28"/>
        </w:rPr>
      </w:pPr>
      <w:r>
        <w:rPr>
          <w:rFonts w:ascii="Calibri" w:cs="Calibri" w:eastAsia="Calibri" w:hAnsi="Calibri"/>
          <w:b w:val="1"/>
          <w:sz w:val="28"/>
          <w:szCs w:val="28"/>
          <w:rtl w:val="0"/>
        </w:rPr>
        <w:t xml:space="preserve">NAVEEN U S</w:t>
      </w:r>
      <w:r>
        <w:rPr>
          <w:rFonts w:ascii="Calibri" w:cs="Calibri" w:eastAsia="Calibri" w:hAnsi="Calibri"/>
          <w:b w:val="1"/>
          <w:sz w:val="22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6720000</wp:posOffset>
            </wp:positionH>
            <wp:positionV relativeFrom="page">
              <wp:posOffset>110000</wp:posOffset>
            </wp:positionV>
            <wp:extent cx="320000" cy="320000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00" cy="32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>
        <w:rPr>
          <w:rFonts w:ascii="Calibri" w:cs="Calibri" w:eastAsia="Calibri" w:hAnsi="Calibri"/>
          <w:b w:val="1"/>
          <w:sz w:val="22"/>
          <w:szCs w:val="22"/>
          <w:rtl w:val="0"/>
        </w:rPr>
        <w:t xml:space="preserve">  |  DA25M020  |  PR/12/DA/26/020  |  IIT MADRAS  |  </w:t>
      </w:r>
      <w:hyperlink r:id="rId29">
        <w:r>
          <w:rPr>
            <w:rFonts w:ascii="Calibri" w:cs="Calibri" w:eastAsia="Calibri" w:hAnsi="Calibri"/>
            <w:b w:val="1"/>
            <w:color w:val="2F5496"/>
            <w:sz w:val="22"/>
            <w:szCs w:val="22"/>
            <w:u w:val="single"/>
            <w:rtl w:val="0"/>
          </w:rPr>
          <w:t xml:space="preserve">GitHub</w:t>
        </w:r>
      </w:hyperlink>
      <w:r>
        <w:rPr>
          <w:rFonts w:ascii="Calibri" w:cs="Calibri" w:eastAsia="Calibri" w:hAnsi="Calibri"/>
          <w:b w:val="1"/>
          <w:sz w:val="22"/>
          <w:szCs w:val="22"/>
          <w:rtl w:val="0"/>
        </w:rPr>
        <w:t xml:space="preserve">  |  </w:t>
      </w:r>
      <w:hyperlink r:id="rId30">
        <w:r>
          <w:rPr>
            <w:rFonts w:ascii="Calibri" w:cs="Calibri" w:eastAsia="Calibri" w:hAnsi="Calibri"/>
            <w:b w:val="1"/>
            <w:color w:val="2F5496"/>
            <w:sz w:val="22"/>
            <w:szCs w:val="22"/>
            <w:u w:val="single"/>
            <w:rtl w:val="0"/>
          </w:rPr>
          <w:t xml:space="preserve">LinkedIn</w:t>
        </w:r>
      </w:hyperlink>
    </w:p>
    <w:tbl>
      <w:tblPr>
        <w:tblStyle w:val="Table1"/>
        <w:tblW w:w="11040" w:type="dxa"/>
        <w:jc w:val="left"/>
        <w:tblInd w:w="0" w:type="dxa"/>
        <w:tblBorders>
          <w:top w:color="2F5496" w:space="0" w:sz="4" w:val="single"/>
          <w:left w:color="2F5496" w:space="0" w:sz="4" w:val="single"/>
          <w:bottom w:color="2F5496" w:space="0" w:sz="4" w:val="single"/>
          <w:right w:color="2F5496" w:space="0" w:sz="4" w:val="single"/>
          <w:insideH w:color="2F5496" w:space="0" w:sz="4" w:val="single"/>
          <w:insideV w:color="2F5496" w:space="0" w:sz="4" w:val="single"/>
        </w:tblBorders>
        <w:tblLayout w:type="fixed"/>
        <w:tblCellMar>
          <w:top w:w="10" w:type="dxa"/>
          <w:left w:w="56" w:type="dxa"/>
          <w:bottom w:w="10" w:type="dxa"/>
          <w:right w:w="56" w:type="dxa"/>
        </w:tblCellMar>
        <w:tblLook w:val="0600"/>
      </w:tblPr>
      <w:tblGrid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</w:tblGrid>
      <w:tr>
        <w:trPr>
          <w:cantSplit w:val="1"/>
          <w:tblHeader w:val="0"/>
        </w:trPr>
        <w:tc>
          <w:tcPr>
            <w:tcW w:w="11040" w:type="dxa"/>
            <w:gridSpan w:val="24"/>
            <w:shd w:fill="1F3864" w:val="clear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EDUCATION AND SCHOLASTIC ACHIEVEMENTS</w:t>
            </w:r>
          </w:p>
        </w:tc>
      </w:tr>
      <w:tr>
        <w:trPr>
          <w:cantSplit w:val="1"/>
          <w:tblHeader w:val="0"/>
        </w:trPr>
        <w:tc>
          <w:tcPr>
            <w:tcW w:w="4140" w:type="dxa"/>
            <w:gridSpan w:val="9"/>
            <w:shd w:fill="D9E2F3" w:val="clear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Program</w:t>
            </w:r>
          </w:p>
        </w:tc>
        <w:tc>
          <w:tcPr>
            <w:tcW w:w="4140" w:type="dxa"/>
            <w:gridSpan w:val="9"/>
            <w:shd w:fill="D9E2F3" w:val="clear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Institute</w:t>
            </w:r>
          </w:p>
        </w:tc>
        <w:tc>
          <w:tcPr>
            <w:tcW w:w="1380" w:type="dxa"/>
            <w:gridSpan w:val="3"/>
            <w:shd w:fill="D9E2F3" w:val="clear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% / CGPA</w:t>
            </w:r>
          </w:p>
        </w:tc>
        <w:tc>
          <w:tcPr>
            <w:tcW w:w="1380" w:type="dxa"/>
            <w:gridSpan w:val="3"/>
            <w:shd w:fill="D9E2F3" w:val="clear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Year</w:t>
            </w:r>
          </w:p>
        </w:tc>
      </w:tr>
      <w:tr>
        <w:trPr>
          <w:cantSplit w:val="1"/>
          <w:tblHeader w:val="0"/>
        </w:trPr>
        <w:tc>
          <w:tcPr>
            <w:tcW w:w="4140" w:type="dxa"/>
            <w:gridSpan w:val="9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M.Tech in Data Science and Artificial Intelligence</w:t>
            </w:r>
          </w:p>
        </w:tc>
        <w:tc>
          <w:tcPr>
            <w:tcW w:w="4140" w:type="dxa"/>
            <w:gridSpan w:val="9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Indian Institute of Technology, Madras</w:t>
            </w:r>
          </w:p>
        </w:tc>
        <w:tc>
          <w:tcPr>
            <w:tcW w:w="1380" w:type="dxa"/>
            <w:gridSpan w:val="3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8.35</w:t>
            </w:r>
          </w:p>
        </w:tc>
        <w:tc>
          <w:tcPr>
            <w:tcW w:w="1380" w:type="dxa"/>
            <w:gridSpan w:val="3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2027</w:t>
            </w:r>
          </w:p>
        </w:tc>
      </w:tr>
      <w:tr>
        <w:trPr>
          <w:cantSplit w:val="1"/>
          <w:tblHeader w:val="0"/>
        </w:trPr>
        <w:tc>
          <w:tcPr>
            <w:tcW w:w="4140" w:type="dxa"/>
            <w:gridSpan w:val="9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B.Tech in Electrical and Computer Engineering (</w:t>
            </w:r>
            <w:hyperlink r:id="rId20">
              <w:r>
                <w:rPr>
                  <w:rFonts w:ascii="Calibri" w:cs="Calibri" w:eastAsia="Calibri" w:hAnsi="Calibri"/>
                  <w:color w:val="2F5496"/>
                  <w:sz w:val="20"/>
                  <w:szCs w:val="20"/>
                  <w:u w:val="single"/>
                  <w:rtl w:val="0"/>
                </w:rPr>
                <w:t xml:space="preserve">proof</w:t>
              </w:r>
            </w:hyperlink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W w:w="4140" w:type="dxa"/>
            <w:gridSpan w:val="9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Amrita Vishwa Vidyapeetham, Coimbatore</w:t>
            </w:r>
          </w:p>
        </w:tc>
        <w:tc>
          <w:tcPr>
            <w:tcW w:w="1380" w:type="dxa"/>
            <w:gridSpan w:val="3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8.48</w:t>
            </w:r>
          </w:p>
        </w:tc>
        <w:tc>
          <w:tcPr>
            <w:tcW w:w="1380" w:type="dxa"/>
            <w:gridSpan w:val="3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2024</w:t>
            </w:r>
          </w:p>
        </w:tc>
      </w:tr>
      <w:tr>
        <w:trPr>
          <w:cantSplit w:val="1"/>
          <w:tblHeader w:val="0"/>
        </w:trPr>
        <w:tc>
          <w:tcPr>
            <w:tcW w:w="4140" w:type="dxa"/>
            <w:gridSpan w:val="9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Class XII (</w:t>
            </w:r>
            <w:hyperlink r:id="rId21">
              <w:r>
                <w:rPr>
                  <w:rFonts w:ascii="Calibri" w:cs="Calibri" w:eastAsia="Calibri" w:hAnsi="Calibri"/>
                  <w:color w:val="2F5496"/>
                  <w:sz w:val="20"/>
                  <w:szCs w:val="20"/>
                  <w:u w:val="single"/>
                  <w:rtl w:val="0"/>
                </w:rPr>
                <w:t xml:space="preserve">proof</w:t>
              </w:r>
            </w:hyperlink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W w:w="4140" w:type="dxa"/>
            <w:gridSpan w:val="9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Sri Chaitanya Jr Kalasala, Hyderabad</w:t>
            </w:r>
          </w:p>
        </w:tc>
        <w:tc>
          <w:tcPr>
            <w:tcW w:w="1380" w:type="dxa"/>
            <w:gridSpan w:val="3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83.5%</w:t>
            </w:r>
          </w:p>
        </w:tc>
        <w:tc>
          <w:tcPr>
            <w:tcW w:w="1380" w:type="dxa"/>
            <w:gridSpan w:val="3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2019</w:t>
            </w:r>
          </w:p>
        </w:tc>
      </w:tr>
      <w:tr>
        <w:trPr>
          <w:cantSplit w:val="1"/>
          <w:tblHeader w:val="0"/>
        </w:trPr>
        <w:tc>
          <w:tcPr>
            <w:tcW w:w="4140" w:type="dxa"/>
            <w:gridSpan w:val="9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Class X (CBSE) (</w:t>
            </w:r>
            <w:hyperlink r:id="rId22">
              <w:r>
                <w:rPr>
                  <w:rFonts w:ascii="Calibri" w:cs="Calibri" w:eastAsia="Calibri" w:hAnsi="Calibri"/>
                  <w:color w:val="2F5496"/>
                  <w:sz w:val="20"/>
                  <w:szCs w:val="20"/>
                  <w:u w:val="single"/>
                  <w:rtl w:val="0"/>
                </w:rPr>
                <w:t xml:space="preserve">proof</w:t>
              </w:r>
            </w:hyperlink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W w:w="4140" w:type="dxa"/>
            <w:gridSpan w:val="9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Chettinad Vidya Mandir, Karur</w:t>
            </w:r>
          </w:p>
        </w:tc>
        <w:tc>
          <w:tcPr>
            <w:tcW w:w="1380" w:type="dxa"/>
            <w:gridSpan w:val="3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10.00</w:t>
            </w:r>
          </w:p>
        </w:tc>
        <w:tc>
          <w:tcPr>
            <w:tcW w:w="1380" w:type="dxa"/>
            <w:gridSpan w:val="3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2017</w:t>
            </w:r>
          </w:p>
        </w:tc>
      </w:tr>
      <w:tr>
        <w:trPr>
          <w:cantSplit w:val="1"/>
          <w:tblHeader w:val="0"/>
        </w:trPr>
        <w:tc>
          <w:tcPr>
            <w:tcW w:w="1840" w:type="dxa"/>
            <w:gridSpan w:val="4"/>
            <w:shd w:fill="D9E2F3" w:val="clear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SCHOLASTIC</w:t>
            </w:r>
          </w:p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ACHIEVEMENTS</w:t>
            </w:r>
          </w:p>
        </w:tc>
        <w:tc>
          <w:tcPr>
            <w:tcW w:w="8280" w:type="dxa"/>
            <w:gridSpan w:val="18"/>
            <w:vAlign w:val="center"/>
          </w:tcPr>
          <w:p>
            <w:pPr>
              <w:numPr>
                <w:ilvl w:val="0"/>
                <w:numId w:val="3"/>
              </w:numPr>
              <w:spacing w:before="0" w:after="2" w:line="220" w:lineRule="auto"/>
              <w:ind w:left="158" w:right="0" w:hanging="158"/>
              <w:contextualSpacing w:val="1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All India Rank 134 (top 0.23%)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in GATE 2025 Data Science and AI (</w:t>
            </w:r>
            <w:hyperlink r:id="rId28">
              <w:r>
                <w:rPr>
                  <w:rFonts w:ascii="Calibri" w:cs="Calibri" w:eastAsia="Calibri" w:hAnsi="Calibri"/>
                  <w:color w:val="2F5496"/>
                  <w:sz w:val="20"/>
                  <w:szCs w:val="20"/>
                  <w:u w:val="single"/>
                  <w:rtl w:val="0"/>
                </w:rPr>
                <w:t xml:space="preserve">proof</w:t>
              </w:r>
            </w:hyperlink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  <w:p>
            <w:pPr>
              <w:numPr>
                <w:ilvl w:val="0"/>
                <w:numId w:val="3"/>
              </w:numPr>
              <w:spacing w:before="0" w:after="2" w:line="220" w:lineRule="auto"/>
              <w:ind w:left="158" w:right="0" w:hanging="158"/>
              <w:contextualSpacing w:val="1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Runner-up, Extension Mania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– YouTube productivity monitor on the OpenAI API</w:t>
            </w:r>
          </w:p>
        </w:tc>
        <w:tc>
          <w:tcPr>
            <w:tcW w:w="920" w:type="dxa"/>
            <w:gridSpan w:val="2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2025</w:t>
            </w:r>
          </w:p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2024</w:t>
            </w:r>
          </w:p>
        </w:tc>
      </w:tr>
      <w:tr>
        <w:trPr>
          <w:cantSplit w:val="1"/>
          <w:tblHeader w:val="0"/>
        </w:trPr>
        <w:tc>
          <w:tcPr>
            <w:tcW w:w="11040" w:type="dxa"/>
            <w:gridSpan w:val="24"/>
            <w:shd w:fill="1F3864" w:val="clear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SKILLS</w:t>
            </w:r>
          </w:p>
        </w:tc>
      </w:tr>
      <w:tr>
        <w:trPr>
          <w:cantSplit w:val="1"/>
          <w:tblHeader w:val="0"/>
        </w:trPr>
        <w:tc>
          <w:tcPr>
            <w:tcW w:w="1840" w:type="dxa"/>
            <w:gridSpan w:val="4"/>
            <w:shd w:fill="D9E2F3" w:val="clear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Languages</w:t>
            </w:r>
          </w:p>
        </w:tc>
        <w:tc>
          <w:tcPr>
            <w:tcW w:w="1840" w:type="dxa"/>
            <w:gridSpan w:val="4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Python</w:t>
            </w:r>
          </w:p>
        </w:tc>
        <w:tc>
          <w:tcPr>
            <w:tcW w:w="1840" w:type="dxa"/>
            <w:gridSpan w:val="4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SQL</w:t>
            </w:r>
          </w:p>
        </w:tc>
        <w:tc>
          <w:tcPr>
            <w:tcW w:w="1840" w:type="dxa"/>
            <w:gridSpan w:val="4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W w:w="1840" w:type="dxa"/>
            <w:gridSpan w:val="4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C++</w:t>
            </w:r>
          </w:p>
        </w:tc>
        <w:tc>
          <w:tcPr>
            <w:tcW w:w="1840" w:type="dxa"/>
            <w:gridSpan w:val="4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JavaScript</w:t>
            </w:r>
          </w:p>
        </w:tc>
      </w:tr>
      <w:tr>
        <w:trPr>
          <w:cantSplit w:val="1"/>
          <w:tblHeader w:val="0"/>
        </w:trPr>
        <w:tc>
          <w:tcPr>
            <w:tcW w:w="1840" w:type="dxa"/>
            <w:gridSpan w:val="4"/>
            <w:shd w:fill="D9E2F3" w:val="clear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GenAI &amp; Agentic</w:t>
            </w:r>
          </w:p>
        </w:tc>
        <w:tc>
          <w:tcPr>
            <w:tcW w:w="1840" w:type="dxa"/>
            <w:gridSpan w:val="4"/>
            <w:shd w:fill="EDF2FA" w:val="clear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LangChain</w:t>
            </w:r>
          </w:p>
        </w:tc>
        <w:tc>
          <w:tcPr>
            <w:tcW w:w="1840" w:type="dxa"/>
            <w:gridSpan w:val="4"/>
            <w:shd w:fill="EDF2FA" w:val="clear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LangGraph</w:t>
            </w:r>
          </w:p>
        </w:tc>
        <w:tc>
          <w:tcPr>
            <w:tcW w:w="1840" w:type="dxa"/>
            <w:gridSpan w:val="4"/>
            <w:shd w:fill="EDF2FA" w:val="clear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RAG</w:t>
            </w: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vertAlign w:val="superscript"/>
                <w:rtl w:val="0"/>
              </w:rPr>
              <w:t xml:space="preserve">3</w:t>
            </w:r>
          </w:p>
        </w:tc>
        <w:tc>
          <w:tcPr>
            <w:tcW w:w="1840" w:type="dxa"/>
            <w:gridSpan w:val="4"/>
            <w:shd w:fill="EDF2FA" w:val="clear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MCP</w:t>
            </w: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vertAlign w:val="superscript"/>
                <w:rtl w:val="0"/>
              </w:rPr>
              <w:t xml:space="preserve">2</w:t>
            </w:r>
          </w:p>
        </w:tc>
        <w:tc>
          <w:tcPr>
            <w:tcW w:w="1840" w:type="dxa"/>
            <w:gridSpan w:val="4"/>
            <w:shd w:fill="EDF2FA" w:val="clear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HuggingFace</w:t>
            </w:r>
          </w:p>
        </w:tc>
      </w:tr>
      <w:tr>
        <w:trPr>
          <w:cantSplit w:val="1"/>
          <w:tblHeader w:val="0"/>
        </w:trPr>
        <w:tc>
          <w:tcPr>
            <w:tcW w:w="1840" w:type="dxa"/>
            <w:gridSpan w:val="4"/>
            <w:shd w:fill="D9E2F3" w:val="clear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ML &amp; DL</w:t>
            </w:r>
          </w:p>
        </w:tc>
        <w:tc>
          <w:tcPr>
            <w:tcW w:w="1840" w:type="dxa"/>
            <w:gridSpan w:val="4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PyTorch</w:t>
            </w:r>
          </w:p>
        </w:tc>
        <w:tc>
          <w:tcPr>
            <w:tcW w:w="1840" w:type="dxa"/>
            <w:gridSpan w:val="4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scikit-learn</w:t>
            </w:r>
          </w:p>
        </w:tc>
        <w:tc>
          <w:tcPr>
            <w:tcW w:w="1840" w:type="dxa"/>
            <w:gridSpan w:val="4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NumPy / Pandas</w:t>
            </w:r>
          </w:p>
        </w:tc>
        <w:tc>
          <w:tcPr>
            <w:tcW w:w="1840" w:type="dxa"/>
            <w:gridSpan w:val="4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Matplotlib</w:t>
            </w:r>
          </w:p>
        </w:tc>
        <w:tc>
          <w:tcPr>
            <w:tcW w:w="1840" w:type="dxa"/>
            <w:gridSpan w:val="4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Gemini / OpenAI</w:t>
            </w:r>
          </w:p>
        </w:tc>
      </w:tr>
      <w:tr>
        <w:trPr>
          <w:cantSplit w:val="1"/>
          <w:tblHeader w:val="0"/>
        </w:trPr>
        <w:tc>
          <w:tcPr>
            <w:tcW w:w="1840" w:type="dxa"/>
            <w:gridSpan w:val="4"/>
            <w:shd w:fill="D9E2F3" w:val="clear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Backend &amp; Data</w:t>
            </w:r>
          </w:p>
        </w:tc>
        <w:tc>
          <w:tcPr>
            <w:tcW w:w="1840" w:type="dxa"/>
            <w:gridSpan w:val="4"/>
            <w:shd w:fill="EDF2FA" w:val="clear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FastAPI</w:t>
            </w:r>
          </w:p>
        </w:tc>
        <w:tc>
          <w:tcPr>
            <w:tcW w:w="1840" w:type="dxa"/>
            <w:gridSpan w:val="4"/>
            <w:shd w:fill="EDF2FA" w:val="clear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PostgreSQL (pgvector)</w:t>
            </w:r>
          </w:p>
        </w:tc>
        <w:tc>
          <w:tcPr>
            <w:tcW w:w="1840" w:type="dxa"/>
            <w:gridSpan w:val="4"/>
            <w:shd w:fill="EDF2FA" w:val="clear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Neo4j</w:t>
            </w:r>
          </w:p>
        </w:tc>
        <w:tc>
          <w:tcPr>
            <w:tcW w:w="1840" w:type="dxa"/>
            <w:gridSpan w:val="4"/>
            <w:shd w:fill="EDF2FA" w:val="clear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ChromaDB / Redis</w:t>
            </w:r>
          </w:p>
        </w:tc>
        <w:tc>
          <w:tcPr>
            <w:tcW w:w="1840" w:type="dxa"/>
            <w:gridSpan w:val="4"/>
            <w:shd w:fill="EDF2FA" w:val="clear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Firestore</w:t>
            </w:r>
          </w:p>
        </w:tc>
      </w:tr>
      <w:tr>
        <w:trPr>
          <w:cantSplit w:val="1"/>
          <w:tblHeader w:val="0"/>
        </w:trPr>
        <w:tc>
          <w:tcPr>
            <w:tcW w:w="1840" w:type="dxa"/>
            <w:gridSpan w:val="4"/>
            <w:shd w:fill="D9E2F3" w:val="clear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Cloud &amp; Tooling</w:t>
            </w:r>
          </w:p>
        </w:tc>
        <w:tc>
          <w:tcPr>
            <w:tcW w:w="1840" w:type="dxa"/>
            <w:gridSpan w:val="4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Docker</w:t>
            </w:r>
          </w:p>
        </w:tc>
        <w:tc>
          <w:tcPr>
            <w:tcW w:w="1840" w:type="dxa"/>
            <w:gridSpan w:val="4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Google Cloud Run</w:t>
            </w:r>
          </w:p>
        </w:tc>
        <w:tc>
          <w:tcPr>
            <w:tcW w:w="1840" w:type="dxa"/>
            <w:gridSpan w:val="4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Vertex AI</w:t>
            </w:r>
          </w:p>
        </w:tc>
        <w:tc>
          <w:tcPr>
            <w:tcW w:w="1840" w:type="dxa"/>
            <w:gridSpan w:val="4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Git / GitHub</w:t>
            </w:r>
          </w:p>
        </w:tc>
        <w:tc>
          <w:tcPr>
            <w:tcW w:w="1840" w:type="dxa"/>
            <w:gridSpan w:val="4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LangSmith</w:t>
            </w:r>
          </w:p>
        </w:tc>
      </w:tr>
      <w:tr>
        <w:trPr>
          <w:cantSplit w:val="1"/>
          <w:tblHeader w:val="0"/>
        </w:trPr>
        <w:tc>
          <w:tcPr>
            <w:tcW w:w="11040" w:type="dxa"/>
            <w:gridSpan w:val="24"/>
            <w:shd w:fill="1F3864" w:val="clear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PROFESSIONAL EXPERIENCE</w:t>
            </w:r>
          </w:p>
        </w:tc>
      </w:tr>
      <w:tr>
        <w:trPr>
          <w:cantSplit w:val="1"/>
          <w:tblHeader w:val="0"/>
        </w:trPr>
        <w:tc>
          <w:tcPr>
            <w:tcW w:w="1840" w:type="dxa"/>
            <w:gridSpan w:val="4"/>
            <w:shd w:fill="D9E2F3" w:val="clear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Walmart (</w:t>
            </w:r>
            <w:hyperlink r:id="rId23">
              <w:r>
                <w:rPr>
                  <w:rFonts w:ascii="Calibri" w:cs="Calibri" w:eastAsia="Calibri" w:hAnsi="Calibri"/>
                  <w:b w:val="1"/>
                  <w:bCs w:val="1"/>
                  <w:color w:val="2F5496"/>
                  <w:sz w:val="20"/>
                  <w:szCs w:val="20"/>
                  <w:u w:val="single"/>
                  <w:rtl w:val="0"/>
                </w:rPr>
                <w:t xml:space="preserve">proof</w:t>
              </w:r>
            </w:hyperlink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Generative AI Intern</w:t>
            </w:r>
          </w:p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(Aug'26 – Present)</w:t>
            </w:r>
          </w:p>
        </w:tc>
        <w:tc>
          <w:tcPr>
            <w:tcW w:w="9200" w:type="dxa"/>
            <w:gridSpan w:val="20"/>
            <w:vAlign w:val="top"/>
          </w:tcPr>
          <w:p>
            <w:pPr>
              <w:spacing w:before="0" w:after="2" w:line="220" w:lineRule="auto"/>
              <w:ind w:left="0" w:right="0" w:hanging="0"/>
              <w:contextualSpacing w:val="1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Agentic SLM</w:t>
            </w:r>
            <w:r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vertAlign w:val="superscript"/>
                <w:rtl w:val="0"/>
              </w:rPr>
              <w:t xml:space="preserve">1</w:t>
            </w:r>
            <w:r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framework for autonomous multimodal drift detection and remediation</w:t>
            </w:r>
          </w:p>
          <w:p>
            <w:pPr>
              <w:numPr>
                <w:ilvl w:val="0"/>
                <w:numId w:val="3"/>
              </w:numPr>
              <w:spacing w:before="0" w:after="2" w:line="220" w:lineRule="auto"/>
              <w:ind w:left="158" w:right="0" w:hanging="158"/>
              <w:contextualSpacing w:val="1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Developing an agentic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Small Language Model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with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MCP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vertAlign w:val="superscript"/>
                <w:rtl w:val="0"/>
              </w:rPr>
              <w:t xml:space="preserve">2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access to monitoring, data and model tools</w:t>
            </w:r>
          </w:p>
          <w:p>
            <w:pPr>
              <w:numPr>
                <w:ilvl w:val="0"/>
                <w:numId w:val="3"/>
              </w:numPr>
              <w:spacing w:before="0" w:after="2" w:line="220" w:lineRule="auto"/>
              <w:ind w:left="158" w:right="0" w:hanging="158"/>
              <w:contextualSpacing w:val="1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Extending drift monitoring from alert-only dashboards to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agent-triggered diagnosis and remediation</w:t>
            </w:r>
          </w:p>
        </w:tc>
      </w:tr>
      <w:tr>
        <w:trPr>
          <w:cantSplit w:val="1"/>
          <w:tblHeader w:val="0"/>
        </w:trPr>
        <w:tc>
          <w:tcPr>
            <w:tcW w:w="1840" w:type="dxa"/>
            <w:gridSpan w:val="4"/>
            <w:shd w:fill="D9E2F3" w:val="clear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Expedia Group (</w:t>
            </w:r>
            <w:hyperlink r:id="rId24">
              <w:r>
                <w:rPr>
                  <w:rFonts w:ascii="Calibri" w:cs="Calibri" w:eastAsia="Calibri" w:hAnsi="Calibri"/>
                  <w:b w:val="1"/>
                  <w:bCs w:val="1"/>
                  <w:color w:val="2F5496"/>
                  <w:sz w:val="20"/>
                  <w:szCs w:val="20"/>
                  <w:u w:val="single"/>
                  <w:rtl w:val="0"/>
                </w:rPr>
                <w:t xml:space="preserve">proof</w:t>
              </w:r>
            </w:hyperlink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Machine Learning Science Intern</w:t>
            </w:r>
          </w:p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(Jun – Jul'26)</w:t>
            </w:r>
          </w:p>
        </w:tc>
        <w:tc>
          <w:tcPr>
            <w:tcW w:w="9200" w:type="dxa"/>
            <w:gridSpan w:val="20"/>
            <w:shd w:fill="EDF2FA" w:val="clear"/>
            <w:vAlign w:val="top"/>
          </w:tcPr>
          <w:p>
            <w:pPr>
              <w:spacing w:before="0" w:after="2" w:line="220" w:lineRule="auto"/>
              <w:ind w:left="0" w:right="0" w:hanging="0"/>
              <w:contextualSpacing w:val="1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Cold-start insurance recommendation – related-product transfer and Bayesian intercept updating</w:t>
            </w:r>
          </w:p>
          <w:p>
            <w:pPr>
              <w:numPr>
                <w:ilvl w:val="0"/>
                <w:numId w:val="3"/>
              </w:numPr>
              <w:spacing w:before="0" w:after="2" w:line="220" w:lineRule="auto"/>
              <w:ind w:left="158" w:right="0" w:hanging="158"/>
              <w:contextualSpacing w:val="1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Benchmarked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8 day-zero strategies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for cold-starting a product head in a discrete-treatment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TARNet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vertAlign w:val="superscript"/>
                <w:rtl w:val="0"/>
              </w:rPr>
              <w:t xml:space="preserve">4</w:t>
            </w:r>
          </w:p>
          <w:p>
            <w:pPr>
              <w:numPr>
                <w:ilvl w:val="0"/>
                <w:numId w:val="3"/>
              </w:numPr>
              <w:spacing w:before="0" w:after="2" w:line="220" w:lineRule="auto"/>
              <w:ind w:left="158" w:right="0" w:hanging="158"/>
              <w:contextualSpacing w:val="1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Cut day-zero attach error from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0.083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to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0.0019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at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0.655 ROC-AUC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vertAlign w:val="superscript"/>
                <w:rtl w:val="0"/>
              </w:rPr>
              <w:t xml:space="preserve">5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via same-market score transfer</w:t>
            </w:r>
          </w:p>
          <w:p>
            <w:pPr>
              <w:numPr>
                <w:ilvl w:val="0"/>
                <w:numId w:val="3"/>
              </w:numPr>
              <w:spacing w:before="0" w:after="2" w:line="220" w:lineRule="auto"/>
              <w:ind w:left="158" w:right="0" w:hanging="158"/>
              <w:contextualSpacing w:val="1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Designed an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anchor-centered Bayesian updater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learning one scalar intercept, not a full product head</w:t>
            </w:r>
          </w:p>
        </w:tc>
      </w:tr>
      <w:tr>
        <w:trPr>
          <w:cantSplit w:val="1"/>
          <w:tblHeader w:val="0"/>
        </w:trPr>
        <w:tc>
          <w:tcPr>
            <w:tcW w:w="1840" w:type="dxa"/>
            <w:gridSpan w:val="4"/>
            <w:shd w:fill="D9E2F3" w:val="clear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Valeo (</w:t>
            </w:r>
            <w:hyperlink r:id="rId25">
              <w:r>
                <w:rPr>
                  <w:rFonts w:ascii="Calibri" w:cs="Calibri" w:eastAsia="Calibri" w:hAnsi="Calibri"/>
                  <w:b w:val="1"/>
                  <w:bCs w:val="1"/>
                  <w:color w:val="2F5496"/>
                  <w:sz w:val="20"/>
                  <w:szCs w:val="20"/>
                  <w:u w:val="single"/>
                  <w:rtl w:val="0"/>
                </w:rPr>
                <w:t xml:space="preserve">proof</w:t>
              </w:r>
            </w:hyperlink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Software Developer Intern</w:t>
            </w:r>
          </w:p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(Jan – Jun'24)</w:t>
            </w:r>
          </w:p>
        </w:tc>
        <w:tc>
          <w:tcPr>
            <w:tcW w:w="9200" w:type="dxa"/>
            <w:gridSpan w:val="20"/>
            <w:vAlign w:val="top"/>
          </w:tcPr>
          <w:p>
            <w:pPr>
              <w:spacing w:before="0" w:after="2" w:line="220" w:lineRule="auto"/>
              <w:ind w:left="0" w:right="0" w:hanging="0"/>
              <w:contextualSpacing w:val="1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AUTOSAR</w:t>
            </w:r>
            <w:r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vertAlign w:val="superscript"/>
                <w:rtl w:val="0"/>
              </w:rPr>
              <w:t xml:space="preserve">6</w:t>
            </w:r>
            <w:r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-compliant ECU</w:t>
            </w:r>
            <w:r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vertAlign w:val="superscript"/>
                <w:rtl w:val="0"/>
              </w:rPr>
              <w:t xml:space="preserve">7</w:t>
            </w:r>
            <w:r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software for BMW vehicle platforms</w:t>
            </w:r>
          </w:p>
          <w:p>
            <w:pPr>
              <w:numPr>
                <w:ilvl w:val="0"/>
                <w:numId w:val="3"/>
              </w:numPr>
              <w:spacing w:before="0" w:after="2" w:line="220" w:lineRule="auto"/>
              <w:ind w:left="158" w:right="0" w:hanging="158"/>
              <w:contextualSpacing w:val="1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Developed and optimised AUTOSAR ECU software in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C++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under production automotive review standards</w:t>
            </w:r>
          </w:p>
          <w:p>
            <w:pPr>
              <w:numPr>
                <w:ilvl w:val="0"/>
                <w:numId w:val="3"/>
              </w:numPr>
              <w:spacing w:before="0" w:after="2" w:line="220" w:lineRule="auto"/>
              <w:ind w:left="158" w:right="0" w:hanging="158"/>
              <w:contextualSpacing w:val="1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Implemented a custom std::map-based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FsVectorMap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container, cutting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ECU memory usage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on BMW builds</w:t>
            </w:r>
          </w:p>
        </w:tc>
      </w:tr>
      <w:tr>
        <w:trPr>
          <w:cantSplit w:val="1"/>
          <w:tblHeader w:val="0"/>
        </w:trPr>
        <w:tc>
          <w:tcPr>
            <w:tcW w:w="11040" w:type="dxa"/>
            <w:gridSpan w:val="24"/>
            <w:shd w:fill="1F3864" w:val="clear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PROJECTS</w:t>
            </w:r>
          </w:p>
        </w:tc>
      </w:tr>
      <w:tr>
        <w:trPr>
          <w:cantSplit w:val="1"/>
          <w:tblHeader w:val="0"/>
        </w:trPr>
        <w:tc>
          <w:tcPr>
            <w:tcW w:w="1840" w:type="dxa"/>
            <w:gridSpan w:val="4"/>
            <w:shd w:fill="D9E2F3" w:val="clear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MRHA (</w:t>
            </w:r>
            <w:hyperlink r:id="rId31">
              <w:r>
                <w:rPr>
                  <w:rFonts w:ascii="Calibri" w:cs="Calibri" w:eastAsia="Calibri" w:hAnsi="Calibri"/>
                  <w:b w:val="1"/>
                  <w:bCs w:val="1"/>
                  <w:color w:val="2F5496"/>
                  <w:sz w:val="20"/>
                  <w:szCs w:val="20"/>
                  <w:u w:val="single"/>
                  <w:rtl w:val="0"/>
                </w:rPr>
                <w:t xml:space="preserve">Github</w:t>
              </w:r>
            </w:hyperlink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Research Harness</w:t>
            </w:r>
          </w:p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(Sep'26 – Present)</w:t>
            </w:r>
          </w:p>
        </w:tc>
        <w:tc>
          <w:tcPr>
            <w:tcW w:w="9200" w:type="dxa"/>
            <w:gridSpan w:val="20"/>
            <w:vAlign w:val="top"/>
          </w:tcPr>
          <w:p>
            <w:pPr>
              <w:spacing w:before="0" w:after="2" w:line="220" w:lineRule="auto"/>
              <w:ind w:left="0" w:right="0" w:hanging="0"/>
              <w:contextualSpacing w:val="1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Open chart-VQA stress harness for multimodal reward hacking / proxy–true divergence</w:t>
            </w:r>
          </w:p>
          <w:p>
            <w:pPr>
              <w:numPr>
                <w:ilvl w:val="0"/>
                <w:numId w:val="3"/>
              </w:numPr>
              <w:spacing w:before="0" w:after="2" w:line="220" w:lineRule="auto"/>
              <w:ind w:left="158" w:right="0" w:hanging="158"/>
              <w:contextualSpacing w:val="1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Built executable-oracle attacks (evidence and judge-bait) with dual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invariance / re-answer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protocols</w:t>
            </w:r>
          </w:p>
          <w:p>
            <w:pPr>
              <w:numPr>
                <w:ilvl w:val="0"/>
                <w:numId w:val="3"/>
              </w:numPr>
              <w:spacing w:before="0" w:after="2" w:line="220" w:lineRule="auto"/>
              <w:ind w:left="158" w:right="0" w:hanging="158"/>
              <w:contextualSpacing w:val="1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Implements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RHR / blind-spot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metrics and an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MLX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runner for local VLMs</w:t>
            </w:r>
          </w:p>
        </w:tc>
      </w:tr>
      <w:tr>
        <w:trPr>
          <w:cantSplit w:val="1"/>
          <w:tblHeader w:val="0"/>
        </w:trPr>
        <w:tc>
          <w:tcPr>
            <w:tcW w:w="1840" w:type="dxa"/>
            <w:gridSpan w:val="4"/>
            <w:shd w:fill="D9E2F3" w:val="clear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TubeFocus (</w:t>
            </w:r>
            <w:hyperlink r:id="rId26">
              <w:r>
                <w:rPr>
                  <w:rFonts w:ascii="Calibri" w:cs="Calibri" w:eastAsia="Calibri" w:hAnsi="Calibri"/>
                  <w:b w:val="1"/>
                  <w:bCs w:val="1"/>
                  <w:color w:val="2F5496"/>
                  <w:sz w:val="20"/>
                  <w:szCs w:val="20"/>
                  <w:u w:val="single"/>
                  <w:rtl w:val="0"/>
                </w:rPr>
                <w:t xml:space="preserve">Github</w:t>
              </w:r>
            </w:hyperlink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Chrome Extension</w:t>
            </w:r>
          </w:p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(Jul'25 – Present)</w:t>
            </w:r>
          </w:p>
        </w:tc>
        <w:tc>
          <w:tcPr>
            <w:tcW w:w="9200" w:type="dxa"/>
            <w:gridSpan w:val="20"/>
            <w:shd w:fill="EDF2FA" w:val="clear"/>
            <w:vAlign w:val="top"/>
          </w:tcPr>
          <w:p>
            <w:pPr>
              <w:spacing w:before="0" w:after="2" w:line="220" w:lineRule="auto"/>
              <w:ind w:left="0" w:right="0" w:hanging="0"/>
              <w:contextualSpacing w:val="1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Multi-agent attention guardrail that rewrites YouTube in real time from semantic relevance</w:t>
            </w:r>
          </w:p>
          <w:p>
            <w:pPr>
              <w:numPr>
                <w:ilvl w:val="0"/>
                <w:numId w:val="3"/>
              </w:numPr>
              <w:spacing w:before="0" w:after="2" w:line="220" w:lineRule="auto"/>
              <w:ind w:left="158" w:right="0" w:hanging="158"/>
              <w:contextualSpacing w:val="1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Built a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3-agent LangGraph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system (Librarian, Navigator, Coach) on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Gemini 2.0 Flash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; UI in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&lt;400 ms</w:t>
            </w:r>
          </w:p>
          <w:p>
            <w:pPr>
              <w:numPr>
                <w:ilvl w:val="0"/>
                <w:numId w:val="3"/>
              </w:numPr>
              <w:spacing w:before="0" w:after="2" w:line="220" w:lineRule="auto"/>
              <w:ind w:left="158" w:right="0" w:hanging="158"/>
              <w:contextualSpacing w:val="1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RAG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vertAlign w:val="superscript"/>
                <w:rtl w:val="0"/>
              </w:rPr>
              <w:t xml:space="preserve">3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over watch-history transcripts in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Firestore Vector Search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;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Shadow DOM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avoids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CSP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1"/>
          <w:tblHeader w:val="0"/>
        </w:trPr>
        <w:tc>
          <w:tcPr>
            <w:tcW w:w="1840" w:type="dxa"/>
            <w:gridSpan w:val="4"/>
            <w:shd w:fill="D9E2F3" w:val="clear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GraphRecall (</w:t>
            </w:r>
            <w:hyperlink r:id="rId27">
              <w:r>
                <w:rPr>
                  <w:rFonts w:ascii="Calibri" w:cs="Calibri" w:eastAsia="Calibri" w:hAnsi="Calibri"/>
                  <w:b w:val="1"/>
                  <w:bCs w:val="1"/>
                  <w:color w:val="2F5496"/>
                  <w:sz w:val="20"/>
                  <w:szCs w:val="20"/>
                  <w:u w:val="single"/>
                  <w:rtl w:val="0"/>
                </w:rPr>
                <w:t xml:space="preserve">Github</w:t>
              </w:r>
            </w:hyperlink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AI Knowledge Management</w:t>
            </w:r>
          </w:p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(Jan'26 – Present)</w:t>
            </w:r>
          </w:p>
        </w:tc>
        <w:tc>
          <w:tcPr>
            <w:tcW w:w="9200" w:type="dxa"/>
            <w:gridSpan w:val="20"/>
            <w:vAlign w:val="top"/>
          </w:tcPr>
          <w:p>
            <w:pPr>
              <w:spacing w:before="0" w:after="2" w:line="220" w:lineRule="auto"/>
              <w:ind w:left="0" w:right="0" w:hanging="0"/>
              <w:contextualSpacing w:val="1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GraphRAG knowledge base turning unstructured notes into a queryable 3D graph</w:t>
            </w:r>
          </w:p>
          <w:p>
            <w:pPr>
              <w:numPr>
                <w:ilvl w:val="0"/>
                <w:numId w:val="3"/>
              </w:numPr>
              <w:spacing w:before="0" w:after="2" w:line="220" w:lineRule="auto"/>
              <w:ind w:left="158" w:right="0" w:hanging="158"/>
              <w:contextualSpacing w:val="1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Orchestrated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7+ LangGraph agents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(Supervisor +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ReAct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vertAlign w:val="superscript"/>
                <w:rtl w:val="0"/>
              </w:rPr>
              <w:t xml:space="preserve">9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 into an interactive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3D knowledge graph</w:t>
            </w:r>
          </w:p>
          <w:p>
            <w:pPr>
              <w:numPr>
                <w:ilvl w:val="0"/>
                <w:numId w:val="3"/>
              </w:numPr>
              <w:spacing w:before="0" w:after="2" w:line="220" w:lineRule="auto"/>
              <w:ind w:left="158" w:right="0" w:hanging="158"/>
              <w:contextualSpacing w:val="1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GraphRAG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over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Neo4j + pgvector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with checkpointers, map-reduce, and human-in-the-loop review</w:t>
            </w:r>
          </w:p>
        </w:tc>
      </w:tr>
      <w:tr>
        <w:trPr>
          <w:cantSplit w:val="1"/>
          <w:tblHeader w:val="0"/>
        </w:trPr>
        <w:tc>
          <w:tcPr>
            <w:tcW w:w="1840" w:type="dxa"/>
            <w:gridSpan w:val="4"/>
            <w:shd w:fill="D9E2F3" w:val="clear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Na'vi Translator (</w:t>
            </w:r>
            <w:hyperlink r:id="rId32">
              <w:r>
                <w:rPr>
                  <w:rFonts w:ascii="Calibri" w:cs="Calibri" w:eastAsia="Calibri" w:hAnsi="Calibri"/>
                  <w:b w:val="1"/>
                  <w:bCs w:val="1"/>
                  <w:color w:val="2F5496"/>
                  <w:sz w:val="20"/>
                  <w:szCs w:val="20"/>
                  <w:u w:val="single"/>
                  <w:rtl w:val="0"/>
                </w:rPr>
                <w:t xml:space="preserve">Github</w:t>
              </w:r>
            </w:hyperlink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Low-Resource MLOps</w:t>
            </w:r>
          </w:p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(Apr'26)</w:t>
            </w:r>
          </w:p>
        </w:tc>
        <w:tc>
          <w:tcPr>
            <w:tcW w:w="9200" w:type="dxa"/>
            <w:gridSpan w:val="20"/>
            <w:shd w:fill="EDF2FA" w:val="clear"/>
            <w:vAlign w:val="top"/>
          </w:tcPr>
          <w:p>
            <w:pPr>
              <w:spacing w:before="0" w:after="2" w:line="220" w:lineRule="auto"/>
              <w:ind w:left="0" w:right="0" w:hanging="0"/>
              <w:contextualSpacing w:val="1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End-to-end Na'vi→English translation with speech, text, and a full MLOps path</w:t>
            </w:r>
          </w:p>
          <w:p>
            <w:pPr>
              <w:numPr>
                <w:ilvl w:val="0"/>
                <w:numId w:val="3"/>
              </w:numPr>
              <w:spacing w:before="0" w:after="2" w:line="220" w:lineRule="auto"/>
              <w:ind w:left="158" w:right="0" w:hanging="158"/>
              <w:contextualSpacing w:val="1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Fine-tuned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MarianMT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+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Whisper-LoRA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ASR with dictionary fallback for a low-resource language</w:t>
            </w:r>
          </w:p>
          <w:p>
            <w:pPr>
              <w:numPr>
                <w:ilvl w:val="0"/>
                <w:numId w:val="3"/>
              </w:numPr>
              <w:spacing w:before="0" w:after="2" w:line="220" w:lineRule="auto"/>
              <w:ind w:left="158" w:right="0" w:hanging="158"/>
              <w:contextualSpacing w:val="1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DVC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,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MLflow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, FastAPI, Docker Compose, Prometheus/Grafana, Airflow DAGs, GitHub Actions CI</w:t>
            </w:r>
          </w:p>
        </w:tc>
      </w:tr>
      <w:tr>
        <w:trPr>
          <w:cantSplit w:val="1"/>
          <w:tblHeader w:val="0"/>
        </w:trPr>
        <w:tc>
          <w:tcPr>
            <w:tcW w:w="1840" w:type="dxa"/>
            <w:gridSpan w:val="4"/>
            <w:shd w:fill="D9E2F3" w:val="clear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LLM Metric Learning (</w:t>
            </w:r>
            <w:hyperlink r:id="rId33">
              <w:r>
                <w:rPr>
                  <w:rFonts w:ascii="Calibri" w:cs="Calibri" w:eastAsia="Calibri" w:hAnsi="Calibri"/>
                  <w:b w:val="1"/>
                  <w:bCs w:val="1"/>
                  <w:color w:val="2F5496"/>
                  <w:sz w:val="20"/>
                  <w:szCs w:val="20"/>
                  <w:u w:val="single"/>
                  <w:rtl w:val="0"/>
                </w:rPr>
                <w:t xml:space="preserve">Github</w:t>
              </w:r>
            </w:hyperlink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DA5401 Data Challenge</w:t>
            </w:r>
          </w:p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(Nov'25)</w:t>
            </w:r>
          </w:p>
        </w:tc>
        <w:tc>
          <w:tcPr>
            <w:tcW w:w="9200" w:type="dxa"/>
            <w:gridSpan w:val="20"/>
            <w:vAlign w:val="top"/>
          </w:tcPr>
          <w:p>
            <w:pPr>
              <w:spacing w:before="0" w:after="2" w:line="220" w:lineRule="auto"/>
              <w:ind w:left="0" w:right="0" w:hanging="0"/>
              <w:contextualSpacing w:val="1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Metric fitness scoring for multilingual LLM responses</w:t>
            </w:r>
          </w:p>
          <w:p>
            <w:pPr>
              <w:numPr>
                <w:ilvl w:val="0"/>
                <w:numId w:val="3"/>
              </w:numPr>
              <w:spacing w:before="0" w:after="2" w:line="220" w:lineRule="auto"/>
              <w:ind w:left="158" w:right="0" w:hanging="158"/>
              <w:contextualSpacing w:val="1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multilingual-e5-large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embeddings with a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LightGBM/XGBoost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ensemble</w:t>
            </w:r>
          </w:p>
          <w:p>
            <w:pPr>
              <w:numPr>
                <w:ilvl w:val="0"/>
                <w:numId w:val="3"/>
              </w:numPr>
              <w:spacing w:before="0" w:after="2" w:line="220" w:lineRule="auto"/>
              <w:ind w:left="158" w:right="0" w:hanging="158"/>
              <w:contextualSpacing w:val="1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Synthetic negatives and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quantile calibration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;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RMSE 0.82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(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17.2%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vs mean baseline)</w:t>
            </w:r>
          </w:p>
        </w:tc>
      </w:tr>
      <w:tr>
        <w:trPr>
          <w:cantSplit w:val="1"/>
          <w:tblHeader w:val="0"/>
        </w:trPr>
        <w:tc>
          <w:tcPr>
            <w:tcW w:w="1840" w:type="dxa"/>
            <w:gridSpan w:val="4"/>
            <w:shd w:fill="D9E2F3" w:val="clear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Deep Learning Systems (</w:t>
            </w:r>
            <w:hyperlink r:id="rId34">
              <w:r>
                <w:rPr>
                  <w:rFonts w:ascii="Calibri" w:cs="Calibri" w:eastAsia="Calibri" w:hAnsi="Calibri"/>
                  <w:b w:val="1"/>
                  <w:bCs w:val="1"/>
                  <w:color w:val="2F5496"/>
                  <w:sz w:val="20"/>
                  <w:szCs w:val="20"/>
                  <w:u w:val="single"/>
                  <w:rtl w:val="0"/>
                </w:rPr>
                <w:t xml:space="preserve">Github</w:t>
              </w:r>
            </w:hyperlink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Transformer + Multitask CV</w:t>
            </w:r>
          </w:p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(2026)</w:t>
            </w:r>
          </w:p>
        </w:tc>
        <w:tc>
          <w:tcPr>
            <w:tcW w:w="9200" w:type="dxa"/>
            <w:gridSpan w:val="20"/>
            <w:shd w:fill="EDF2FA" w:val="clear"/>
            <w:vAlign w:val="top"/>
          </w:tcPr>
          <w:p>
            <w:pPr>
              <w:spacing w:before="0" w:after="2" w:line="220" w:lineRule="auto"/>
              <w:ind w:left="0" w:right="0" w:hanging="0"/>
              <w:contextualSpacing w:val="1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From-scratch Transformer and shared-backbone multitask computer vision</w:t>
            </w:r>
          </w:p>
          <w:p>
            <w:pPr>
              <w:numPr>
                <w:ilvl w:val="0"/>
                <w:numId w:val="3"/>
              </w:numPr>
              <w:spacing w:before="0" w:after="2" w:line="220" w:lineRule="auto"/>
              <w:ind w:left="158" w:right="0" w:hanging="158"/>
              <w:contextualSpacing w:val="1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From-scratch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Transformer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in PyTorch for Multi30k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DE→EN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(Noam schedule, label smoothing, BLEU)</w:t>
            </w:r>
          </w:p>
          <w:p>
            <w:pPr>
              <w:numPr>
                <w:ilvl w:val="0"/>
                <w:numId w:val="3"/>
              </w:numPr>
              <w:spacing w:before="0" w:after="2" w:line="220" w:lineRule="auto"/>
              <w:ind w:left="158" w:right="0" w:hanging="158"/>
              <w:contextualSpacing w:val="1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Shared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VGG11-BN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Pets model: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F1 ≥ 0.93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,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Acc@IoU0.5 ≥ 91%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,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Dice ≥ 0.82</w:t>
            </w:r>
          </w:p>
        </w:tc>
      </w:tr>
      <w:tr>
        <w:trPr>
          <w:cantSplit w:val="1"/>
          <w:tblHeader w:val="0"/>
        </w:trPr>
        <w:tc>
          <w:tcPr>
            <w:tcW w:w="1380" w:type="dxa"/>
            <w:gridSpan w:val="3"/>
            <w:vMerge w:val="restart"/>
            <w:shd w:fill="1F3864" w:val="clear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COURSES</w:t>
            </w:r>
          </w:p>
        </w:tc>
        <w:tc>
          <w:tcPr>
            <w:tcW w:w="3680" w:type="dxa"/>
            <w:gridSpan w:val="8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Linear Algebra, Probability &amp; Statistics</w:t>
            </w:r>
          </w:p>
        </w:tc>
        <w:tc>
          <w:tcPr>
            <w:tcW w:w="3220" w:type="dxa"/>
            <w:gridSpan w:val="7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Machine Learning &amp; Deep Learning</w:t>
            </w:r>
          </w:p>
        </w:tc>
        <w:tc>
          <w:tcPr>
            <w:tcW w:w="1840" w:type="dxa"/>
            <w:gridSpan w:val="4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Data Analytics Lab</w:t>
            </w:r>
          </w:p>
        </w:tc>
        <w:tc>
          <w:tcPr>
            <w:tcW w:w="920" w:type="dxa"/>
            <w:gridSpan w:val="2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MLOps</w:t>
            </w:r>
          </w:p>
        </w:tc>
      </w:tr>
      <w:tr>
        <w:trPr>
          <w:cantSplit w:val="1"/>
          <w:tblHeader w:val="0"/>
        </w:trPr>
        <w:tc>
          <w:tcPr>
            <w:tcW w:w="1380" w:type="dxa"/>
            <w:gridSpan w:val="3"/>
            <w:vMerge w:val="continue"/>
            <w:shd w:fill="1F3864" w:val="clear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</w:r>
          </w:p>
        </w:tc>
        <w:tc>
          <w:tcPr>
            <w:tcW w:w="2760" w:type="dxa"/>
            <w:gridSpan w:val="6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Natural Language Processing</w:t>
            </w:r>
          </w:p>
        </w:tc>
        <w:tc>
          <w:tcPr>
            <w:tcW w:w="2300" w:type="dxa"/>
            <w:gridSpan w:val="5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Modern Computer Vision</w:t>
            </w:r>
          </w:p>
        </w:tc>
        <w:tc>
          <w:tcPr>
            <w:tcW w:w="2300" w:type="dxa"/>
            <w:gridSpan w:val="5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Data Science for Finance</w:t>
            </w:r>
          </w:p>
        </w:tc>
        <w:tc>
          <w:tcPr>
            <w:tcW w:w="2300" w:type="dxa"/>
            <w:gridSpan w:val="5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Artificial Intelligence</w:t>
            </w:r>
          </w:p>
        </w:tc>
      </w:tr>
      <w:tr>
        <w:trPr>
          <w:cantSplit w:val="1"/>
          <w:tblHeader w:val="0"/>
        </w:trPr>
        <w:tc>
          <w:tcPr>
            <w:tcW w:w="11040" w:type="dxa"/>
            <w:gridSpan w:val="24"/>
            <w:shd w:fill="1F3864" w:val="clear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PUBLICATION AND POSITIONS OF RESPONSIBILITY</w:t>
            </w:r>
          </w:p>
        </w:tc>
      </w:tr>
      <w:tr>
        <w:trPr>
          <w:cantSplit w:val="1"/>
          <w:tblHeader w:val="0"/>
        </w:trPr>
        <w:tc>
          <w:tcPr>
            <w:tcW w:w="1840" w:type="dxa"/>
            <w:gridSpan w:val="4"/>
            <w:shd w:fill="D9E2F3" w:val="clear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2024 IEEE CONNECT</w:t>
            </w:r>
          </w:p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Publication</w:t>
            </w:r>
          </w:p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(Jul'24)</w:t>
            </w:r>
          </w:p>
        </w:tc>
        <w:tc>
          <w:tcPr>
            <w:tcW w:w="9200" w:type="dxa"/>
            <w:gridSpan w:val="20"/>
            <w:vAlign w:val="top"/>
          </w:tcPr>
          <w:p>
            <w:pPr>
              <w:spacing w:before="0" w:after="2" w:line="220" w:lineRule="auto"/>
              <w:ind w:left="0" w:right="0" w:hanging="0"/>
              <w:contextualSpacing w:val="1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Comparative study of path-planning algorithms for autonomous mobile robots</w:t>
            </w:r>
          </w:p>
          <w:p>
            <w:pPr>
              <w:numPr>
                <w:ilvl w:val="0"/>
                <w:numId w:val="3"/>
              </w:numPr>
              <w:spacing w:before="0" w:after="2" w:line="220" w:lineRule="auto"/>
              <w:ind w:left="158" w:right="0" w:hanging="158"/>
              <w:contextualSpacing w:val="1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Co-authored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Bidirectional A*, D* and D* Lite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comparison; validated on a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NodeMCU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mecanum-wheel robot</w:t>
            </w:r>
          </w:p>
        </w:tc>
      </w:tr>
      <w:tr>
        <w:trPr>
          <w:cantSplit w:val="1"/>
          <w:tblHeader w:val="0"/>
        </w:trPr>
        <w:tc>
          <w:tcPr>
            <w:tcW w:w="1840" w:type="dxa"/>
            <w:gridSpan w:val="4"/>
            <w:shd w:fill="D9E2F3" w:val="clear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Deputy Placement</w:t>
            </w:r>
          </w:p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Coordinator, IITM</w:t>
            </w:r>
          </w:p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(Aug'25 – Present)</w:t>
            </w:r>
          </w:p>
        </w:tc>
        <w:tc>
          <w:tcPr>
            <w:tcW w:w="9200" w:type="dxa"/>
            <w:gridSpan w:val="20"/>
            <w:shd w:fill="EDF2FA" w:val="clear"/>
            <w:vAlign w:val="top"/>
          </w:tcPr>
          <w:p>
            <w:pPr>
              <w:spacing w:before="0" w:after="2" w:line="220" w:lineRule="auto"/>
              <w:ind w:left="0" w:right="0" w:hanging="0"/>
              <w:contextualSpacing w:val="1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Academic Affairs Secretary, Placement &amp; Internship Cell, Data Science and AI</w:t>
            </w:r>
          </w:p>
          <w:p>
            <w:pPr>
              <w:numPr>
                <w:ilvl w:val="0"/>
                <w:numId w:val="3"/>
              </w:numPr>
              <w:spacing w:before="0" w:after="2" w:line="220" w:lineRule="auto"/>
              <w:ind w:left="158" w:right="0" w:hanging="158"/>
              <w:contextualSpacing w:val="1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Industry outreach, campus logistics and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end-to-end recruitment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; workflows to streamline operations</w:t>
            </w:r>
          </w:p>
        </w:tc>
      </w:tr>
      <w:tr>
        <w:trPr>
          <w:cantSplit w:val="1"/>
          <w:tblHeader w:val="0"/>
        </w:trPr>
        <w:tc>
          <w:tcPr>
            <w:tcW w:w="1840" w:type="dxa"/>
            <w:gridSpan w:val="4"/>
            <w:shd w:fill="D9E2F3" w:val="clear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Lead Coordinator</w:t>
            </w:r>
          </w:p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Gokulashtami</w:t>
            </w:r>
          </w:p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(Oct'23 &amp; Oct'24)</w:t>
            </w:r>
          </w:p>
        </w:tc>
        <w:tc>
          <w:tcPr>
            <w:tcW w:w="9200" w:type="dxa"/>
            <w:gridSpan w:val="20"/>
            <w:vAlign w:val="top"/>
          </w:tcPr>
          <w:p>
            <w:pPr>
              <w:spacing w:before="0" w:after="2" w:line="220" w:lineRule="auto"/>
              <w:ind w:left="0" w:right="0" w:hanging="0"/>
              <w:contextualSpacing w:val="1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Annual cultural fest, Amrita Vishwa Vidyapeetham</w:t>
            </w:r>
          </w:p>
          <w:p>
            <w:pPr>
              <w:numPr>
                <w:ilvl w:val="0"/>
                <w:numId w:val="3"/>
              </w:numPr>
              <w:spacing w:before="0" w:after="2" w:line="220" w:lineRule="auto"/>
              <w:ind w:left="158" w:right="0" w:hanging="158"/>
              <w:contextualSpacing w:val="1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Led two editions;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Best Decoration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; department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Runner-up (2023)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and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Winner (2024)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overall</w:t>
            </w:r>
          </w:p>
        </w:tc>
      </w:tr>
      <w:tr>
        <w:trPr>
          <w:cantSplit w:val="1"/>
          <w:tblHeader w:val="0"/>
        </w:trPr>
        <w:tc>
          <w:tcPr>
            <w:tcW w:w="1840" w:type="dxa"/>
            <w:gridSpan w:val="4"/>
            <w:shd w:fill="1F3864" w:val="clear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EXTRA-</w:t>
            </w:r>
          </w:p>
          <w:p>
            <w:pPr>
              <w:spacing w:before="0" w:after="2" w:line="220" w:lineRule="auto"/>
              <w:ind w:left="0" w:right="0" w:hanging="0"/>
              <w:contextualSpacing w:val="1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CURRICULARS</w:t>
            </w:r>
          </w:p>
        </w:tc>
        <w:tc>
          <w:tcPr>
            <w:tcW w:w="9200" w:type="dxa"/>
            <w:gridSpan w:val="20"/>
            <w:vAlign w:val="center"/>
          </w:tcPr>
          <w:p>
            <w:pPr>
              <w:numPr>
                <w:ilvl w:val="0"/>
                <w:numId w:val="3"/>
              </w:numPr>
              <w:spacing w:before="0" w:after="2" w:line="220" w:lineRule="auto"/>
              <w:ind w:left="158" w:right="0" w:hanging="158"/>
              <w:contextualSpacing w:val="1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15+ swimming medals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over 5 years; school and college </w:t>
            </w: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cricket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at district and state level</w:t>
            </w:r>
          </w:p>
        </w:tc>
      </w:tr>
      <w:tr>
        <w:trPr>
          <w:cantSplit w:val="1"/>
          <w:tblHeader w:val="0"/>
        </w:trPr>
        <w:tc>
          <w:tcPr>
            <w:tcW w:w="11040" w:type="dxa"/>
            <w:gridSpan w:val="24"/>
            <w:vAlign w:val="center"/>
          </w:tcPr>
          <w:p>
            <w:pPr>
              <w:spacing w:before="0" w:after="2" w:line="220" w:lineRule="auto"/>
              <w:ind w:left="0" w:right="0" w:hanging="0"/>
              <w:contextualSpacing w:val="1"/>
              <w:rPr>
                <w:rFonts w:ascii="Calibri" w:cs="Calibri" w:eastAsia="Calibri" w:hAnsi="Calibri"/>
                <w:sz w:val="18"/>
                <w:szCs w:val="18"/>
              </w:rPr>
            </w:pPr>
            <w:r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1. SLM – Small Language Model    2. MCP – Model Context Protocol    3. RAG – Retrieval-Augmented Generation    4. TARNet – Treatment-Agnostic Representation Network    5. ROC-AUC – Area Under the Receiver Operating Characteristic Curve    6. AUTOSAR – Automotive Open System Architecture    7. ECU – Electronic Control Unit    8. CSP – Content Security Policy    9. ReAct – Reasoning and Acting</w:t>
            </w:r>
          </w:p>
        </w:tc>
      </w:tr>
    </w:tbl>
    <w:p>
      <w:pPr>
        <w:spacing w:before="0" w:after="0" w:line="120" w:lineRule="auto"/>
        <w:rPr>
          <w:rFonts w:ascii="Calibri" w:cs="Calibri" w:eastAsia="Calibri" w:hAnsi="Calibri"/>
          <w:sz w:val="8"/>
          <w:szCs w:val="8"/>
        </w:rPr>
      </w:pPr>
    </w:p>
    <w:sectPr>
      <w:footerReference r:id="rId14" w:type="default"/>
      <w:pgSz w:h="16838" w:w="11906" w:orient="portrait"/>
      <w:pgMar w:bottom="288" w:top="288" w:left="432" w:right="432" w:header="0" w:footer="0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20" Type="http://schemas.openxmlformats.org/officeDocument/2006/relationships/hyperlink" Target="https://drive.google.com/file/d/1LFSJxqr7NIY-CXD4_QaiM5aKXyIpcyOM/view?usp=drive_link" TargetMode="External"/><Relationship Id="rId21" Type="http://schemas.openxmlformats.org/officeDocument/2006/relationships/hyperlink" Target="https://drive.google.com/file/d/1k2jAF6CylLY8Xzxa6f5tMUpVVCKARWee/view?usp=drive_link" TargetMode="External"/><Relationship Id="rId22" Type="http://schemas.openxmlformats.org/officeDocument/2006/relationships/hyperlink" Target="https://drive.google.com/file/d/1EjXgvsyAjJPmMRb5ai5_b8BW9mO8Mm1M/view?usp=drive_link" TargetMode="External"/><Relationship Id="rId23" Type="http://schemas.openxmlformats.org/officeDocument/2006/relationships/hyperlink" Target="https://drive.google.com/file/d/1tXEGxX3XyGKRIXyr5gDtabn5ZRjYlITw/view?usp=sharing" TargetMode="External"/><Relationship Id="rId24" Type="http://schemas.openxmlformats.org/officeDocument/2006/relationships/hyperlink" Target="https://drive.google.com/file/d/11KMRY0dX3rWE9Sd8rv9Yz1O0BcewLipM/view?usp=sharing" TargetMode="External"/><Relationship Id="rId25" Type="http://schemas.openxmlformats.org/officeDocument/2006/relationships/hyperlink" Target="https://drive.google.com/file/d/1R5TeB0gDVqoAVnn2OFUFX_TpwqFO8lVw/view?usp=drive_link" TargetMode="External"/><Relationship Id="rId26" Type="http://schemas.openxmlformats.org/officeDocument/2006/relationships/hyperlink" Target="https://github.com/usnaveen/TubeFocus-Extension" TargetMode="External"/><Relationship Id="rId27" Type="http://schemas.openxmlformats.org/officeDocument/2006/relationships/hyperlink" Target="https://github.com/usnaveen/GraphRecall" TargetMode="External"/><Relationship Id="rId28" Type="http://schemas.openxmlformats.org/officeDocument/2006/relationships/hyperlink" Target="https://drive.google.com/file/d/1QrT0kAQ0vGQSor8lNqzNTFRRpRXEPda9/view?usp=sharing" TargetMode="External"/><Relationship Id="rId29" Type="http://schemas.openxmlformats.org/officeDocument/2006/relationships/hyperlink" Target="https://github.com/usnaveen" TargetMode="External"/><Relationship Id="rId30" Type="http://schemas.openxmlformats.org/officeDocument/2006/relationships/hyperlink" Target="http://www.linkedin.com/in/naveenus" TargetMode="External"/><Relationship Id="rId31" Type="http://schemas.openxmlformats.org/officeDocument/2006/relationships/hyperlink" Target="https://github.com/usnaveen/multimodal-reward-hacking-auditor" TargetMode="External"/><Relationship Id="rId32" Type="http://schemas.openxmlformats.org/officeDocument/2006/relationships/hyperlink" Target="https://github.com/usnaveen/navi-translator" TargetMode="External"/><Relationship Id="rId33" Type="http://schemas.openxmlformats.org/officeDocument/2006/relationships/hyperlink" Target="https://github.com/usnaveen/DA5401-EndSem-Challenge" TargetMode="External"/><Relationship Id="rId34" Type="http://schemas.openxmlformats.org/officeDocument/2006/relationships/hyperlink" Target="https://github.com/usnaveen/deeplearning_assignment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ttWL53AskJocsKN3j5KuAYe7Vw==">CgMxLjAyCGguZ2pkZ3hzMgloLjMwajB6bGw4AHIhMVZmNWp0OWg5TUJEbWk1aE94alpPSDRZbURtSTVwaE5X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