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9BEEB" w14:textId="045D520A" w:rsidR="005530FC" w:rsidRDefault="00A46CCF" w:rsidP="00A46CCF">
      <w:pPr>
        <w:pStyle w:val="Heading1"/>
      </w:pPr>
      <w:r w:rsidRPr="00A46CCF">
        <w:t>Riverbend Version 2 Narrative</w:t>
      </w:r>
      <w:r w:rsidR="00BF0C8F">
        <w:t xml:space="preserve"> (for use with the EDGeS Tool)</w:t>
      </w:r>
    </w:p>
    <w:p w14:paraId="50FDF4D1" w14:textId="77777777" w:rsidR="00A46CCF" w:rsidRDefault="00A46CCF" w:rsidP="00A46CCF">
      <w:pPr>
        <w:pStyle w:val="Heading2"/>
      </w:pPr>
      <w:r>
        <w:t>Background</w:t>
      </w:r>
    </w:p>
    <w:p w14:paraId="39A5DFA6" w14:textId="77777777" w:rsidR="00A46CCF" w:rsidRDefault="00A46CCF">
      <w:r>
        <w:t>Riverbend is a small city with a population of 50 000. It is situated in a valley along the Central River and was settled by farmers and loggers over 160 years ago, because of its surrounding fertile land for agriculture and abundant timber resources. The Riverbend economy consists of agriculture, manufacturing, finance, and real estate. It is a typical middle-class city with a median household income close to the national average. Over the past few years, the logging and mining industries have experienced a downturn; however, Riverbend has been successful in transforming its economy by attracting employers to its other growing economic sectors.</w:t>
      </w:r>
    </w:p>
    <w:p w14:paraId="2B81C876" w14:textId="065FAB6E" w:rsidR="00A46CCF" w:rsidRDefault="00A46CCF">
      <w:r>
        <w:t>The four-lane interstate bridge over the Central River</w:t>
      </w:r>
      <w:r w:rsidR="00BF0C8F">
        <w:t xml:space="preserve">, </w:t>
      </w:r>
      <w:r>
        <w:t>between Riverbend and neighboring Fallsborough</w:t>
      </w:r>
      <w:r w:rsidR="00BF0C8F">
        <w:t>,</w:t>
      </w:r>
      <w:r>
        <w:t xml:space="preserve"> was a major concern for the community because it was the only crossing that carried traffic and clean water into Riverbend, and the traffic volume was higher than capacity. I</w:t>
      </w:r>
      <w:r w:rsidR="00BF0D51">
        <w:t>t</w:t>
      </w:r>
      <w:r>
        <w:t xml:space="preserve"> operated below driver expectation during peak hours. This structure was sensitive earthquake events, and it served as a main link for emergency vehicles during fire and rescue.</w:t>
      </w:r>
    </w:p>
    <w:p w14:paraId="2CF41296" w14:textId="77777777" w:rsidR="00A46CCF" w:rsidRDefault="00A46CCF" w:rsidP="00A46CCF">
      <w:pPr>
        <w:pStyle w:val="Heading2"/>
      </w:pPr>
      <w:r>
        <w:t>Candidate Strategies</w:t>
      </w:r>
    </w:p>
    <w:p w14:paraId="2A79D56B" w14:textId="49B064B2" w:rsidR="00A46CCF" w:rsidRDefault="00A46CCF" w:rsidP="00A46CCF">
      <w:r>
        <w:t>The Riverbend planning team considered two alternatives to increase community resilience against both seismic event</w:t>
      </w:r>
      <w:r w:rsidR="00BF0C8F">
        <w:t xml:space="preserve"> hazards</w:t>
      </w:r>
      <w:r>
        <w:t xml:space="preserve">. Consideration of seismic events was driven by the </w:t>
      </w:r>
      <w:r w:rsidR="0081703F">
        <w:t>known hazards of the region and the potential loss of life, infrastructure damage, and economic impacts in the event of a disaster.</w:t>
      </w:r>
      <w:r w:rsidR="00471592">
        <w:t xml:space="preserve"> In developing their alternatives, the planning team assumed a 5 % discount rate and a 50-year planning horizon.</w:t>
      </w:r>
      <w:r w:rsidR="00A851AA">
        <w:t xml:space="preserve"> The design event was an earthquake with a 25-year return period.</w:t>
      </w:r>
      <w:r w:rsidR="005530FC">
        <w:t xml:space="preserve"> All discounting is done using continuous compounding.</w:t>
      </w:r>
    </w:p>
    <w:p w14:paraId="1EFD23F1" w14:textId="77777777" w:rsidR="0081703F" w:rsidRDefault="0081703F" w:rsidP="0081703F">
      <w:pPr>
        <w:pStyle w:val="Heading3"/>
      </w:pPr>
      <w:r>
        <w:t>Plan 1. Upgrade the Central River Bridge (Retrofit)</w:t>
      </w:r>
    </w:p>
    <w:p w14:paraId="7058A59F" w14:textId="342B0DA7" w:rsidR="0081703F" w:rsidRDefault="0081703F" w:rsidP="0081703F">
      <w:r>
        <w:t>The existing bridge is scheduled and budgeted for a deck replacement in 10 years, creating an opportunity to upgrade the bridge to be more resilient to seismic events. To upgrade the bridge, it must be closed to emergency services and regular traffic. The additional vehicle-hours from rerouting, as well as the effect on emergency vehicles, are real costs that must be considered.</w:t>
      </w:r>
      <w:r w:rsidR="00BA4682">
        <w:t xml:space="preserve"> Heavier traffic on alternative routes will also decrease the life of those roads, as they may not be designed for the additional equivalent single axle loads they would be carrying.</w:t>
      </w:r>
    </w:p>
    <w:p w14:paraId="13D6B322" w14:textId="77777777" w:rsidR="00BA4682" w:rsidRDefault="00BA4682" w:rsidP="0081703F">
      <w:pPr>
        <w:rPr>
          <w:b/>
        </w:rPr>
      </w:pPr>
      <w:r>
        <w:rPr>
          <w:b/>
        </w:rPr>
        <w:t>Costs</w:t>
      </w:r>
    </w:p>
    <w:p w14:paraId="2EA2E842" w14:textId="6A5AF2EF" w:rsidR="00BA4682" w:rsidRDefault="00BA4682" w:rsidP="0081703F">
      <w:r>
        <w:t xml:space="preserve">Estimates place the </w:t>
      </w:r>
      <w:r w:rsidR="0079013E">
        <w:t xml:space="preserve">direct </w:t>
      </w:r>
      <w:r>
        <w:t>cost</w:t>
      </w:r>
      <w:r w:rsidR="0079013E">
        <w:t xml:space="preserve"> (including engineering)</w:t>
      </w:r>
      <w:r>
        <w:t xml:space="preserve"> of retrofitting the bridge at $3 000 000</w:t>
      </w:r>
      <w:r w:rsidR="00D65B19">
        <w:rPr>
          <w:rStyle w:val="FootnoteReference"/>
        </w:rPr>
        <w:footnoteReference w:id="1"/>
      </w:r>
      <w:r>
        <w:t>, with an additional $500 000</w:t>
      </w:r>
      <w:r w:rsidR="00D65B19">
        <w:rPr>
          <w:rStyle w:val="FootnoteReference"/>
        </w:rPr>
        <w:footnoteReference w:id="2"/>
      </w:r>
      <w:r>
        <w:t xml:space="preserve"> in indirect costs (including costs of diverted traffic). Concerned about the realities of financing a project of this size, uncertainty estimates were also obtained. Based on typical values from literature</w:t>
      </w:r>
      <w:r w:rsidR="00E45706">
        <w:t>, the planners estimate the upper end of the costs due to cost overrun to be 128 % the point estimates</w:t>
      </w:r>
      <w:r w:rsidR="00E45706">
        <w:rPr>
          <w:rStyle w:val="FootnoteReference"/>
        </w:rPr>
        <w:footnoteReference w:id="3"/>
      </w:r>
      <w:r w:rsidR="00E45706">
        <w:t>. Although</w:t>
      </w:r>
      <w:r w:rsidR="00D15145">
        <w:t xml:space="preserve"> the planning team assumes the project</w:t>
      </w:r>
      <w:r w:rsidR="00E45706">
        <w:t xml:space="preserve"> being underbudget is highly unlikely, there </w:t>
      </w:r>
      <w:r w:rsidR="00E45706">
        <w:lastRenderedPageBreak/>
        <w:t>is a chance a bid may come in under their estimate</w:t>
      </w:r>
      <w:r w:rsidR="00D15145">
        <w:t xml:space="preserve"> should they choose to retrofit</w:t>
      </w:r>
      <w:r w:rsidR="00E45706">
        <w:t xml:space="preserve"> and be </w:t>
      </w:r>
      <w:r w:rsidR="00D15145">
        <w:t>on budget</w:t>
      </w:r>
      <w:r w:rsidR="00E45706">
        <w:t>. The lower end is assumed to be 95 % of the point estimates</w:t>
      </w:r>
      <w:r w:rsidR="00E45706">
        <w:rPr>
          <w:rStyle w:val="FootnoteReference"/>
        </w:rPr>
        <w:footnoteReference w:id="4"/>
      </w:r>
      <w:r w:rsidR="00E45706">
        <w:t xml:space="preserve">. </w:t>
      </w:r>
      <w:r w:rsidR="00471592">
        <w:t>Triangular distributions were assigned accordingly.</w:t>
      </w:r>
      <w:r w:rsidR="0079013E">
        <w:t xml:space="preserve"> Additional operations, maintenance, and repair (OMR) costs are negligible.</w:t>
      </w:r>
    </w:p>
    <w:p w14:paraId="3AB4FBB3" w14:textId="77777777" w:rsidR="00E45706" w:rsidRDefault="00E45706" w:rsidP="0081703F">
      <w:pPr>
        <w:rPr>
          <w:b/>
        </w:rPr>
      </w:pPr>
      <w:r>
        <w:rPr>
          <w:b/>
        </w:rPr>
        <w:t>On-Disaster Benefits</w:t>
      </w:r>
    </w:p>
    <w:p w14:paraId="4C28E60E" w14:textId="794F92F0" w:rsidR="00E45706" w:rsidRDefault="00E45706" w:rsidP="0081703F">
      <w:r>
        <w:t>A study</w:t>
      </w:r>
      <w:r>
        <w:rPr>
          <w:rStyle w:val="FootnoteReference"/>
        </w:rPr>
        <w:footnoteReference w:id="5"/>
      </w:r>
      <w:r>
        <w:t xml:space="preserve"> examining the benefits of retrofitting the bridge indicated that the retrofit would reduce direct losses by $260 000, indirect losses by $2 000 000, and response and recovery losses by $600 000. A conservative estimate put</w:t>
      </w:r>
      <w:r w:rsidR="00471592">
        <w:t xml:space="preserve"> the coefficient of variation</w:t>
      </w:r>
      <w:r w:rsidR="00FF7885">
        <w:t xml:space="preserve"> (COV)</w:t>
      </w:r>
      <w:r w:rsidR="00471592">
        <w:t xml:space="preserve"> for each category at roughly 0.3. Gaussian distributions</w:t>
      </w:r>
      <w:r w:rsidR="00AF6B77">
        <w:rPr>
          <w:rStyle w:val="FootnoteReference"/>
        </w:rPr>
        <w:footnoteReference w:id="6"/>
      </w:r>
      <w:r w:rsidR="00471592">
        <w:t xml:space="preserve"> were assumed for all variables.</w:t>
      </w:r>
    </w:p>
    <w:p w14:paraId="580E93BB" w14:textId="77777777" w:rsidR="00471592" w:rsidRDefault="00471592" w:rsidP="0081703F">
      <w:pPr>
        <w:rPr>
          <w:b/>
        </w:rPr>
      </w:pPr>
      <w:r>
        <w:rPr>
          <w:b/>
        </w:rPr>
        <w:t>Fatalities Averted</w:t>
      </w:r>
    </w:p>
    <w:p w14:paraId="4246554F" w14:textId="23EB2A67" w:rsidR="00471592" w:rsidRDefault="00471592" w:rsidP="0081703F">
      <w:r>
        <w:t>By retrofitting the bridge, the possibility of a failure of a component, or the inability of an emergency vehicle to respond in a prompt time is reduced. This leads to fewer fatalities per disaster. Rough estimates put the number of fatalities averted at 0.1 per event</w:t>
      </w:r>
      <w:r w:rsidR="00A80ACA">
        <w:rPr>
          <w:rStyle w:val="FootnoteReference"/>
        </w:rPr>
        <w:footnoteReference w:id="7"/>
      </w:r>
      <w:r>
        <w:t xml:space="preserve">. </w:t>
      </w:r>
      <w:r w:rsidR="00965FD7">
        <w:t>The value of statistical life for both alternatives is $7 500 000</w:t>
      </w:r>
      <w:r w:rsidR="00D65B19">
        <w:t>.</w:t>
      </w:r>
    </w:p>
    <w:p w14:paraId="1F439284" w14:textId="77777777" w:rsidR="00471592" w:rsidRDefault="00471592" w:rsidP="0081703F">
      <w:pPr>
        <w:rPr>
          <w:b/>
        </w:rPr>
      </w:pPr>
      <w:r>
        <w:rPr>
          <w:b/>
        </w:rPr>
        <w:t>Non-Disaster Related Benefits (Resilience Dividend)</w:t>
      </w:r>
    </w:p>
    <w:p w14:paraId="7E588B1F" w14:textId="77777777" w:rsidR="00471592" w:rsidRDefault="00471592" w:rsidP="0081703F">
      <w:r>
        <w:t>There are no assumed non-disaster related benefits to the retrofit. The bridge will continue to operate at original capacity after completion.</w:t>
      </w:r>
    </w:p>
    <w:p w14:paraId="25DE14CE" w14:textId="77777777" w:rsidR="00471592" w:rsidRDefault="00471592" w:rsidP="0081703F">
      <w:pPr>
        <w:rPr>
          <w:b/>
        </w:rPr>
      </w:pPr>
      <w:r>
        <w:rPr>
          <w:b/>
        </w:rPr>
        <w:t>Externalities</w:t>
      </w:r>
    </w:p>
    <w:p w14:paraId="53D0F615" w14:textId="77777777" w:rsidR="00471592" w:rsidRPr="00471592" w:rsidRDefault="00471592" w:rsidP="0081703F">
      <w:r>
        <w:t>No externalities are considered for the retrofit</w:t>
      </w:r>
      <w:r>
        <w:rPr>
          <w:rStyle w:val="FootnoteReference"/>
        </w:rPr>
        <w:footnoteReference w:id="8"/>
      </w:r>
      <w:r>
        <w:t>.</w:t>
      </w:r>
    </w:p>
    <w:p w14:paraId="127D55E7" w14:textId="77777777" w:rsidR="0081703F" w:rsidRDefault="0081703F" w:rsidP="0081703F">
      <w:pPr>
        <w:pStyle w:val="Heading3"/>
      </w:pPr>
      <w:r>
        <w:t>Plan 2. Construct a Second Bridge Over the Central River</w:t>
      </w:r>
    </w:p>
    <w:p w14:paraId="6D554353" w14:textId="4C4E0A56" w:rsidR="0081703F" w:rsidRDefault="0081703F" w:rsidP="0081703F">
      <w:r>
        <w:t>The new bridge would be built with an offset alignment from the original bridge</w:t>
      </w:r>
      <w:r w:rsidR="00BA4682">
        <w:t xml:space="preserve"> and according to current seismic codes and a design life of 125 years. The</w:t>
      </w:r>
      <w:r>
        <w:t xml:space="preserve"> original bridge</w:t>
      </w:r>
      <w:r w:rsidR="00BA4682">
        <w:t xml:space="preserve"> would continue to service traffic, but should</w:t>
      </w:r>
      <w:r>
        <w:t xml:space="preserve"> a seismic event </w:t>
      </w:r>
      <w:r w:rsidR="00BA4682">
        <w:t xml:space="preserve">occur, </w:t>
      </w:r>
      <w:r>
        <w:t xml:space="preserve">all traffic will be </w:t>
      </w:r>
      <w:r w:rsidR="00BA4682">
        <w:t>maintain</w:t>
      </w:r>
      <w:r>
        <w:t>ed by the new bridge</w:t>
      </w:r>
      <w:r w:rsidR="00BA4682">
        <w:t>. Sharing traffic between the bridge</w:t>
      </w:r>
      <w:r w:rsidR="00BF0D51">
        <w:t>s</w:t>
      </w:r>
      <w:r w:rsidR="00BA4682">
        <w:t xml:space="preserve"> will reduce traffic during peak hours and provide an additional water supply that would benefit long-term economic development. Apart from the immediate benefits, the new bridge would be used to carry traffic when the old bridge eventually needs to be replaced and would also support a non-motorized path.</w:t>
      </w:r>
    </w:p>
    <w:p w14:paraId="5B6D77C0" w14:textId="77777777" w:rsidR="00B43067" w:rsidRDefault="00B43067" w:rsidP="0081703F"/>
    <w:p w14:paraId="58DC3C74" w14:textId="51FFF7FB" w:rsidR="00D15145" w:rsidRDefault="00D15145" w:rsidP="0081703F">
      <w:pPr>
        <w:rPr>
          <w:b/>
        </w:rPr>
      </w:pPr>
      <w:r>
        <w:rPr>
          <w:b/>
        </w:rPr>
        <w:lastRenderedPageBreak/>
        <w:t>Costs</w:t>
      </w:r>
    </w:p>
    <w:p w14:paraId="6E56FF48" w14:textId="1B8F59DD" w:rsidR="00D15145" w:rsidRDefault="0079013E" w:rsidP="0081703F">
      <w:r>
        <w:t>The planning team divided the costs related to constructing a new bridge into two categories. The cost associated with constructing the bridge, and those associated with constructing new road and upgrading the existing road on either side of the river to accommodate the new bridge. The direct costs of constructing the new bridge are estimated at $4 250 000</w:t>
      </w:r>
      <w:r w:rsidR="009207A3">
        <w:rPr>
          <w:rStyle w:val="FootnoteReference"/>
        </w:rPr>
        <w:footnoteReference w:id="9"/>
      </w:r>
      <w:r>
        <w:t xml:space="preserve">. This includes purchasing right of way, land acquisition, </w:t>
      </w:r>
      <w:r w:rsidR="003B32FF">
        <w:t xml:space="preserve">and environmental impact study, </w:t>
      </w:r>
      <w:r>
        <w:t>and engineering. Indirect costs are $175 000</w:t>
      </w:r>
      <w:r w:rsidR="00D65B19">
        <w:rPr>
          <w:rStyle w:val="FootnoteReference"/>
        </w:rPr>
        <w:footnoteReference w:id="10"/>
      </w:r>
      <w:r>
        <w:t xml:space="preserve">, and include </w:t>
      </w:r>
      <w:r w:rsidR="00233DC9">
        <w:t>the indirect rate for the construction firm, as well as the costs of an environmental study. The new bridge would also add $25 000 a year in OMR costs. Triangular distributions are assumed for direct and indirect costs under the 95 % to 128 % range used for the retrofit costs. OMR uses a rectangular distribution bounded by $21 375 and $30 000.</w:t>
      </w:r>
    </w:p>
    <w:p w14:paraId="72C72659" w14:textId="3CA3C443" w:rsidR="004F5E0B" w:rsidRDefault="00233DC9" w:rsidP="004F5E0B">
      <w:r>
        <w:t>The additional road work is estimated to cost $2 500 000</w:t>
      </w:r>
      <w:r>
        <w:rPr>
          <w:rStyle w:val="FootnoteReference"/>
        </w:rPr>
        <w:footnoteReference w:id="11"/>
      </w:r>
      <w:r>
        <w:t xml:space="preserve"> in direct costs, $150 000</w:t>
      </w:r>
      <w:r>
        <w:rPr>
          <w:rStyle w:val="FootnoteReference"/>
        </w:rPr>
        <w:footnoteReference w:id="12"/>
      </w:r>
      <w:r>
        <w:t xml:space="preserve"> in indirect costs, and add a year OMR cost of $3 710</w:t>
      </w:r>
      <w:r w:rsidR="004F5E0B">
        <w:rPr>
          <w:rStyle w:val="FootnoteReference"/>
        </w:rPr>
        <w:footnoteReference w:id="13"/>
      </w:r>
      <w:r>
        <w:t>.</w:t>
      </w:r>
      <w:r w:rsidR="004F5E0B" w:rsidRPr="004F5E0B">
        <w:t xml:space="preserve"> </w:t>
      </w:r>
      <w:r w:rsidR="004F5E0B">
        <w:t>Triangular distributions are assumed for direct and indirect costs under the 95 % to 128 % range used for the retrofit costs. OMR uses a rectangular distribution bounded by $3500 and $4250.</w:t>
      </w:r>
    </w:p>
    <w:p w14:paraId="5D284199" w14:textId="71AD082E" w:rsidR="00233DC9" w:rsidRDefault="004F5E0B" w:rsidP="0081703F">
      <w:pPr>
        <w:rPr>
          <w:b/>
        </w:rPr>
      </w:pPr>
      <w:r>
        <w:rPr>
          <w:b/>
        </w:rPr>
        <w:t>On-Disaster Benefits</w:t>
      </w:r>
    </w:p>
    <w:p w14:paraId="161FB9F6" w14:textId="0E97559A" w:rsidR="004F5E0B" w:rsidRDefault="004F5E0B" w:rsidP="0081703F">
      <w:r>
        <w:t>On-disaster loss reductions were commissioned for the new bridge alternative. There are no direct loss reductions, as the old bridge will behave identically to a scenario where no resilience action is taken and any damage it sustains will not affect the new bridge. For estimation purposes, it is assumed that the new bridge will perform as designed under seismic loading, and will therefore not increase the amount of direct losses. Indirect loss reductions are estimated to be $3 500 000, due to no i</w:t>
      </w:r>
      <w:r w:rsidR="00FF7885">
        <w:t>nterruption to traffic flow across the river while the old bridge is repaired. Response and recovery losses are reduced by $1 000 000 due to the ability of emergency vehicles to travel easily across the river. As before these values are assumed to be normally distributed with a COV of 0.3.</w:t>
      </w:r>
    </w:p>
    <w:p w14:paraId="5EBBBA1A" w14:textId="3F077E6E" w:rsidR="00FF7885" w:rsidRDefault="00FF7885" w:rsidP="0081703F">
      <w:r>
        <w:rPr>
          <w:b/>
        </w:rPr>
        <w:t>Fatalities Averted</w:t>
      </w:r>
    </w:p>
    <w:p w14:paraId="1D8A1103" w14:textId="27066955" w:rsidR="00FF7885" w:rsidRDefault="00965FD7" w:rsidP="0081703F">
      <w:r>
        <w:t>Unlike</w:t>
      </w:r>
      <w:r w:rsidR="00D20FB0">
        <w:t xml:space="preserve"> the retrofit alternative, the new bridge avoids fatalit</w:t>
      </w:r>
      <w:r>
        <w:t>i</w:t>
      </w:r>
      <w:r w:rsidR="00D20FB0">
        <w:t>es</w:t>
      </w:r>
      <w:r>
        <w:t xml:space="preserve"> by maintaining traffic flow, even if there is a failure on the old bridge. This allows emergency vehicles to continue to travel as needed across the river. In total, 0.2 fatalities</w:t>
      </w:r>
      <w:r w:rsidR="00AF6B77">
        <w:rPr>
          <w:rStyle w:val="FootnoteReference"/>
        </w:rPr>
        <w:footnoteReference w:id="14"/>
      </w:r>
      <w:r>
        <w:t xml:space="preserve"> are expected to be averted under the new bridge. </w:t>
      </w:r>
    </w:p>
    <w:p w14:paraId="07D5CE8A" w14:textId="2D07F93E" w:rsidR="00965FD7" w:rsidRDefault="00965FD7" w:rsidP="0081703F">
      <w:pPr>
        <w:rPr>
          <w:b/>
        </w:rPr>
      </w:pPr>
      <w:r>
        <w:rPr>
          <w:b/>
        </w:rPr>
        <w:t>Non-Disaster Related Benefits</w:t>
      </w:r>
      <w:r w:rsidR="003B32FF">
        <w:rPr>
          <w:b/>
        </w:rPr>
        <w:t xml:space="preserve"> (Resilience Dividend)</w:t>
      </w:r>
    </w:p>
    <w:p w14:paraId="0927DDC3" w14:textId="16C19BFF" w:rsidR="00965FD7" w:rsidRDefault="00965FD7" w:rsidP="0081703F">
      <w:r>
        <w:t xml:space="preserve">The new bridge helps reduce travel time during peak flow by providing alternative lanes and better roads on either side of the bridge. A study found this would save $100 000 per year in vehicle-hours lost </w:t>
      </w:r>
      <w:r>
        <w:lastRenderedPageBreak/>
        <w:t>in traffic</w:t>
      </w:r>
      <w:r>
        <w:rPr>
          <w:rStyle w:val="FootnoteReference"/>
        </w:rPr>
        <w:footnoteReference w:id="15"/>
      </w:r>
      <w:r>
        <w:t>. A triangular distribution is assumed for these savings, with a low value of $70 000 and a high value of $115 000.</w:t>
      </w:r>
    </w:p>
    <w:p w14:paraId="1C8A3538" w14:textId="04B87255" w:rsidR="00965FD7" w:rsidRDefault="00965FD7" w:rsidP="0081703F">
      <w:pPr>
        <w:rPr>
          <w:b/>
        </w:rPr>
      </w:pPr>
      <w:r>
        <w:rPr>
          <w:b/>
        </w:rPr>
        <w:t>Externalities</w:t>
      </w:r>
    </w:p>
    <w:p w14:paraId="71A7889B" w14:textId="2A492074" w:rsidR="009207A3" w:rsidRPr="009207A3" w:rsidRDefault="00965FD7" w:rsidP="0081703F">
      <w:r>
        <w:t xml:space="preserve">Transportation projects are traditionally associated with negative externalities. New roads bring traffic, which brings noise and pollution to the local area. That is not the case here. It is assumed that traffic stays constant after construction, so no new noise would be associated with the new bridge and by reducing vehicle-hours in traffic, the amount of pollution decreases. Using data from </w:t>
      </w:r>
      <w:r w:rsidR="00FB04A6">
        <w:t>Queensland Australia’s government</w:t>
      </w:r>
      <w:r w:rsidR="00FB04A6">
        <w:rPr>
          <w:rStyle w:val="FootnoteReference"/>
        </w:rPr>
        <w:footnoteReference w:id="16"/>
      </w:r>
      <w:r w:rsidR="00FB04A6">
        <w:t xml:space="preserve">, </w:t>
      </w:r>
      <w:r w:rsidR="00FB04A6" w:rsidRPr="009207A3">
        <w:t xml:space="preserve">and assuming the new bridge saves the </w:t>
      </w:r>
      <w:r w:rsidR="009207A3" w:rsidRPr="009207A3">
        <w:t>following in travel distance</w:t>
      </w:r>
      <w:r w:rsidR="009207A3">
        <w:t>:</w:t>
      </w:r>
    </w:p>
    <w:p w14:paraId="7FC97712" w14:textId="1EAB99AB" w:rsidR="009207A3" w:rsidRDefault="009207A3" w:rsidP="009207A3">
      <w:pPr>
        <w:ind w:firstLine="720"/>
      </w:pPr>
      <w:r w:rsidRPr="009207A3">
        <w:t xml:space="preserve">The </w:t>
      </w:r>
      <w:r w:rsidR="00FB04A6" w:rsidRPr="009207A3">
        <w:t>equivalent of 1 car 1000 km in travel distance a year,</w:t>
      </w:r>
    </w:p>
    <w:p w14:paraId="3A2260FF" w14:textId="597BAEFA" w:rsidR="009207A3" w:rsidRDefault="009207A3" w:rsidP="009207A3">
      <w:pPr>
        <w:ind w:firstLine="720"/>
      </w:pPr>
      <w:r>
        <w:t>The equivalent of 1 light freight vehicle carrying 6.8 tonnes 200 km in travel distance a year</w:t>
      </w:r>
      <w:r>
        <w:rPr>
          <w:rStyle w:val="FootnoteReference"/>
        </w:rPr>
        <w:footnoteReference w:id="17"/>
      </w:r>
    </w:p>
    <w:p w14:paraId="4DF0DEAD" w14:textId="56C9AC4F" w:rsidR="009207A3" w:rsidRDefault="009207A3" w:rsidP="009207A3">
      <w:pPr>
        <w:ind w:firstLine="720"/>
      </w:pPr>
      <w:r>
        <w:t xml:space="preserve">The equivalent of 1 heavy freight vehicle carrying 22.8 tonnes 75 km in travel distance a year, </w:t>
      </w:r>
    </w:p>
    <w:p w14:paraId="3306EBBD" w14:textId="4330971F" w:rsidR="00965FD7" w:rsidRDefault="00FB04A6" w:rsidP="009207A3">
      <w:r>
        <w:t>the reduction in externalities due to water pollution can be estimated as $</w:t>
      </w:r>
      <w:r w:rsidR="001D35E5">
        <w:t>39 081</w:t>
      </w:r>
      <w:r>
        <w:t>, and externalities due to greenhouse gasses are $</w:t>
      </w:r>
      <w:r w:rsidR="001D35E5">
        <w:t>77 329</w:t>
      </w:r>
      <w:r>
        <w:t xml:space="preserve">. Additionally, the walking path increases community connectivity, producing another </w:t>
      </w:r>
      <w:r w:rsidR="001D35E5">
        <w:t>$39 799 in positive externalities.</w:t>
      </w:r>
    </w:p>
    <w:p w14:paraId="16C8B3BC" w14:textId="7B62589C" w:rsidR="001D35E5" w:rsidRDefault="001D35E5" w:rsidP="0081703F">
      <w:r>
        <w:t>Under uncertainty, these externalities are assumed to follow a discrete distribution with three values; low, with a 0.25 probability, most likely, with a 0.5 proba</w:t>
      </w:r>
      <w:r w:rsidR="002924AF">
        <w:t xml:space="preserve">bility, and high, with a 0.25 </w:t>
      </w:r>
      <w:r>
        <w:t>probability. Specifically:</w:t>
      </w:r>
    </w:p>
    <w:p w14:paraId="4254565F" w14:textId="77777777" w:rsidR="001D35E5" w:rsidRDefault="001D35E5" w:rsidP="0081703F">
      <w:r>
        <w:tab/>
        <w:t>Greenhouse gases: Low - $64 043, Most Likely - $77 329, High - $81 387</w:t>
      </w:r>
    </w:p>
    <w:p w14:paraId="32479F07" w14:textId="5D110078" w:rsidR="001D35E5" w:rsidRDefault="001D35E5" w:rsidP="001D35E5">
      <w:r>
        <w:tab/>
        <w:t>Water pollution: Low - $24 587, Most Likely - $39 081, High - $56 566</w:t>
      </w:r>
    </w:p>
    <w:p w14:paraId="2DE60288" w14:textId="0A50A118" w:rsidR="001D35E5" w:rsidRDefault="001D35E5" w:rsidP="0081703F">
      <w:r>
        <w:tab/>
        <w:t>Linking communities: Low - $21 750, Most Likely - $39 799, High - $53 006</w:t>
      </w:r>
    </w:p>
    <w:p w14:paraId="78B7542D" w14:textId="298D815E" w:rsidR="001D35E5" w:rsidRDefault="001D35E5" w:rsidP="001D35E5">
      <w:pPr>
        <w:pStyle w:val="Heading2"/>
      </w:pPr>
      <w:r>
        <w:t>Analysis</w:t>
      </w:r>
    </w:p>
    <w:p w14:paraId="1E759668" w14:textId="404BEFCE" w:rsidR="002924AF" w:rsidRDefault="002924AF" w:rsidP="002924AF">
      <w:r>
        <w:t>Using the values from the candidate strategies two separate analyses can be done. The first uses only the point estimates to calculate the results, the second utilizes the uncertainty information.</w:t>
      </w:r>
    </w:p>
    <w:p w14:paraId="2EE9980B" w14:textId="78037108" w:rsidR="002924AF" w:rsidRDefault="002924AF" w:rsidP="002924AF">
      <w:pPr>
        <w:pStyle w:val="Heading3"/>
      </w:pPr>
      <w:r>
        <w:t>Point Estimates</w:t>
      </w:r>
    </w:p>
    <w:p w14:paraId="37143CE4" w14:textId="2D9B7875" w:rsidR="003B32FF" w:rsidRDefault="003B32FF" w:rsidP="003B32FF">
      <w:r>
        <w:t>All the analysis was performed using the Economic Decision Guide</w:t>
      </w:r>
      <w:r w:rsidR="00AF6B77">
        <w:t xml:space="preserve"> Software</w:t>
      </w:r>
      <w:r>
        <w:t xml:space="preserve"> (EDG</w:t>
      </w:r>
      <w:r w:rsidR="00AF6B77">
        <w:t>eS</w:t>
      </w:r>
      <w:r>
        <w:t>) tool. The EDG</w:t>
      </w:r>
      <w:r w:rsidR="00AF6B77">
        <w:t>eS</w:t>
      </w:r>
      <w:r>
        <w:t xml:space="preserve"> tool was developed to implement the methodology of the Community Resilience Economic Decision for Buildings and Infrastructure Systems</w:t>
      </w:r>
      <w:r>
        <w:rPr>
          <w:rStyle w:val="FootnoteReference"/>
        </w:rPr>
        <w:footnoteReference w:id="18"/>
      </w:r>
      <w:r>
        <w:t xml:space="preserve"> (The Guide). At its core, The Guide outlines how to perform a lifecycle cost (LCC) analysis in the context of resilience actions. </w:t>
      </w:r>
    </w:p>
    <w:p w14:paraId="4068FDB7" w14:textId="77777777" w:rsidR="00B43067" w:rsidRDefault="00B43067" w:rsidP="003B32FF"/>
    <w:p w14:paraId="1DA39B7C" w14:textId="7B1157E8" w:rsidR="00A80ACA" w:rsidRPr="00A80ACA" w:rsidRDefault="00A80ACA" w:rsidP="003B32FF">
      <w:pPr>
        <w:rPr>
          <w:b/>
        </w:rPr>
      </w:pPr>
      <w:r>
        <w:rPr>
          <w:b/>
        </w:rPr>
        <w:lastRenderedPageBreak/>
        <w:t>Inputs</w:t>
      </w:r>
    </w:p>
    <w:p w14:paraId="5CF5557A" w14:textId="0252E0E5" w:rsidR="00BF2610" w:rsidRDefault="00BF2610" w:rsidP="003B32FF">
      <w:r>
        <w:t>The following EDG</w:t>
      </w:r>
      <w:r w:rsidR="00AF6B77">
        <w:t>eS</w:t>
      </w:r>
      <w:r>
        <w:t xml:space="preserve"> tool input is shared across both alternatives</w:t>
      </w:r>
    </w:p>
    <w:p w14:paraId="629B9D2C" w14:textId="126E152D" w:rsidR="00BF2610" w:rsidRDefault="00BF2610" w:rsidP="00B43067">
      <w:pPr>
        <w:spacing w:after="0" w:line="240" w:lineRule="auto"/>
      </w:pPr>
      <w:r>
        <w:tab/>
        <w:t>Planning horizon – 50 years</w:t>
      </w:r>
    </w:p>
    <w:p w14:paraId="04630672" w14:textId="13A63AAC" w:rsidR="00BF2610" w:rsidRDefault="00BF2610" w:rsidP="00B43067">
      <w:pPr>
        <w:spacing w:after="0" w:line="240" w:lineRule="auto"/>
      </w:pPr>
      <w:r>
        <w:tab/>
        <w:t>Recurrence rate of Seismic Event – 25 years</w:t>
      </w:r>
    </w:p>
    <w:p w14:paraId="6B258CDB" w14:textId="0CEF843E" w:rsidR="00BF2610" w:rsidRDefault="00BF2610" w:rsidP="00B43067">
      <w:pPr>
        <w:spacing w:after="0" w:line="240" w:lineRule="auto"/>
      </w:pPr>
      <w:r>
        <w:tab/>
        <w:t>Discount rate – 5 %</w:t>
      </w:r>
    </w:p>
    <w:p w14:paraId="5BB0FAFD" w14:textId="42034FC7" w:rsidR="00BF2610" w:rsidRDefault="00BF2610" w:rsidP="00B43067">
      <w:pPr>
        <w:spacing w:after="0" w:line="240" w:lineRule="auto"/>
      </w:pPr>
      <w:r>
        <w:tab/>
        <w:t>Hazard magnitude</w:t>
      </w:r>
      <w:r>
        <w:rPr>
          <w:rStyle w:val="FootnoteReference"/>
        </w:rPr>
        <w:footnoteReference w:id="19"/>
      </w:r>
      <w:r>
        <w:t xml:space="preserve"> – 1/16 of replacement cost (6.25 %)</w:t>
      </w:r>
    </w:p>
    <w:p w14:paraId="429432C0" w14:textId="1A648FDF" w:rsidR="00BF2610" w:rsidRDefault="00BF2610" w:rsidP="00B43067">
      <w:pPr>
        <w:spacing w:after="0" w:line="240" w:lineRule="auto"/>
      </w:pPr>
      <w:r>
        <w:tab/>
        <w:t>Risk preference</w:t>
      </w:r>
      <w:r>
        <w:rPr>
          <w:rStyle w:val="FootnoteReference"/>
        </w:rPr>
        <w:footnoteReference w:id="20"/>
      </w:r>
      <w:r>
        <w:t xml:space="preserve"> – Neutral</w:t>
      </w:r>
    </w:p>
    <w:p w14:paraId="16BC04B7" w14:textId="7AD39751" w:rsidR="00BF2610" w:rsidRPr="003B32FF" w:rsidRDefault="00BF2610" w:rsidP="00B43067">
      <w:pPr>
        <w:spacing w:after="0" w:line="240" w:lineRule="auto"/>
      </w:pPr>
      <w:r>
        <w:tab/>
        <w:t>Value of a statistical life - $7 500 000</w:t>
      </w:r>
    </w:p>
    <w:p w14:paraId="3DB4D075" w14:textId="77777777" w:rsidR="00B43067" w:rsidRDefault="00B43067" w:rsidP="00B43067">
      <w:pPr>
        <w:spacing w:line="240" w:lineRule="auto"/>
      </w:pPr>
    </w:p>
    <w:p w14:paraId="47F9A617" w14:textId="6A363C51" w:rsidR="002924AF" w:rsidRDefault="0050173C" w:rsidP="00B43067">
      <w:pPr>
        <w:spacing w:line="240" w:lineRule="auto"/>
      </w:pPr>
      <w:r>
        <w:fldChar w:fldCharType="begin"/>
      </w:r>
      <w:r>
        <w:instrText xml:space="preserve"> REF _Ref487786618 \h </w:instrText>
      </w:r>
      <w:r>
        <w:fldChar w:fldCharType="separate"/>
      </w:r>
      <w:r w:rsidR="005530FC">
        <w:t xml:space="preserve">Table </w:t>
      </w:r>
      <w:r w:rsidR="005530FC">
        <w:rPr>
          <w:noProof/>
        </w:rPr>
        <w:t>1</w:t>
      </w:r>
      <w:r>
        <w:fldChar w:fldCharType="end"/>
      </w:r>
      <w:r w:rsidR="00340A80">
        <w:t xml:space="preserve"> </w:t>
      </w:r>
      <w:r w:rsidR="003B32FF">
        <w:t>summarize</w:t>
      </w:r>
      <w:r w:rsidR="00340A80">
        <w:t xml:space="preserve">s the input into the </w:t>
      </w:r>
      <w:r w:rsidR="00BF2610">
        <w:t>EDG</w:t>
      </w:r>
      <w:r w:rsidR="00AF6B77">
        <w:t>eS</w:t>
      </w:r>
      <w:r w:rsidR="00340A80">
        <w:t xml:space="preserve"> tool</w:t>
      </w:r>
      <w:r w:rsidR="00D22F96">
        <w:t xml:space="preserve"> for the </w:t>
      </w:r>
      <w:r w:rsidR="00D22F96" w:rsidRPr="00D22F96">
        <w:rPr>
          <w:i/>
        </w:rPr>
        <w:t>Retrofit</w:t>
      </w:r>
      <w:r w:rsidR="003B32FF">
        <w:t xml:space="preserve"> alternative</w:t>
      </w:r>
      <w:r w:rsidR="003B32FF">
        <w:rPr>
          <w:rStyle w:val="FootnoteReference"/>
        </w:rPr>
        <w:footnoteReference w:id="21"/>
      </w:r>
      <w:r w:rsidR="00BF2610">
        <w:t xml:space="preserve"> ignoring uncertainty</w:t>
      </w:r>
      <w:r w:rsidR="003B32FF">
        <w:t>.</w:t>
      </w:r>
    </w:p>
    <w:p w14:paraId="4532AD0D" w14:textId="0DBEC83A" w:rsidR="0050173C" w:rsidRDefault="0050173C" w:rsidP="0050173C">
      <w:pPr>
        <w:pStyle w:val="Caption"/>
        <w:keepNext/>
      </w:pPr>
      <w:bookmarkStart w:id="0" w:name="_Ref487786618"/>
      <w:r>
        <w:t xml:space="preserve">Table </w:t>
      </w:r>
      <w:fldSimple w:instr=" SEQ Table \* ARABIC ">
        <w:r w:rsidR="00285359">
          <w:rPr>
            <w:noProof/>
          </w:rPr>
          <w:t>1</w:t>
        </w:r>
      </w:fldSimple>
      <w:bookmarkEnd w:id="0"/>
      <w:r>
        <w:t>. EDG</w:t>
      </w:r>
      <w:r w:rsidR="00AF6B77">
        <w:t>eS</w:t>
      </w:r>
      <w:r>
        <w:t xml:space="preserve"> Tool input for </w:t>
      </w:r>
      <w:r>
        <w:rPr>
          <w:i w:val="0"/>
        </w:rPr>
        <w:t>Retrofit</w:t>
      </w:r>
      <w:r>
        <w:t xml:space="preserve"> option using point estimates</w:t>
      </w:r>
    </w:p>
    <w:tbl>
      <w:tblPr>
        <w:tblStyle w:val="TableGrid"/>
        <w:tblW w:w="0" w:type="auto"/>
        <w:tblLook w:val="04A0" w:firstRow="1" w:lastRow="0" w:firstColumn="1" w:lastColumn="0" w:noHBand="0" w:noVBand="1"/>
      </w:tblPr>
      <w:tblGrid>
        <w:gridCol w:w="2337"/>
        <w:gridCol w:w="3868"/>
        <w:gridCol w:w="1890"/>
      </w:tblGrid>
      <w:tr w:rsidR="003B32FF" w14:paraId="30B7DC35" w14:textId="77777777" w:rsidTr="00BF2610">
        <w:tc>
          <w:tcPr>
            <w:tcW w:w="2337" w:type="dxa"/>
          </w:tcPr>
          <w:p w14:paraId="02B35841" w14:textId="5BB652E5" w:rsidR="003B32FF" w:rsidRDefault="003B32FF" w:rsidP="002924AF">
            <w:r>
              <w:t>Class</w:t>
            </w:r>
          </w:p>
        </w:tc>
        <w:tc>
          <w:tcPr>
            <w:tcW w:w="3868" w:type="dxa"/>
          </w:tcPr>
          <w:p w14:paraId="354D5862" w14:textId="16715597" w:rsidR="003B32FF" w:rsidRDefault="003B32FF" w:rsidP="002924AF">
            <w:r>
              <w:t>Item</w:t>
            </w:r>
          </w:p>
        </w:tc>
        <w:tc>
          <w:tcPr>
            <w:tcW w:w="1890" w:type="dxa"/>
          </w:tcPr>
          <w:p w14:paraId="734465DE" w14:textId="7B5B6EE0" w:rsidR="003B32FF" w:rsidRDefault="003B32FF" w:rsidP="002924AF">
            <w:r>
              <w:t>Retrofit</w:t>
            </w:r>
          </w:p>
        </w:tc>
      </w:tr>
      <w:tr w:rsidR="00D22F96" w14:paraId="3FC0C960" w14:textId="77777777" w:rsidTr="00BF2610">
        <w:tc>
          <w:tcPr>
            <w:tcW w:w="2337" w:type="dxa"/>
            <w:vMerge w:val="restart"/>
          </w:tcPr>
          <w:p w14:paraId="18879C7F" w14:textId="647B112A" w:rsidR="00D22F96" w:rsidRDefault="00D22F96" w:rsidP="003B32FF">
            <w:r>
              <w:t>Costs</w:t>
            </w:r>
          </w:p>
        </w:tc>
        <w:tc>
          <w:tcPr>
            <w:tcW w:w="3868" w:type="dxa"/>
          </w:tcPr>
          <w:p w14:paraId="258B734E" w14:textId="082C3453" w:rsidR="00D22F96" w:rsidRDefault="00D22F96" w:rsidP="002924AF">
            <w:r>
              <w:t>Direct Costs</w:t>
            </w:r>
          </w:p>
        </w:tc>
        <w:tc>
          <w:tcPr>
            <w:tcW w:w="1890" w:type="dxa"/>
          </w:tcPr>
          <w:p w14:paraId="71D32F88" w14:textId="1C5F3809" w:rsidR="00D22F96" w:rsidRDefault="00D22F96" w:rsidP="002924AF">
            <w:r>
              <w:t>$3 000 000</w:t>
            </w:r>
          </w:p>
        </w:tc>
      </w:tr>
      <w:tr w:rsidR="00D22F96" w14:paraId="53BAB188" w14:textId="77777777" w:rsidTr="00BF2610">
        <w:tc>
          <w:tcPr>
            <w:tcW w:w="2337" w:type="dxa"/>
            <w:vMerge/>
          </w:tcPr>
          <w:p w14:paraId="61FA2E4E" w14:textId="77777777" w:rsidR="00D22F96" w:rsidRDefault="00D22F96" w:rsidP="003B32FF"/>
        </w:tc>
        <w:tc>
          <w:tcPr>
            <w:tcW w:w="3868" w:type="dxa"/>
          </w:tcPr>
          <w:p w14:paraId="55CF5CA6" w14:textId="3A9DA2C0" w:rsidR="00D22F96" w:rsidRDefault="00D22F96" w:rsidP="002924AF">
            <w:r>
              <w:t>Indirect Costs</w:t>
            </w:r>
          </w:p>
        </w:tc>
        <w:tc>
          <w:tcPr>
            <w:tcW w:w="1890" w:type="dxa"/>
          </w:tcPr>
          <w:p w14:paraId="0F221EE1" w14:textId="549900D9" w:rsidR="00D22F96" w:rsidRDefault="00D22F96" w:rsidP="002924AF">
            <w:r>
              <w:t>$500 000</w:t>
            </w:r>
          </w:p>
        </w:tc>
      </w:tr>
      <w:tr w:rsidR="00BF2610" w14:paraId="301233E7" w14:textId="77777777" w:rsidTr="00BF2610">
        <w:tc>
          <w:tcPr>
            <w:tcW w:w="2337" w:type="dxa"/>
            <w:vMerge w:val="restart"/>
          </w:tcPr>
          <w:p w14:paraId="3C397EA8" w14:textId="6C8C96F1" w:rsidR="00BF2610" w:rsidRDefault="00BF2610" w:rsidP="00BF2610">
            <w:r>
              <w:t>On-Disaster Benefits</w:t>
            </w:r>
          </w:p>
        </w:tc>
        <w:tc>
          <w:tcPr>
            <w:tcW w:w="3868" w:type="dxa"/>
          </w:tcPr>
          <w:p w14:paraId="04BCBB1E" w14:textId="721ABC21" w:rsidR="00BF2610" w:rsidRDefault="00BF2610" w:rsidP="002924AF">
            <w:r>
              <w:t>Direct Loss Reduction</w:t>
            </w:r>
          </w:p>
        </w:tc>
        <w:tc>
          <w:tcPr>
            <w:tcW w:w="1890" w:type="dxa"/>
          </w:tcPr>
          <w:p w14:paraId="57631755" w14:textId="70FF38F2" w:rsidR="00BF2610" w:rsidRDefault="00D22F96" w:rsidP="002924AF">
            <w:r>
              <w:t>$260 000</w:t>
            </w:r>
          </w:p>
        </w:tc>
      </w:tr>
      <w:tr w:rsidR="00BF2610" w14:paraId="622A0695" w14:textId="77777777" w:rsidTr="00BF2610">
        <w:tc>
          <w:tcPr>
            <w:tcW w:w="2337" w:type="dxa"/>
            <w:vMerge/>
          </w:tcPr>
          <w:p w14:paraId="455DE74E" w14:textId="77777777" w:rsidR="00BF2610" w:rsidRDefault="00BF2610" w:rsidP="00BF2610"/>
        </w:tc>
        <w:tc>
          <w:tcPr>
            <w:tcW w:w="3868" w:type="dxa"/>
          </w:tcPr>
          <w:p w14:paraId="3E7F72A1" w14:textId="04403C2A" w:rsidR="00BF2610" w:rsidRDefault="00BF2610" w:rsidP="002924AF">
            <w:r>
              <w:t>Indirect Loss Reduction</w:t>
            </w:r>
          </w:p>
        </w:tc>
        <w:tc>
          <w:tcPr>
            <w:tcW w:w="1890" w:type="dxa"/>
          </w:tcPr>
          <w:p w14:paraId="3A5D556B" w14:textId="4D499C89" w:rsidR="00BF2610" w:rsidRDefault="00D22F96" w:rsidP="002924AF">
            <w:r>
              <w:t>$2 000 000</w:t>
            </w:r>
          </w:p>
        </w:tc>
      </w:tr>
      <w:tr w:rsidR="00BF2610" w14:paraId="3C17B4D0" w14:textId="77777777" w:rsidTr="00BF2610">
        <w:tc>
          <w:tcPr>
            <w:tcW w:w="2337" w:type="dxa"/>
            <w:vMerge/>
          </w:tcPr>
          <w:p w14:paraId="014B78E5" w14:textId="77777777" w:rsidR="00BF2610" w:rsidRDefault="00BF2610" w:rsidP="00BF2610"/>
        </w:tc>
        <w:tc>
          <w:tcPr>
            <w:tcW w:w="3868" w:type="dxa"/>
          </w:tcPr>
          <w:p w14:paraId="476998D8" w14:textId="434B443C" w:rsidR="00BF2610" w:rsidRDefault="00BF2610" w:rsidP="002924AF">
            <w:r>
              <w:t>Repair and Replacement Loss Reduction</w:t>
            </w:r>
          </w:p>
        </w:tc>
        <w:tc>
          <w:tcPr>
            <w:tcW w:w="1890" w:type="dxa"/>
          </w:tcPr>
          <w:p w14:paraId="39198464" w14:textId="0F896A89" w:rsidR="00BF2610" w:rsidRDefault="00D22F96" w:rsidP="002924AF">
            <w:r>
              <w:t>$600 000</w:t>
            </w:r>
          </w:p>
        </w:tc>
      </w:tr>
      <w:tr w:rsidR="00BF2610" w14:paraId="550183C8" w14:textId="77777777" w:rsidTr="005530FC">
        <w:tc>
          <w:tcPr>
            <w:tcW w:w="6205" w:type="dxa"/>
            <w:gridSpan w:val="2"/>
          </w:tcPr>
          <w:p w14:paraId="7CA62E1B" w14:textId="2F418619" w:rsidR="00BF2610" w:rsidRDefault="00BF2610" w:rsidP="00BF2610">
            <w:r>
              <w:t>Estimated Fatalities Averted</w:t>
            </w:r>
            <w:r>
              <w:rPr>
                <w:rStyle w:val="FootnoteReference"/>
              </w:rPr>
              <w:footnoteReference w:id="22"/>
            </w:r>
          </w:p>
        </w:tc>
        <w:tc>
          <w:tcPr>
            <w:tcW w:w="1890" w:type="dxa"/>
          </w:tcPr>
          <w:p w14:paraId="0E43B487" w14:textId="3EA9EC27" w:rsidR="00BF2610" w:rsidRDefault="00D22F96" w:rsidP="00BF2610">
            <w:r>
              <w:t>0.1</w:t>
            </w:r>
          </w:p>
        </w:tc>
      </w:tr>
    </w:tbl>
    <w:p w14:paraId="6C235B7B" w14:textId="77777777" w:rsidR="00B43067" w:rsidRDefault="00B43067" w:rsidP="00B43067">
      <w:pPr>
        <w:spacing w:after="0" w:line="240" w:lineRule="auto"/>
      </w:pPr>
    </w:p>
    <w:p w14:paraId="714BFB82" w14:textId="3D2FC19C" w:rsidR="00D22F96" w:rsidRDefault="00D22F96" w:rsidP="00B43067">
      <w:pPr>
        <w:spacing w:after="0" w:line="240" w:lineRule="auto"/>
      </w:pPr>
      <w:r>
        <w:t xml:space="preserve">The input for the </w:t>
      </w:r>
      <w:r>
        <w:rPr>
          <w:i/>
        </w:rPr>
        <w:t>New Bridge</w:t>
      </w:r>
      <w:r>
        <w:t xml:space="preserve"> alternative is provided in </w:t>
      </w:r>
      <w:r w:rsidR="0050173C">
        <w:fldChar w:fldCharType="begin"/>
      </w:r>
      <w:r w:rsidR="0050173C">
        <w:instrText xml:space="preserve"> REF _Ref487786613 \h </w:instrText>
      </w:r>
      <w:r w:rsidR="0050173C">
        <w:fldChar w:fldCharType="separate"/>
      </w:r>
      <w:r w:rsidR="005530FC">
        <w:t xml:space="preserve">Table </w:t>
      </w:r>
      <w:r w:rsidR="005530FC">
        <w:rPr>
          <w:noProof/>
        </w:rPr>
        <w:t>2</w:t>
      </w:r>
      <w:r w:rsidR="0050173C">
        <w:fldChar w:fldCharType="end"/>
      </w:r>
      <w:r>
        <w:rPr>
          <w:rStyle w:val="FootnoteReference"/>
        </w:rPr>
        <w:footnoteReference w:id="23"/>
      </w:r>
      <w:r>
        <w:t>.</w:t>
      </w:r>
    </w:p>
    <w:p w14:paraId="53CB4E4D" w14:textId="14A811AB" w:rsidR="0050173C" w:rsidRDefault="0050173C" w:rsidP="0050173C">
      <w:pPr>
        <w:pStyle w:val="Caption"/>
        <w:keepNext/>
      </w:pPr>
      <w:bookmarkStart w:id="1" w:name="_Ref487786613"/>
      <w:r>
        <w:t xml:space="preserve">Table </w:t>
      </w:r>
      <w:fldSimple w:instr=" SEQ Table \* ARABIC ">
        <w:r w:rsidR="00285359">
          <w:rPr>
            <w:noProof/>
          </w:rPr>
          <w:t>2</w:t>
        </w:r>
      </w:fldSimple>
      <w:bookmarkEnd w:id="1"/>
      <w:r>
        <w:t xml:space="preserve">. </w:t>
      </w:r>
      <w:r w:rsidRPr="00F275CD">
        <w:t>EDG</w:t>
      </w:r>
      <w:r w:rsidR="00AF6B77">
        <w:t>eS</w:t>
      </w:r>
      <w:r w:rsidRPr="00F275CD">
        <w:t xml:space="preserve"> Tool input for </w:t>
      </w:r>
      <w:r>
        <w:rPr>
          <w:i w:val="0"/>
        </w:rPr>
        <w:t xml:space="preserve">New Bridge </w:t>
      </w:r>
      <w:r w:rsidRPr="00F275CD">
        <w:t>option using point estimates</w:t>
      </w:r>
    </w:p>
    <w:tbl>
      <w:tblPr>
        <w:tblStyle w:val="TableGrid"/>
        <w:tblW w:w="0" w:type="auto"/>
        <w:tblLook w:val="04A0" w:firstRow="1" w:lastRow="0" w:firstColumn="1" w:lastColumn="0" w:noHBand="0" w:noVBand="1"/>
      </w:tblPr>
      <w:tblGrid>
        <w:gridCol w:w="2335"/>
        <w:gridCol w:w="3870"/>
        <w:gridCol w:w="1890"/>
      </w:tblGrid>
      <w:tr w:rsidR="00D22F96" w14:paraId="3421C5E8" w14:textId="77777777" w:rsidTr="00D22F96">
        <w:tc>
          <w:tcPr>
            <w:tcW w:w="2335" w:type="dxa"/>
          </w:tcPr>
          <w:p w14:paraId="6E0AF079" w14:textId="54E137D1" w:rsidR="00D22F96" w:rsidRDefault="00D22F96" w:rsidP="00D22F96">
            <w:r>
              <w:t>Class</w:t>
            </w:r>
          </w:p>
        </w:tc>
        <w:tc>
          <w:tcPr>
            <w:tcW w:w="3870" w:type="dxa"/>
          </w:tcPr>
          <w:p w14:paraId="34B83EE7" w14:textId="5F273753" w:rsidR="00D22F96" w:rsidRDefault="00D22F96" w:rsidP="00D22F96">
            <w:r>
              <w:t>Item</w:t>
            </w:r>
          </w:p>
        </w:tc>
        <w:tc>
          <w:tcPr>
            <w:tcW w:w="1890" w:type="dxa"/>
          </w:tcPr>
          <w:p w14:paraId="1B5201F5" w14:textId="7E82424A" w:rsidR="00D22F96" w:rsidRDefault="00D22F96" w:rsidP="00D22F96">
            <w:r>
              <w:t>Retrofit</w:t>
            </w:r>
          </w:p>
        </w:tc>
      </w:tr>
      <w:tr w:rsidR="00D22F96" w14:paraId="70D8FC5D" w14:textId="77777777" w:rsidTr="00D22F96">
        <w:tc>
          <w:tcPr>
            <w:tcW w:w="2335" w:type="dxa"/>
            <w:vMerge w:val="restart"/>
          </w:tcPr>
          <w:p w14:paraId="0EB22E13" w14:textId="75DC0D2B" w:rsidR="00D22F96" w:rsidRDefault="00D22F96" w:rsidP="00D22F96">
            <w:r>
              <w:t>Costs</w:t>
            </w:r>
          </w:p>
        </w:tc>
        <w:tc>
          <w:tcPr>
            <w:tcW w:w="3870" w:type="dxa"/>
          </w:tcPr>
          <w:p w14:paraId="649E4BBE" w14:textId="5AD80DE2" w:rsidR="00D22F96" w:rsidRDefault="00D22F96" w:rsidP="00D22F96">
            <w:r>
              <w:t>Bridge Construction Direct Costs</w:t>
            </w:r>
          </w:p>
        </w:tc>
        <w:tc>
          <w:tcPr>
            <w:tcW w:w="1890" w:type="dxa"/>
          </w:tcPr>
          <w:p w14:paraId="27CCA4BF" w14:textId="5D2583E1" w:rsidR="00D22F96" w:rsidRDefault="00A23959" w:rsidP="00B43067">
            <w:pPr>
              <w:jc w:val="right"/>
            </w:pPr>
            <w:r>
              <w:t>$4 250 000</w:t>
            </w:r>
          </w:p>
        </w:tc>
      </w:tr>
      <w:tr w:rsidR="00D22F96" w14:paraId="650390EA" w14:textId="77777777" w:rsidTr="00D22F96">
        <w:tc>
          <w:tcPr>
            <w:tcW w:w="2335" w:type="dxa"/>
            <w:vMerge/>
          </w:tcPr>
          <w:p w14:paraId="4F5678D7" w14:textId="77777777" w:rsidR="00D22F96" w:rsidRDefault="00D22F96" w:rsidP="00D22F96"/>
        </w:tc>
        <w:tc>
          <w:tcPr>
            <w:tcW w:w="3870" w:type="dxa"/>
          </w:tcPr>
          <w:p w14:paraId="4366B017" w14:textId="59F3512A" w:rsidR="00D22F96" w:rsidRDefault="00D22F96" w:rsidP="00D22F96">
            <w:r>
              <w:t>Bridge Construction Indirect Costs</w:t>
            </w:r>
          </w:p>
        </w:tc>
        <w:tc>
          <w:tcPr>
            <w:tcW w:w="1890" w:type="dxa"/>
          </w:tcPr>
          <w:p w14:paraId="557E2FFB" w14:textId="6E7BE1CD" w:rsidR="00D22F96" w:rsidRDefault="00A23959" w:rsidP="00B43067">
            <w:pPr>
              <w:jc w:val="right"/>
            </w:pPr>
            <w:r>
              <w:t>$175 000</w:t>
            </w:r>
          </w:p>
        </w:tc>
      </w:tr>
      <w:tr w:rsidR="00D22F96" w14:paraId="3A4DCD8B" w14:textId="77777777" w:rsidTr="00D22F96">
        <w:tc>
          <w:tcPr>
            <w:tcW w:w="2335" w:type="dxa"/>
            <w:vMerge/>
          </w:tcPr>
          <w:p w14:paraId="54DB4DF4" w14:textId="77777777" w:rsidR="00D22F96" w:rsidRDefault="00D22F96" w:rsidP="00D22F96"/>
        </w:tc>
        <w:tc>
          <w:tcPr>
            <w:tcW w:w="3870" w:type="dxa"/>
          </w:tcPr>
          <w:p w14:paraId="7C4A6786" w14:textId="6E170C7D" w:rsidR="00D22F96" w:rsidRDefault="00D22F96" w:rsidP="00D22F96">
            <w:r>
              <w:t>Bridge Construction OMR Costs</w:t>
            </w:r>
          </w:p>
        </w:tc>
        <w:tc>
          <w:tcPr>
            <w:tcW w:w="1890" w:type="dxa"/>
          </w:tcPr>
          <w:p w14:paraId="4D72705F" w14:textId="08D0A12A" w:rsidR="00D22F96" w:rsidRDefault="00A23959" w:rsidP="00B43067">
            <w:pPr>
              <w:jc w:val="right"/>
            </w:pPr>
            <w:r>
              <w:t>$25 000</w:t>
            </w:r>
          </w:p>
        </w:tc>
      </w:tr>
      <w:tr w:rsidR="00D22F96" w14:paraId="69323799" w14:textId="77777777" w:rsidTr="00D22F96">
        <w:tc>
          <w:tcPr>
            <w:tcW w:w="2335" w:type="dxa"/>
            <w:vMerge/>
          </w:tcPr>
          <w:p w14:paraId="55D32FF3" w14:textId="77777777" w:rsidR="00D22F96" w:rsidRDefault="00D22F96" w:rsidP="00D22F96"/>
        </w:tc>
        <w:tc>
          <w:tcPr>
            <w:tcW w:w="3870" w:type="dxa"/>
          </w:tcPr>
          <w:p w14:paraId="21E3710B" w14:textId="426458FA" w:rsidR="00D22F96" w:rsidRDefault="00D22F96" w:rsidP="00D22F96">
            <w:r>
              <w:t>Additional Roadwork Direct Costs</w:t>
            </w:r>
          </w:p>
        </w:tc>
        <w:tc>
          <w:tcPr>
            <w:tcW w:w="1890" w:type="dxa"/>
          </w:tcPr>
          <w:p w14:paraId="2D747ED3" w14:textId="49E72EDC" w:rsidR="00D22F96" w:rsidRDefault="00A23959" w:rsidP="00B43067">
            <w:pPr>
              <w:jc w:val="right"/>
            </w:pPr>
            <w:r>
              <w:t>$2 500 000</w:t>
            </w:r>
          </w:p>
        </w:tc>
      </w:tr>
      <w:tr w:rsidR="00D22F96" w14:paraId="36709F9E" w14:textId="77777777" w:rsidTr="00D22F96">
        <w:tc>
          <w:tcPr>
            <w:tcW w:w="2335" w:type="dxa"/>
            <w:vMerge/>
          </w:tcPr>
          <w:p w14:paraId="468BC558" w14:textId="77777777" w:rsidR="00D22F96" w:rsidRDefault="00D22F96" w:rsidP="00D22F96"/>
        </w:tc>
        <w:tc>
          <w:tcPr>
            <w:tcW w:w="3870" w:type="dxa"/>
          </w:tcPr>
          <w:p w14:paraId="7B1E95DC" w14:textId="7A5EA101" w:rsidR="00D22F96" w:rsidRDefault="00D22F96" w:rsidP="00D22F96">
            <w:r>
              <w:t>Additional Roadwork Indirect Costs</w:t>
            </w:r>
          </w:p>
        </w:tc>
        <w:tc>
          <w:tcPr>
            <w:tcW w:w="1890" w:type="dxa"/>
          </w:tcPr>
          <w:p w14:paraId="5F681168" w14:textId="2AD0574B" w:rsidR="00D22F96" w:rsidRDefault="00A23959" w:rsidP="00B43067">
            <w:pPr>
              <w:jc w:val="right"/>
            </w:pPr>
            <w:r>
              <w:t>$150 000</w:t>
            </w:r>
          </w:p>
        </w:tc>
      </w:tr>
      <w:tr w:rsidR="00D22F96" w14:paraId="35C9CC44" w14:textId="77777777" w:rsidTr="00D22F96">
        <w:tc>
          <w:tcPr>
            <w:tcW w:w="2335" w:type="dxa"/>
            <w:vMerge/>
          </w:tcPr>
          <w:p w14:paraId="19A84C43" w14:textId="77777777" w:rsidR="00D22F96" w:rsidRDefault="00D22F96" w:rsidP="00D22F96"/>
        </w:tc>
        <w:tc>
          <w:tcPr>
            <w:tcW w:w="3870" w:type="dxa"/>
          </w:tcPr>
          <w:p w14:paraId="68827457" w14:textId="4A9A4240" w:rsidR="00D22F96" w:rsidRDefault="00D22F96" w:rsidP="00D22F96">
            <w:r>
              <w:t>Additional Roadwork OMR Costs</w:t>
            </w:r>
          </w:p>
        </w:tc>
        <w:tc>
          <w:tcPr>
            <w:tcW w:w="1890" w:type="dxa"/>
          </w:tcPr>
          <w:p w14:paraId="6FB60AD0" w14:textId="6DDF769D" w:rsidR="00D22F96" w:rsidRDefault="00A23959" w:rsidP="00B43067">
            <w:pPr>
              <w:jc w:val="right"/>
            </w:pPr>
            <w:r>
              <w:t>$3710</w:t>
            </w:r>
          </w:p>
        </w:tc>
      </w:tr>
      <w:tr w:rsidR="00D22F96" w14:paraId="351AA48A" w14:textId="77777777" w:rsidTr="00D22F96">
        <w:tc>
          <w:tcPr>
            <w:tcW w:w="2335" w:type="dxa"/>
            <w:vMerge w:val="restart"/>
          </w:tcPr>
          <w:p w14:paraId="19AE2C8A" w14:textId="6EB66E7B" w:rsidR="00D22F96" w:rsidRDefault="00D22F96" w:rsidP="00D22F96">
            <w:r>
              <w:t>On-Disaster Benefits</w:t>
            </w:r>
          </w:p>
        </w:tc>
        <w:tc>
          <w:tcPr>
            <w:tcW w:w="3870" w:type="dxa"/>
          </w:tcPr>
          <w:p w14:paraId="49EF69D2" w14:textId="0379C727" w:rsidR="00D22F96" w:rsidRDefault="00D22F96" w:rsidP="00D22F96">
            <w:r>
              <w:t>Indirect Loss Reduction</w:t>
            </w:r>
          </w:p>
        </w:tc>
        <w:tc>
          <w:tcPr>
            <w:tcW w:w="1890" w:type="dxa"/>
          </w:tcPr>
          <w:p w14:paraId="00BB8645" w14:textId="79F6B43D" w:rsidR="00D22F96" w:rsidRDefault="009207A3" w:rsidP="00B43067">
            <w:pPr>
              <w:jc w:val="right"/>
            </w:pPr>
            <w:r>
              <w:t>$3 500 000</w:t>
            </w:r>
          </w:p>
        </w:tc>
      </w:tr>
      <w:tr w:rsidR="00D22F96" w14:paraId="2B7530CF" w14:textId="77777777" w:rsidTr="00D22F96">
        <w:tc>
          <w:tcPr>
            <w:tcW w:w="2335" w:type="dxa"/>
            <w:vMerge/>
          </w:tcPr>
          <w:p w14:paraId="733E1203" w14:textId="77777777" w:rsidR="00D22F96" w:rsidRDefault="00D22F96" w:rsidP="00D22F96"/>
        </w:tc>
        <w:tc>
          <w:tcPr>
            <w:tcW w:w="3870" w:type="dxa"/>
          </w:tcPr>
          <w:p w14:paraId="2F45E565" w14:textId="3BF8CF5D" w:rsidR="00D22F96" w:rsidRDefault="00D22F96" w:rsidP="00D22F96">
            <w:r>
              <w:t>Repair and Replacement Loss Reduction</w:t>
            </w:r>
          </w:p>
        </w:tc>
        <w:tc>
          <w:tcPr>
            <w:tcW w:w="1890" w:type="dxa"/>
          </w:tcPr>
          <w:p w14:paraId="277E1841" w14:textId="55E60919" w:rsidR="00D22F96" w:rsidRDefault="009207A3" w:rsidP="00B43067">
            <w:pPr>
              <w:jc w:val="right"/>
            </w:pPr>
            <w:r>
              <w:t>$1 000 000</w:t>
            </w:r>
          </w:p>
        </w:tc>
      </w:tr>
      <w:tr w:rsidR="00D22F96" w14:paraId="253A2541" w14:textId="77777777" w:rsidTr="00D22F96">
        <w:tc>
          <w:tcPr>
            <w:tcW w:w="6205" w:type="dxa"/>
            <w:gridSpan w:val="2"/>
          </w:tcPr>
          <w:p w14:paraId="053B98AA" w14:textId="137C8283" w:rsidR="00D22F96" w:rsidRDefault="00D22F96" w:rsidP="00D22F96">
            <w:r>
              <w:t>Estimated Fatalities Averted</w:t>
            </w:r>
            <w:r>
              <w:rPr>
                <w:rStyle w:val="FootnoteReference"/>
              </w:rPr>
              <w:footnoteReference w:id="24"/>
            </w:r>
          </w:p>
        </w:tc>
        <w:tc>
          <w:tcPr>
            <w:tcW w:w="1890" w:type="dxa"/>
          </w:tcPr>
          <w:p w14:paraId="5A5C6276" w14:textId="606F0AC2" w:rsidR="00D22F96" w:rsidRDefault="009207A3" w:rsidP="00B43067">
            <w:pPr>
              <w:jc w:val="right"/>
            </w:pPr>
            <w:r>
              <w:t>0.2</w:t>
            </w:r>
          </w:p>
        </w:tc>
      </w:tr>
      <w:tr w:rsidR="00D22F96" w14:paraId="719BF277" w14:textId="77777777" w:rsidTr="00D22F96">
        <w:tc>
          <w:tcPr>
            <w:tcW w:w="2335" w:type="dxa"/>
          </w:tcPr>
          <w:p w14:paraId="3F99C28F" w14:textId="125519AE" w:rsidR="00D22F96" w:rsidRDefault="00D22F96" w:rsidP="00D22F96">
            <w:r>
              <w:t>Resilience Dividend</w:t>
            </w:r>
          </w:p>
        </w:tc>
        <w:tc>
          <w:tcPr>
            <w:tcW w:w="3870" w:type="dxa"/>
          </w:tcPr>
          <w:p w14:paraId="08C9AE9C" w14:textId="44DC9554" w:rsidR="00D22F96" w:rsidRDefault="00D22F96" w:rsidP="00D22F96">
            <w:r>
              <w:t>Reduced Commute Time</w:t>
            </w:r>
          </w:p>
        </w:tc>
        <w:tc>
          <w:tcPr>
            <w:tcW w:w="1890" w:type="dxa"/>
          </w:tcPr>
          <w:p w14:paraId="3C3C552A" w14:textId="5C00DAC4" w:rsidR="00D22F96" w:rsidRDefault="009207A3" w:rsidP="00B43067">
            <w:pPr>
              <w:jc w:val="right"/>
            </w:pPr>
            <w:r>
              <w:t>$100 000</w:t>
            </w:r>
          </w:p>
        </w:tc>
      </w:tr>
      <w:tr w:rsidR="00D22F96" w14:paraId="0D136A9B" w14:textId="77777777" w:rsidTr="00D22F96">
        <w:tc>
          <w:tcPr>
            <w:tcW w:w="2335" w:type="dxa"/>
            <w:vMerge w:val="restart"/>
          </w:tcPr>
          <w:p w14:paraId="062CED6F" w14:textId="405AE2BF" w:rsidR="00D22F96" w:rsidRDefault="00D22F96" w:rsidP="00D22F96">
            <w:r>
              <w:t>Externalities</w:t>
            </w:r>
          </w:p>
        </w:tc>
        <w:tc>
          <w:tcPr>
            <w:tcW w:w="3870" w:type="dxa"/>
          </w:tcPr>
          <w:p w14:paraId="049D7CAA" w14:textId="28D13BAA" w:rsidR="00D22F96" w:rsidRDefault="00D22F96" w:rsidP="00D22F96">
            <w:r>
              <w:t>Reduced Greenhouse Gas Emissions</w:t>
            </w:r>
          </w:p>
        </w:tc>
        <w:tc>
          <w:tcPr>
            <w:tcW w:w="1890" w:type="dxa"/>
          </w:tcPr>
          <w:p w14:paraId="28C44839" w14:textId="6C1A93DC" w:rsidR="00D22F96" w:rsidRDefault="009207A3" w:rsidP="00B43067">
            <w:pPr>
              <w:jc w:val="right"/>
            </w:pPr>
            <w:r>
              <w:t>$77 329</w:t>
            </w:r>
          </w:p>
        </w:tc>
      </w:tr>
      <w:tr w:rsidR="00D22F96" w14:paraId="6FA18739" w14:textId="77777777" w:rsidTr="00D22F96">
        <w:tc>
          <w:tcPr>
            <w:tcW w:w="2335" w:type="dxa"/>
            <w:vMerge/>
          </w:tcPr>
          <w:p w14:paraId="4B1E5C8D" w14:textId="77777777" w:rsidR="00D22F96" w:rsidRDefault="00D22F96" w:rsidP="00D22F96"/>
        </w:tc>
        <w:tc>
          <w:tcPr>
            <w:tcW w:w="3870" w:type="dxa"/>
          </w:tcPr>
          <w:p w14:paraId="66D17599" w14:textId="678DFF70" w:rsidR="00D22F96" w:rsidRDefault="00D22F96" w:rsidP="00D22F96">
            <w:r>
              <w:t>Reduced Water Pollution</w:t>
            </w:r>
          </w:p>
        </w:tc>
        <w:tc>
          <w:tcPr>
            <w:tcW w:w="1890" w:type="dxa"/>
          </w:tcPr>
          <w:p w14:paraId="0C994966" w14:textId="21554CF7" w:rsidR="00D22F96" w:rsidRDefault="009207A3" w:rsidP="00B43067">
            <w:pPr>
              <w:jc w:val="right"/>
            </w:pPr>
            <w:r>
              <w:t>$39 081</w:t>
            </w:r>
          </w:p>
        </w:tc>
      </w:tr>
      <w:tr w:rsidR="00D22F96" w14:paraId="3E9CA188" w14:textId="77777777" w:rsidTr="00D22F96">
        <w:tc>
          <w:tcPr>
            <w:tcW w:w="2335" w:type="dxa"/>
            <w:vMerge/>
          </w:tcPr>
          <w:p w14:paraId="47998A8E" w14:textId="77777777" w:rsidR="00D22F96" w:rsidRDefault="00D22F96" w:rsidP="00D22F96"/>
        </w:tc>
        <w:tc>
          <w:tcPr>
            <w:tcW w:w="3870" w:type="dxa"/>
          </w:tcPr>
          <w:p w14:paraId="68653D34" w14:textId="444B7809" w:rsidR="00D22F96" w:rsidRDefault="00D22F96" w:rsidP="00D22F96">
            <w:r>
              <w:t>Better Linking of Communities</w:t>
            </w:r>
          </w:p>
        </w:tc>
        <w:tc>
          <w:tcPr>
            <w:tcW w:w="1890" w:type="dxa"/>
          </w:tcPr>
          <w:p w14:paraId="0EE9E902" w14:textId="385FC08E" w:rsidR="00D22F96" w:rsidRDefault="009207A3" w:rsidP="00B43067">
            <w:pPr>
              <w:jc w:val="right"/>
            </w:pPr>
            <w:r>
              <w:t>$39 799</w:t>
            </w:r>
          </w:p>
        </w:tc>
      </w:tr>
    </w:tbl>
    <w:p w14:paraId="6770008E" w14:textId="131B2445" w:rsidR="00A80ACA" w:rsidRPr="00A80ACA" w:rsidRDefault="00A80ACA" w:rsidP="002924AF">
      <w:pPr>
        <w:rPr>
          <w:b/>
        </w:rPr>
      </w:pPr>
      <w:r>
        <w:rPr>
          <w:b/>
        </w:rPr>
        <w:lastRenderedPageBreak/>
        <w:t>Output</w:t>
      </w:r>
    </w:p>
    <w:p w14:paraId="4460E659" w14:textId="73004D04" w:rsidR="00A80ACA" w:rsidRDefault="00D22F96" w:rsidP="00A80ACA">
      <w:r>
        <w:t>Running the EDG</w:t>
      </w:r>
      <w:r w:rsidR="00AF6B77">
        <w:t>eS</w:t>
      </w:r>
      <w:r>
        <w:t xml:space="preserve"> tool provides the results in </w:t>
      </w:r>
      <w:r w:rsidR="005530FC">
        <w:fldChar w:fldCharType="begin"/>
      </w:r>
      <w:r w:rsidR="005530FC">
        <w:instrText xml:space="preserve"> REF _Ref487787606 \h </w:instrText>
      </w:r>
      <w:r w:rsidR="005530FC">
        <w:fldChar w:fldCharType="separate"/>
      </w:r>
      <w:r w:rsidR="005530FC">
        <w:t xml:space="preserve">Table </w:t>
      </w:r>
      <w:r w:rsidR="005530FC">
        <w:rPr>
          <w:noProof/>
        </w:rPr>
        <w:t>3</w:t>
      </w:r>
      <w:r w:rsidR="005530FC">
        <w:fldChar w:fldCharType="end"/>
      </w:r>
      <w:r>
        <w:t>.</w:t>
      </w:r>
      <w:r w:rsidR="007C2D6F">
        <w:t xml:space="preserve"> </w:t>
      </w:r>
      <w:bookmarkStart w:id="2" w:name="_Ref487787606"/>
    </w:p>
    <w:p w14:paraId="1D574313" w14:textId="41C77507" w:rsidR="005530FC" w:rsidRDefault="005530FC" w:rsidP="005530FC">
      <w:pPr>
        <w:pStyle w:val="Caption"/>
        <w:keepNext/>
      </w:pPr>
      <w:r>
        <w:t xml:space="preserve">Table </w:t>
      </w:r>
      <w:fldSimple w:instr=" SEQ Table \* ARABIC ">
        <w:r w:rsidR="00285359">
          <w:rPr>
            <w:noProof/>
          </w:rPr>
          <w:t>3</w:t>
        </w:r>
      </w:fldSimple>
      <w:bookmarkEnd w:id="2"/>
      <w:r>
        <w:t>. Results from the EDG</w:t>
      </w:r>
      <w:r w:rsidR="00AF6B77">
        <w:t>eS</w:t>
      </w:r>
      <w:r>
        <w:t xml:space="preserve"> Tool using point estimates</w:t>
      </w:r>
    </w:p>
    <w:tbl>
      <w:tblPr>
        <w:tblW w:w="6595" w:type="dxa"/>
        <w:tblLook w:val="04A0" w:firstRow="1" w:lastRow="0" w:firstColumn="1" w:lastColumn="0" w:noHBand="0" w:noVBand="1"/>
      </w:tblPr>
      <w:tblGrid>
        <w:gridCol w:w="3675"/>
        <w:gridCol w:w="1420"/>
        <w:gridCol w:w="1500"/>
      </w:tblGrid>
      <w:tr w:rsidR="005530FC" w:rsidRPr="005530FC" w14:paraId="5E07A2E2" w14:textId="77777777" w:rsidTr="005530FC">
        <w:trPr>
          <w:trHeight w:val="300"/>
        </w:trPr>
        <w:tc>
          <w:tcPr>
            <w:tcW w:w="3675" w:type="dxa"/>
            <w:tcBorders>
              <w:top w:val="nil"/>
              <w:left w:val="nil"/>
              <w:bottom w:val="nil"/>
              <w:right w:val="nil"/>
            </w:tcBorders>
            <w:shd w:val="clear" w:color="auto" w:fill="auto"/>
            <w:noWrap/>
            <w:vAlign w:val="bottom"/>
            <w:hideMark/>
          </w:tcPr>
          <w:p w14:paraId="57217D8D" w14:textId="77777777" w:rsidR="005530FC" w:rsidRPr="005530FC" w:rsidRDefault="005530FC" w:rsidP="005530FC">
            <w:pPr>
              <w:spacing w:after="0" w:line="240" w:lineRule="auto"/>
              <w:rPr>
                <w:rFonts w:ascii="Times New Roman" w:eastAsia="Times New Roman" w:hAnsi="Times New Roman" w:cs="Times New Roman"/>
                <w:sz w:val="24"/>
                <w:szCs w:val="24"/>
              </w:rPr>
            </w:pP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A7BBD" w14:textId="77777777" w:rsidR="005530FC" w:rsidRPr="005530FC" w:rsidRDefault="005530FC" w:rsidP="005530FC">
            <w:pPr>
              <w:spacing w:after="0" w:line="240" w:lineRule="auto"/>
              <w:rPr>
                <w:rFonts w:ascii="Calibri" w:eastAsia="Times New Roman" w:hAnsi="Calibri" w:cs="Times New Roman"/>
                <w:color w:val="000000"/>
              </w:rPr>
            </w:pPr>
            <w:r w:rsidRPr="005530FC">
              <w:rPr>
                <w:rFonts w:ascii="Calibri" w:eastAsia="Times New Roman" w:hAnsi="Calibri" w:cs="Times New Roman"/>
                <w:color w:val="000000"/>
              </w:rPr>
              <w:t>Retrofit</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6AC9E29D" w14:textId="77777777" w:rsidR="005530FC" w:rsidRPr="005530FC" w:rsidRDefault="005530FC" w:rsidP="005530FC">
            <w:pPr>
              <w:spacing w:after="0" w:line="240" w:lineRule="auto"/>
              <w:rPr>
                <w:rFonts w:ascii="Calibri" w:eastAsia="Times New Roman" w:hAnsi="Calibri" w:cs="Times New Roman"/>
                <w:color w:val="000000"/>
              </w:rPr>
            </w:pPr>
            <w:r w:rsidRPr="005530FC">
              <w:rPr>
                <w:rFonts w:ascii="Calibri" w:eastAsia="Times New Roman" w:hAnsi="Calibri" w:cs="Times New Roman"/>
                <w:color w:val="000000"/>
              </w:rPr>
              <w:t>New Bridge</w:t>
            </w:r>
          </w:p>
        </w:tc>
      </w:tr>
      <w:tr w:rsidR="005530FC" w:rsidRPr="005530FC" w14:paraId="09AD4ED3" w14:textId="77777777" w:rsidTr="005530FC">
        <w:trPr>
          <w:trHeight w:val="300"/>
        </w:trPr>
        <w:tc>
          <w:tcPr>
            <w:tcW w:w="36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0B00F" w14:textId="77777777" w:rsidR="005530FC" w:rsidRPr="005530FC" w:rsidRDefault="005530FC" w:rsidP="005530FC">
            <w:pPr>
              <w:spacing w:after="0" w:line="240" w:lineRule="auto"/>
              <w:rPr>
                <w:rFonts w:ascii="Calibri" w:eastAsia="Times New Roman" w:hAnsi="Calibri" w:cs="Times New Roman"/>
                <w:b/>
                <w:bCs/>
                <w:color w:val="000000"/>
              </w:rPr>
            </w:pPr>
            <w:r w:rsidRPr="005530FC">
              <w:rPr>
                <w:rFonts w:ascii="Calibri" w:eastAsia="Times New Roman" w:hAnsi="Calibri" w:cs="Times New Roman"/>
                <w:b/>
                <w:bCs/>
                <w:color w:val="000000"/>
              </w:rPr>
              <w:t>Disaster Economic Benefits</w:t>
            </w:r>
          </w:p>
        </w:tc>
        <w:tc>
          <w:tcPr>
            <w:tcW w:w="1420" w:type="dxa"/>
            <w:tcBorders>
              <w:top w:val="nil"/>
              <w:left w:val="nil"/>
              <w:bottom w:val="single" w:sz="4" w:space="0" w:color="auto"/>
              <w:right w:val="single" w:sz="4" w:space="0" w:color="auto"/>
            </w:tcBorders>
            <w:shd w:val="clear" w:color="auto" w:fill="auto"/>
            <w:noWrap/>
            <w:vAlign w:val="bottom"/>
            <w:hideMark/>
          </w:tcPr>
          <w:p w14:paraId="436F283C" w14:textId="77777777" w:rsidR="005530FC" w:rsidRPr="005530FC" w:rsidRDefault="005530FC" w:rsidP="005530FC">
            <w:pPr>
              <w:spacing w:after="0" w:line="240" w:lineRule="auto"/>
              <w:rPr>
                <w:rFonts w:ascii="Calibri" w:eastAsia="Times New Roman" w:hAnsi="Calibri" w:cs="Times New Roman"/>
                <w:b/>
                <w:bCs/>
                <w:color w:val="000000"/>
              </w:rPr>
            </w:pPr>
            <w:r w:rsidRPr="005530FC">
              <w:rPr>
                <w:rFonts w:ascii="Calibri" w:eastAsia="Times New Roman" w:hAnsi="Calibri" w:cs="Times New Roman"/>
                <w:b/>
                <w:bCs/>
                <w:color w:val="000000"/>
              </w:rPr>
              <w:t> </w:t>
            </w:r>
          </w:p>
        </w:tc>
        <w:tc>
          <w:tcPr>
            <w:tcW w:w="1500" w:type="dxa"/>
            <w:tcBorders>
              <w:top w:val="nil"/>
              <w:left w:val="nil"/>
              <w:bottom w:val="single" w:sz="4" w:space="0" w:color="auto"/>
              <w:right w:val="single" w:sz="4" w:space="0" w:color="auto"/>
            </w:tcBorders>
            <w:shd w:val="clear" w:color="auto" w:fill="auto"/>
            <w:noWrap/>
            <w:vAlign w:val="bottom"/>
            <w:hideMark/>
          </w:tcPr>
          <w:p w14:paraId="1A675825" w14:textId="77777777" w:rsidR="005530FC" w:rsidRPr="005530FC" w:rsidRDefault="005530FC" w:rsidP="005530FC">
            <w:pPr>
              <w:spacing w:after="0" w:line="240" w:lineRule="auto"/>
              <w:rPr>
                <w:rFonts w:ascii="Calibri" w:eastAsia="Times New Roman" w:hAnsi="Calibri" w:cs="Times New Roman"/>
                <w:b/>
                <w:bCs/>
                <w:color w:val="000000"/>
              </w:rPr>
            </w:pPr>
            <w:r w:rsidRPr="005530FC">
              <w:rPr>
                <w:rFonts w:ascii="Calibri" w:eastAsia="Times New Roman" w:hAnsi="Calibri" w:cs="Times New Roman"/>
                <w:b/>
                <w:bCs/>
                <w:color w:val="000000"/>
              </w:rPr>
              <w:t> </w:t>
            </w:r>
          </w:p>
        </w:tc>
      </w:tr>
      <w:tr w:rsidR="005530FC" w:rsidRPr="005530FC" w14:paraId="55231043" w14:textId="77777777" w:rsidTr="005530FC">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58B59DC9" w14:textId="77777777" w:rsidR="005530FC" w:rsidRPr="005530FC" w:rsidRDefault="005530FC" w:rsidP="005530FC">
            <w:pPr>
              <w:spacing w:after="0" w:line="240" w:lineRule="auto"/>
              <w:ind w:firstLineChars="200" w:firstLine="440"/>
              <w:rPr>
                <w:rFonts w:ascii="Calibri" w:eastAsia="Times New Roman" w:hAnsi="Calibri" w:cs="Times New Roman"/>
                <w:color w:val="000000"/>
              </w:rPr>
            </w:pPr>
            <w:r w:rsidRPr="005530FC">
              <w:rPr>
                <w:rFonts w:ascii="Calibri" w:eastAsia="Times New Roman" w:hAnsi="Calibri" w:cs="Times New Roman"/>
                <w:color w:val="000000"/>
              </w:rPr>
              <w:t>Response and Recovery Costs</w:t>
            </w:r>
          </w:p>
        </w:tc>
        <w:tc>
          <w:tcPr>
            <w:tcW w:w="1420" w:type="dxa"/>
            <w:tcBorders>
              <w:top w:val="nil"/>
              <w:left w:val="nil"/>
              <w:bottom w:val="single" w:sz="4" w:space="0" w:color="auto"/>
              <w:right w:val="single" w:sz="4" w:space="0" w:color="auto"/>
            </w:tcBorders>
            <w:shd w:val="clear" w:color="auto" w:fill="auto"/>
            <w:noWrap/>
            <w:vAlign w:val="bottom"/>
            <w:hideMark/>
          </w:tcPr>
          <w:p w14:paraId="4A731D82" w14:textId="11EB1995" w:rsidR="005530FC" w:rsidRPr="005530FC" w:rsidRDefault="005530FC" w:rsidP="005530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5530FC">
              <w:rPr>
                <w:rFonts w:ascii="Calibri" w:eastAsia="Times New Roman" w:hAnsi="Calibri" w:cs="Times New Roman"/>
                <w:color w:val="000000"/>
              </w:rPr>
              <w:t>451,706</w:t>
            </w:r>
          </w:p>
        </w:tc>
        <w:tc>
          <w:tcPr>
            <w:tcW w:w="1500" w:type="dxa"/>
            <w:tcBorders>
              <w:top w:val="nil"/>
              <w:left w:val="nil"/>
              <w:bottom w:val="single" w:sz="4" w:space="0" w:color="auto"/>
              <w:right w:val="single" w:sz="4" w:space="0" w:color="auto"/>
            </w:tcBorders>
            <w:shd w:val="clear" w:color="auto" w:fill="auto"/>
            <w:noWrap/>
            <w:vAlign w:val="bottom"/>
            <w:hideMark/>
          </w:tcPr>
          <w:p w14:paraId="3D3FD6DF" w14:textId="625067EB" w:rsidR="005530FC" w:rsidRPr="005530FC" w:rsidRDefault="005530FC" w:rsidP="005530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5530FC">
              <w:rPr>
                <w:rFonts w:ascii="Calibri" w:eastAsia="Times New Roman" w:hAnsi="Calibri" w:cs="Times New Roman"/>
                <w:color w:val="000000"/>
              </w:rPr>
              <w:t>752,843</w:t>
            </w:r>
          </w:p>
        </w:tc>
      </w:tr>
      <w:tr w:rsidR="005530FC" w:rsidRPr="005530FC" w14:paraId="12C5EFBA" w14:textId="77777777" w:rsidTr="005530FC">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3D33BFB8" w14:textId="77777777" w:rsidR="005530FC" w:rsidRPr="005530FC" w:rsidRDefault="005530FC" w:rsidP="005530FC">
            <w:pPr>
              <w:spacing w:after="0" w:line="240" w:lineRule="auto"/>
              <w:ind w:firstLineChars="200" w:firstLine="440"/>
              <w:rPr>
                <w:rFonts w:ascii="Calibri" w:eastAsia="Times New Roman" w:hAnsi="Calibri" w:cs="Times New Roman"/>
                <w:color w:val="000000"/>
              </w:rPr>
            </w:pPr>
            <w:r w:rsidRPr="005530FC">
              <w:rPr>
                <w:rFonts w:ascii="Calibri" w:eastAsia="Times New Roman" w:hAnsi="Calibri" w:cs="Times New Roman"/>
                <w:color w:val="000000"/>
              </w:rPr>
              <w:t>Direct Loss Reduction</w:t>
            </w:r>
          </w:p>
        </w:tc>
        <w:tc>
          <w:tcPr>
            <w:tcW w:w="1420" w:type="dxa"/>
            <w:tcBorders>
              <w:top w:val="nil"/>
              <w:left w:val="nil"/>
              <w:bottom w:val="single" w:sz="4" w:space="0" w:color="auto"/>
              <w:right w:val="single" w:sz="4" w:space="0" w:color="auto"/>
            </w:tcBorders>
            <w:shd w:val="clear" w:color="auto" w:fill="auto"/>
            <w:noWrap/>
            <w:vAlign w:val="bottom"/>
            <w:hideMark/>
          </w:tcPr>
          <w:p w14:paraId="054EC678" w14:textId="03411C89" w:rsidR="005530FC" w:rsidRPr="005530FC" w:rsidRDefault="005530FC" w:rsidP="005530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5530FC">
              <w:rPr>
                <w:rFonts w:ascii="Calibri" w:eastAsia="Times New Roman" w:hAnsi="Calibri" w:cs="Times New Roman"/>
                <w:color w:val="000000"/>
              </w:rPr>
              <w:t>195,739</w:t>
            </w:r>
          </w:p>
        </w:tc>
        <w:tc>
          <w:tcPr>
            <w:tcW w:w="1500" w:type="dxa"/>
            <w:tcBorders>
              <w:top w:val="nil"/>
              <w:left w:val="nil"/>
              <w:bottom w:val="single" w:sz="4" w:space="0" w:color="auto"/>
              <w:right w:val="single" w:sz="4" w:space="0" w:color="auto"/>
            </w:tcBorders>
            <w:shd w:val="clear" w:color="auto" w:fill="auto"/>
            <w:noWrap/>
            <w:vAlign w:val="bottom"/>
            <w:hideMark/>
          </w:tcPr>
          <w:p w14:paraId="3A20AE27" w14:textId="41AF81AE" w:rsidR="005530FC" w:rsidRPr="005530FC" w:rsidRDefault="005530FC" w:rsidP="005530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5530FC">
              <w:rPr>
                <w:rFonts w:ascii="Calibri" w:eastAsia="Times New Roman" w:hAnsi="Calibri" w:cs="Times New Roman"/>
                <w:color w:val="000000"/>
              </w:rPr>
              <w:t>0</w:t>
            </w:r>
          </w:p>
        </w:tc>
      </w:tr>
      <w:tr w:rsidR="005530FC" w:rsidRPr="005530FC" w14:paraId="70362D56" w14:textId="77777777" w:rsidTr="005530FC">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4E8A7914" w14:textId="77777777" w:rsidR="005530FC" w:rsidRPr="005530FC" w:rsidRDefault="005530FC" w:rsidP="005530FC">
            <w:pPr>
              <w:spacing w:after="0" w:line="240" w:lineRule="auto"/>
              <w:ind w:firstLineChars="200" w:firstLine="440"/>
              <w:rPr>
                <w:rFonts w:ascii="Calibri" w:eastAsia="Times New Roman" w:hAnsi="Calibri" w:cs="Times New Roman"/>
                <w:color w:val="000000"/>
              </w:rPr>
            </w:pPr>
            <w:r w:rsidRPr="005530FC">
              <w:rPr>
                <w:rFonts w:ascii="Calibri" w:eastAsia="Times New Roman" w:hAnsi="Calibri" w:cs="Times New Roman"/>
                <w:color w:val="000000"/>
              </w:rPr>
              <w:t>Indirect Losses</w:t>
            </w:r>
          </w:p>
        </w:tc>
        <w:tc>
          <w:tcPr>
            <w:tcW w:w="1420" w:type="dxa"/>
            <w:tcBorders>
              <w:top w:val="nil"/>
              <w:left w:val="nil"/>
              <w:bottom w:val="single" w:sz="4" w:space="0" w:color="auto"/>
              <w:right w:val="single" w:sz="4" w:space="0" w:color="auto"/>
            </w:tcBorders>
            <w:shd w:val="clear" w:color="auto" w:fill="auto"/>
            <w:noWrap/>
            <w:vAlign w:val="bottom"/>
            <w:hideMark/>
          </w:tcPr>
          <w:p w14:paraId="3153CB2F" w14:textId="73F0581B" w:rsidR="005530FC" w:rsidRPr="005530FC" w:rsidRDefault="005530FC" w:rsidP="005530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5530FC">
              <w:rPr>
                <w:rFonts w:ascii="Calibri" w:eastAsia="Times New Roman" w:hAnsi="Calibri" w:cs="Times New Roman"/>
                <w:color w:val="000000"/>
              </w:rPr>
              <w:t>1,505,687</w:t>
            </w:r>
          </w:p>
        </w:tc>
        <w:tc>
          <w:tcPr>
            <w:tcW w:w="1500" w:type="dxa"/>
            <w:tcBorders>
              <w:top w:val="nil"/>
              <w:left w:val="nil"/>
              <w:bottom w:val="single" w:sz="4" w:space="0" w:color="auto"/>
              <w:right w:val="single" w:sz="4" w:space="0" w:color="auto"/>
            </w:tcBorders>
            <w:shd w:val="clear" w:color="auto" w:fill="auto"/>
            <w:noWrap/>
            <w:vAlign w:val="bottom"/>
            <w:hideMark/>
          </w:tcPr>
          <w:p w14:paraId="76A69885" w14:textId="60B3870A" w:rsidR="005530FC" w:rsidRPr="005530FC" w:rsidRDefault="005530FC" w:rsidP="005530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5530FC">
              <w:rPr>
                <w:rFonts w:ascii="Calibri" w:eastAsia="Times New Roman" w:hAnsi="Calibri" w:cs="Times New Roman"/>
                <w:color w:val="000000"/>
              </w:rPr>
              <w:t>2,634,951</w:t>
            </w:r>
          </w:p>
        </w:tc>
      </w:tr>
      <w:tr w:rsidR="005530FC" w:rsidRPr="005530FC" w14:paraId="6134DD4E" w14:textId="77777777" w:rsidTr="005530FC">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6976225E" w14:textId="77777777" w:rsidR="005530FC" w:rsidRPr="005530FC" w:rsidRDefault="005530FC" w:rsidP="005530FC">
            <w:pPr>
              <w:spacing w:after="0" w:line="240" w:lineRule="auto"/>
              <w:rPr>
                <w:rFonts w:ascii="Calibri" w:eastAsia="Times New Roman" w:hAnsi="Calibri" w:cs="Times New Roman"/>
                <w:b/>
                <w:bCs/>
                <w:color w:val="000000"/>
              </w:rPr>
            </w:pPr>
            <w:r w:rsidRPr="005530FC">
              <w:rPr>
                <w:rFonts w:ascii="Calibri" w:eastAsia="Times New Roman" w:hAnsi="Calibri" w:cs="Times New Roman"/>
                <w:b/>
                <w:bCs/>
                <w:color w:val="000000"/>
              </w:rPr>
              <w:t>Disaster Non-Market Benefits</w:t>
            </w:r>
          </w:p>
        </w:tc>
        <w:tc>
          <w:tcPr>
            <w:tcW w:w="1420" w:type="dxa"/>
            <w:tcBorders>
              <w:top w:val="nil"/>
              <w:left w:val="nil"/>
              <w:bottom w:val="single" w:sz="4" w:space="0" w:color="auto"/>
              <w:right w:val="single" w:sz="4" w:space="0" w:color="auto"/>
            </w:tcBorders>
            <w:shd w:val="clear" w:color="auto" w:fill="auto"/>
            <w:noWrap/>
            <w:vAlign w:val="bottom"/>
            <w:hideMark/>
          </w:tcPr>
          <w:p w14:paraId="7411602A" w14:textId="77777777" w:rsidR="005530FC" w:rsidRPr="005530FC" w:rsidRDefault="005530FC" w:rsidP="005530FC">
            <w:pPr>
              <w:spacing w:after="0" w:line="240" w:lineRule="auto"/>
              <w:rPr>
                <w:rFonts w:ascii="Calibri" w:eastAsia="Times New Roman" w:hAnsi="Calibri" w:cs="Times New Roman"/>
                <w:color w:val="000000"/>
              </w:rPr>
            </w:pPr>
            <w:r w:rsidRPr="005530FC">
              <w:rPr>
                <w:rFonts w:ascii="Calibri" w:eastAsia="Times New Roman" w:hAnsi="Calibri" w:cs="Times New Roman"/>
                <w:color w:val="000000"/>
              </w:rPr>
              <w:t> </w:t>
            </w:r>
          </w:p>
        </w:tc>
        <w:tc>
          <w:tcPr>
            <w:tcW w:w="1500" w:type="dxa"/>
            <w:tcBorders>
              <w:top w:val="nil"/>
              <w:left w:val="nil"/>
              <w:bottom w:val="single" w:sz="4" w:space="0" w:color="auto"/>
              <w:right w:val="single" w:sz="4" w:space="0" w:color="auto"/>
            </w:tcBorders>
            <w:shd w:val="clear" w:color="auto" w:fill="auto"/>
            <w:noWrap/>
            <w:vAlign w:val="bottom"/>
            <w:hideMark/>
          </w:tcPr>
          <w:p w14:paraId="59A31A4D" w14:textId="77777777" w:rsidR="005530FC" w:rsidRPr="005530FC" w:rsidRDefault="005530FC" w:rsidP="005530FC">
            <w:pPr>
              <w:spacing w:after="0" w:line="240" w:lineRule="auto"/>
              <w:rPr>
                <w:rFonts w:ascii="Calibri" w:eastAsia="Times New Roman" w:hAnsi="Calibri" w:cs="Times New Roman"/>
                <w:color w:val="000000"/>
              </w:rPr>
            </w:pPr>
            <w:r w:rsidRPr="005530FC">
              <w:rPr>
                <w:rFonts w:ascii="Calibri" w:eastAsia="Times New Roman" w:hAnsi="Calibri" w:cs="Times New Roman"/>
                <w:color w:val="000000"/>
              </w:rPr>
              <w:t> </w:t>
            </w:r>
          </w:p>
        </w:tc>
      </w:tr>
      <w:tr w:rsidR="005530FC" w:rsidRPr="005530FC" w14:paraId="7751AE68" w14:textId="77777777" w:rsidTr="005530FC">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441AD14D" w14:textId="77777777" w:rsidR="005530FC" w:rsidRPr="005530FC" w:rsidRDefault="005530FC" w:rsidP="005530FC">
            <w:pPr>
              <w:spacing w:after="0" w:line="240" w:lineRule="auto"/>
              <w:ind w:firstLineChars="200" w:firstLine="440"/>
              <w:rPr>
                <w:rFonts w:ascii="Calibri" w:eastAsia="Times New Roman" w:hAnsi="Calibri" w:cs="Times New Roman"/>
                <w:color w:val="000000"/>
              </w:rPr>
            </w:pPr>
            <w:r w:rsidRPr="005530FC">
              <w:rPr>
                <w:rFonts w:ascii="Calibri" w:eastAsia="Times New Roman" w:hAnsi="Calibri" w:cs="Times New Roman"/>
                <w:color w:val="000000"/>
              </w:rPr>
              <w:t>Value of Statistical Lives Saved</w:t>
            </w:r>
          </w:p>
        </w:tc>
        <w:tc>
          <w:tcPr>
            <w:tcW w:w="1420" w:type="dxa"/>
            <w:tcBorders>
              <w:top w:val="nil"/>
              <w:left w:val="nil"/>
              <w:bottom w:val="single" w:sz="4" w:space="0" w:color="auto"/>
              <w:right w:val="single" w:sz="4" w:space="0" w:color="auto"/>
            </w:tcBorders>
            <w:shd w:val="clear" w:color="auto" w:fill="auto"/>
            <w:noWrap/>
            <w:vAlign w:val="bottom"/>
            <w:hideMark/>
          </w:tcPr>
          <w:p w14:paraId="53DC5A40" w14:textId="667107AF" w:rsidR="005530FC" w:rsidRPr="005530FC" w:rsidRDefault="005530FC" w:rsidP="005530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5530FC">
              <w:rPr>
                <w:rFonts w:ascii="Calibri" w:eastAsia="Times New Roman" w:hAnsi="Calibri" w:cs="Times New Roman"/>
                <w:color w:val="000000"/>
              </w:rPr>
              <w:t>564,632</w:t>
            </w:r>
          </w:p>
        </w:tc>
        <w:tc>
          <w:tcPr>
            <w:tcW w:w="1500" w:type="dxa"/>
            <w:tcBorders>
              <w:top w:val="nil"/>
              <w:left w:val="nil"/>
              <w:bottom w:val="single" w:sz="4" w:space="0" w:color="auto"/>
              <w:right w:val="single" w:sz="4" w:space="0" w:color="auto"/>
            </w:tcBorders>
            <w:shd w:val="clear" w:color="auto" w:fill="auto"/>
            <w:noWrap/>
            <w:vAlign w:val="bottom"/>
            <w:hideMark/>
          </w:tcPr>
          <w:p w14:paraId="477F3CF0" w14:textId="1940A981" w:rsidR="005530FC" w:rsidRPr="005530FC" w:rsidRDefault="005530FC" w:rsidP="005530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5530FC">
              <w:rPr>
                <w:rFonts w:ascii="Calibri" w:eastAsia="Times New Roman" w:hAnsi="Calibri" w:cs="Times New Roman"/>
                <w:color w:val="000000"/>
              </w:rPr>
              <w:t>1,129,265</w:t>
            </w:r>
          </w:p>
        </w:tc>
      </w:tr>
      <w:tr w:rsidR="005530FC" w:rsidRPr="005530FC" w14:paraId="0AD353CE" w14:textId="77777777" w:rsidTr="005530FC">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139CC937" w14:textId="77777777" w:rsidR="005530FC" w:rsidRPr="005530FC" w:rsidRDefault="005530FC" w:rsidP="005530FC">
            <w:pPr>
              <w:spacing w:after="0" w:line="240" w:lineRule="auto"/>
              <w:ind w:firstLineChars="200" w:firstLine="440"/>
              <w:rPr>
                <w:rFonts w:ascii="Calibri" w:eastAsia="Times New Roman" w:hAnsi="Calibri" w:cs="Times New Roman"/>
                <w:color w:val="000000"/>
              </w:rPr>
            </w:pPr>
            <w:r w:rsidRPr="005530FC">
              <w:rPr>
                <w:rFonts w:ascii="Calibri" w:eastAsia="Times New Roman" w:hAnsi="Calibri" w:cs="Times New Roman"/>
                <w:color w:val="000000"/>
              </w:rPr>
              <w:t>Number of Statistical Lives Saved</w:t>
            </w:r>
          </w:p>
        </w:tc>
        <w:tc>
          <w:tcPr>
            <w:tcW w:w="1420" w:type="dxa"/>
            <w:tcBorders>
              <w:top w:val="nil"/>
              <w:left w:val="nil"/>
              <w:bottom w:val="single" w:sz="4" w:space="0" w:color="auto"/>
              <w:right w:val="single" w:sz="4" w:space="0" w:color="auto"/>
            </w:tcBorders>
            <w:shd w:val="clear" w:color="auto" w:fill="auto"/>
            <w:noWrap/>
            <w:vAlign w:val="bottom"/>
            <w:hideMark/>
          </w:tcPr>
          <w:p w14:paraId="00DFF928" w14:textId="77777777" w:rsidR="005530FC" w:rsidRPr="005530FC" w:rsidRDefault="005530FC" w:rsidP="005530FC">
            <w:pPr>
              <w:spacing w:after="0" w:line="240" w:lineRule="auto"/>
              <w:jc w:val="right"/>
              <w:rPr>
                <w:rFonts w:ascii="Calibri" w:eastAsia="Times New Roman" w:hAnsi="Calibri" w:cs="Times New Roman"/>
                <w:color w:val="000000"/>
              </w:rPr>
            </w:pPr>
            <w:r w:rsidRPr="005530FC">
              <w:rPr>
                <w:rFonts w:ascii="Calibri" w:eastAsia="Times New Roman" w:hAnsi="Calibri" w:cs="Times New Roman"/>
                <w:color w:val="000000"/>
              </w:rPr>
              <w:t>0.2</w:t>
            </w:r>
          </w:p>
        </w:tc>
        <w:tc>
          <w:tcPr>
            <w:tcW w:w="1500" w:type="dxa"/>
            <w:tcBorders>
              <w:top w:val="nil"/>
              <w:left w:val="nil"/>
              <w:bottom w:val="single" w:sz="4" w:space="0" w:color="auto"/>
              <w:right w:val="single" w:sz="4" w:space="0" w:color="auto"/>
            </w:tcBorders>
            <w:shd w:val="clear" w:color="auto" w:fill="auto"/>
            <w:noWrap/>
            <w:vAlign w:val="bottom"/>
            <w:hideMark/>
          </w:tcPr>
          <w:p w14:paraId="2B663386" w14:textId="77777777" w:rsidR="005530FC" w:rsidRPr="005530FC" w:rsidRDefault="005530FC" w:rsidP="005530FC">
            <w:pPr>
              <w:spacing w:after="0" w:line="240" w:lineRule="auto"/>
              <w:jc w:val="right"/>
              <w:rPr>
                <w:rFonts w:ascii="Calibri" w:eastAsia="Times New Roman" w:hAnsi="Calibri" w:cs="Times New Roman"/>
                <w:color w:val="000000"/>
              </w:rPr>
            </w:pPr>
            <w:r w:rsidRPr="005530FC">
              <w:rPr>
                <w:rFonts w:ascii="Calibri" w:eastAsia="Times New Roman" w:hAnsi="Calibri" w:cs="Times New Roman"/>
                <w:color w:val="000000"/>
              </w:rPr>
              <w:t>0.4</w:t>
            </w:r>
          </w:p>
        </w:tc>
      </w:tr>
      <w:tr w:rsidR="005530FC" w:rsidRPr="005530FC" w14:paraId="09E8B64C" w14:textId="77777777" w:rsidTr="005530FC">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6842C6AF" w14:textId="77777777" w:rsidR="005530FC" w:rsidRPr="005530FC" w:rsidRDefault="005530FC" w:rsidP="005530FC">
            <w:pPr>
              <w:spacing w:after="0" w:line="240" w:lineRule="auto"/>
              <w:rPr>
                <w:rFonts w:ascii="Calibri" w:eastAsia="Times New Roman" w:hAnsi="Calibri" w:cs="Times New Roman"/>
                <w:b/>
                <w:bCs/>
                <w:color w:val="000000"/>
              </w:rPr>
            </w:pPr>
            <w:r w:rsidRPr="005530FC">
              <w:rPr>
                <w:rFonts w:ascii="Calibri" w:eastAsia="Times New Roman" w:hAnsi="Calibri" w:cs="Times New Roman"/>
                <w:b/>
                <w:bCs/>
                <w:color w:val="000000"/>
              </w:rPr>
              <w:t>Non-disaster Related Benefits</w:t>
            </w:r>
          </w:p>
        </w:tc>
        <w:tc>
          <w:tcPr>
            <w:tcW w:w="1420" w:type="dxa"/>
            <w:tcBorders>
              <w:top w:val="nil"/>
              <w:left w:val="nil"/>
              <w:bottom w:val="single" w:sz="4" w:space="0" w:color="auto"/>
              <w:right w:val="single" w:sz="4" w:space="0" w:color="auto"/>
            </w:tcBorders>
            <w:shd w:val="clear" w:color="auto" w:fill="auto"/>
            <w:noWrap/>
            <w:vAlign w:val="bottom"/>
            <w:hideMark/>
          </w:tcPr>
          <w:p w14:paraId="64CD1CA6" w14:textId="77777777" w:rsidR="005530FC" w:rsidRPr="005530FC" w:rsidRDefault="005530FC" w:rsidP="005530FC">
            <w:pPr>
              <w:spacing w:after="0" w:line="240" w:lineRule="auto"/>
              <w:rPr>
                <w:rFonts w:ascii="Calibri" w:eastAsia="Times New Roman" w:hAnsi="Calibri" w:cs="Times New Roman"/>
                <w:color w:val="000000"/>
              </w:rPr>
            </w:pPr>
            <w:r w:rsidRPr="005530FC">
              <w:rPr>
                <w:rFonts w:ascii="Calibri" w:eastAsia="Times New Roman" w:hAnsi="Calibri" w:cs="Times New Roman"/>
                <w:color w:val="000000"/>
              </w:rPr>
              <w:t> </w:t>
            </w:r>
          </w:p>
        </w:tc>
        <w:tc>
          <w:tcPr>
            <w:tcW w:w="1500" w:type="dxa"/>
            <w:tcBorders>
              <w:top w:val="nil"/>
              <w:left w:val="nil"/>
              <w:bottom w:val="single" w:sz="4" w:space="0" w:color="auto"/>
              <w:right w:val="single" w:sz="4" w:space="0" w:color="auto"/>
            </w:tcBorders>
            <w:shd w:val="clear" w:color="auto" w:fill="auto"/>
            <w:noWrap/>
            <w:vAlign w:val="bottom"/>
            <w:hideMark/>
          </w:tcPr>
          <w:p w14:paraId="2BD0F235" w14:textId="77777777" w:rsidR="005530FC" w:rsidRPr="005530FC" w:rsidRDefault="005530FC" w:rsidP="005530FC">
            <w:pPr>
              <w:spacing w:after="0" w:line="240" w:lineRule="auto"/>
              <w:rPr>
                <w:rFonts w:ascii="Calibri" w:eastAsia="Times New Roman" w:hAnsi="Calibri" w:cs="Times New Roman"/>
                <w:color w:val="000000"/>
              </w:rPr>
            </w:pPr>
            <w:r w:rsidRPr="005530FC">
              <w:rPr>
                <w:rFonts w:ascii="Calibri" w:eastAsia="Times New Roman" w:hAnsi="Calibri" w:cs="Times New Roman"/>
                <w:color w:val="000000"/>
              </w:rPr>
              <w:t> </w:t>
            </w:r>
          </w:p>
        </w:tc>
      </w:tr>
      <w:tr w:rsidR="005530FC" w:rsidRPr="005530FC" w14:paraId="313A4532" w14:textId="77777777" w:rsidTr="005530FC">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3FA62952" w14:textId="77777777" w:rsidR="005530FC" w:rsidRPr="005530FC" w:rsidRDefault="005530FC" w:rsidP="005530FC">
            <w:pPr>
              <w:spacing w:after="0" w:line="240" w:lineRule="auto"/>
              <w:ind w:firstLineChars="200" w:firstLine="440"/>
              <w:rPr>
                <w:rFonts w:ascii="Calibri" w:eastAsia="Times New Roman" w:hAnsi="Calibri" w:cs="Times New Roman"/>
                <w:color w:val="000000"/>
              </w:rPr>
            </w:pPr>
            <w:r w:rsidRPr="005530FC">
              <w:rPr>
                <w:rFonts w:ascii="Calibri" w:eastAsia="Times New Roman" w:hAnsi="Calibri" w:cs="Times New Roman"/>
                <w:color w:val="000000"/>
              </w:rPr>
              <w:t>One-Time</w:t>
            </w:r>
          </w:p>
        </w:tc>
        <w:tc>
          <w:tcPr>
            <w:tcW w:w="1420" w:type="dxa"/>
            <w:tcBorders>
              <w:top w:val="nil"/>
              <w:left w:val="nil"/>
              <w:bottom w:val="single" w:sz="4" w:space="0" w:color="auto"/>
              <w:right w:val="single" w:sz="4" w:space="0" w:color="auto"/>
            </w:tcBorders>
            <w:shd w:val="clear" w:color="auto" w:fill="auto"/>
            <w:noWrap/>
            <w:vAlign w:val="bottom"/>
            <w:hideMark/>
          </w:tcPr>
          <w:p w14:paraId="648C12F7" w14:textId="6ED9B7CD" w:rsidR="005530FC" w:rsidRPr="005530FC" w:rsidRDefault="005530FC" w:rsidP="005530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5530FC">
              <w:rPr>
                <w:rFonts w:ascii="Calibri" w:eastAsia="Times New Roman" w:hAnsi="Calibri" w:cs="Times New Roman"/>
                <w:color w:val="000000"/>
              </w:rPr>
              <w:t xml:space="preserve">0 </w:t>
            </w:r>
          </w:p>
        </w:tc>
        <w:tc>
          <w:tcPr>
            <w:tcW w:w="1500" w:type="dxa"/>
            <w:tcBorders>
              <w:top w:val="nil"/>
              <w:left w:val="nil"/>
              <w:bottom w:val="single" w:sz="4" w:space="0" w:color="auto"/>
              <w:right w:val="single" w:sz="4" w:space="0" w:color="auto"/>
            </w:tcBorders>
            <w:shd w:val="clear" w:color="auto" w:fill="auto"/>
            <w:noWrap/>
            <w:vAlign w:val="bottom"/>
            <w:hideMark/>
          </w:tcPr>
          <w:p w14:paraId="6CC08850" w14:textId="5EBA20AB" w:rsidR="005530FC" w:rsidRPr="005530FC" w:rsidRDefault="005530FC" w:rsidP="005530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5530FC">
              <w:rPr>
                <w:rFonts w:ascii="Calibri" w:eastAsia="Times New Roman" w:hAnsi="Calibri" w:cs="Times New Roman"/>
                <w:color w:val="000000"/>
              </w:rPr>
              <w:t xml:space="preserve">0 </w:t>
            </w:r>
          </w:p>
        </w:tc>
      </w:tr>
      <w:tr w:rsidR="005530FC" w:rsidRPr="005530FC" w14:paraId="68A3957C" w14:textId="77777777" w:rsidTr="005530FC">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237D6ACE" w14:textId="77777777" w:rsidR="005530FC" w:rsidRPr="005530FC" w:rsidRDefault="005530FC" w:rsidP="005530FC">
            <w:pPr>
              <w:spacing w:after="0" w:line="240" w:lineRule="auto"/>
              <w:ind w:firstLineChars="200" w:firstLine="440"/>
              <w:rPr>
                <w:rFonts w:ascii="Calibri" w:eastAsia="Times New Roman" w:hAnsi="Calibri" w:cs="Times New Roman"/>
                <w:color w:val="000000"/>
              </w:rPr>
            </w:pPr>
            <w:r w:rsidRPr="005530FC">
              <w:rPr>
                <w:rFonts w:ascii="Calibri" w:eastAsia="Times New Roman" w:hAnsi="Calibri" w:cs="Times New Roman"/>
                <w:color w:val="000000"/>
              </w:rPr>
              <w:t>Recurring</w:t>
            </w:r>
          </w:p>
        </w:tc>
        <w:tc>
          <w:tcPr>
            <w:tcW w:w="1420" w:type="dxa"/>
            <w:tcBorders>
              <w:top w:val="nil"/>
              <w:left w:val="nil"/>
              <w:bottom w:val="single" w:sz="4" w:space="0" w:color="auto"/>
              <w:right w:val="single" w:sz="4" w:space="0" w:color="auto"/>
            </w:tcBorders>
            <w:shd w:val="clear" w:color="auto" w:fill="auto"/>
            <w:noWrap/>
            <w:vAlign w:val="bottom"/>
            <w:hideMark/>
          </w:tcPr>
          <w:p w14:paraId="1D7719EF" w14:textId="316D1C39" w:rsidR="005530FC" w:rsidRPr="005530FC" w:rsidRDefault="005530FC" w:rsidP="005530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5530FC">
              <w:rPr>
                <w:rFonts w:ascii="Calibri" w:eastAsia="Times New Roman" w:hAnsi="Calibri" w:cs="Times New Roman"/>
                <w:color w:val="000000"/>
              </w:rPr>
              <w:t xml:space="preserve">0 </w:t>
            </w:r>
          </w:p>
        </w:tc>
        <w:tc>
          <w:tcPr>
            <w:tcW w:w="1500" w:type="dxa"/>
            <w:tcBorders>
              <w:top w:val="nil"/>
              <w:left w:val="nil"/>
              <w:bottom w:val="single" w:sz="4" w:space="0" w:color="auto"/>
              <w:right w:val="single" w:sz="4" w:space="0" w:color="auto"/>
            </w:tcBorders>
            <w:shd w:val="clear" w:color="auto" w:fill="auto"/>
            <w:noWrap/>
            <w:vAlign w:val="bottom"/>
            <w:hideMark/>
          </w:tcPr>
          <w:p w14:paraId="7D2AA908" w14:textId="41E08E26" w:rsidR="005530FC" w:rsidRPr="005530FC" w:rsidRDefault="005530FC" w:rsidP="005530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5530FC">
              <w:rPr>
                <w:rFonts w:ascii="Calibri" w:eastAsia="Times New Roman" w:hAnsi="Calibri" w:cs="Times New Roman"/>
                <w:color w:val="000000"/>
              </w:rPr>
              <w:t xml:space="preserve">1,790,317 </w:t>
            </w:r>
          </w:p>
        </w:tc>
      </w:tr>
      <w:tr w:rsidR="005530FC" w:rsidRPr="005530FC" w14:paraId="29994FA5" w14:textId="77777777" w:rsidTr="005530FC">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66AAA05E" w14:textId="77777777" w:rsidR="005530FC" w:rsidRPr="005530FC" w:rsidRDefault="005530FC" w:rsidP="005530FC">
            <w:pPr>
              <w:spacing w:after="0" w:line="240" w:lineRule="auto"/>
              <w:rPr>
                <w:rFonts w:ascii="Calibri" w:eastAsia="Times New Roman" w:hAnsi="Calibri" w:cs="Times New Roman"/>
                <w:b/>
                <w:bCs/>
                <w:color w:val="000000"/>
              </w:rPr>
            </w:pPr>
            <w:r w:rsidRPr="005530FC">
              <w:rPr>
                <w:rFonts w:ascii="Calibri" w:eastAsia="Times New Roman" w:hAnsi="Calibri" w:cs="Times New Roman"/>
                <w:b/>
                <w:bCs/>
                <w:color w:val="000000"/>
              </w:rPr>
              <w:t>Costs</w:t>
            </w:r>
          </w:p>
        </w:tc>
        <w:tc>
          <w:tcPr>
            <w:tcW w:w="1420" w:type="dxa"/>
            <w:tcBorders>
              <w:top w:val="nil"/>
              <w:left w:val="nil"/>
              <w:bottom w:val="single" w:sz="4" w:space="0" w:color="auto"/>
              <w:right w:val="single" w:sz="4" w:space="0" w:color="auto"/>
            </w:tcBorders>
            <w:shd w:val="clear" w:color="auto" w:fill="auto"/>
            <w:noWrap/>
            <w:vAlign w:val="bottom"/>
            <w:hideMark/>
          </w:tcPr>
          <w:p w14:paraId="3AD72CB0" w14:textId="77777777" w:rsidR="005530FC" w:rsidRPr="005530FC" w:rsidRDefault="005530FC" w:rsidP="005530FC">
            <w:pPr>
              <w:spacing w:after="0" w:line="240" w:lineRule="auto"/>
              <w:rPr>
                <w:rFonts w:ascii="Calibri" w:eastAsia="Times New Roman" w:hAnsi="Calibri" w:cs="Times New Roman"/>
                <w:color w:val="000000"/>
              </w:rPr>
            </w:pPr>
            <w:r w:rsidRPr="005530FC">
              <w:rPr>
                <w:rFonts w:ascii="Calibri" w:eastAsia="Times New Roman" w:hAnsi="Calibri" w:cs="Times New Roman"/>
                <w:color w:val="000000"/>
              </w:rPr>
              <w:t> </w:t>
            </w:r>
          </w:p>
        </w:tc>
        <w:tc>
          <w:tcPr>
            <w:tcW w:w="1500" w:type="dxa"/>
            <w:tcBorders>
              <w:top w:val="nil"/>
              <w:left w:val="nil"/>
              <w:bottom w:val="single" w:sz="4" w:space="0" w:color="auto"/>
              <w:right w:val="single" w:sz="4" w:space="0" w:color="auto"/>
            </w:tcBorders>
            <w:shd w:val="clear" w:color="auto" w:fill="auto"/>
            <w:noWrap/>
            <w:vAlign w:val="bottom"/>
            <w:hideMark/>
          </w:tcPr>
          <w:p w14:paraId="6BDA1D0C" w14:textId="77777777" w:rsidR="005530FC" w:rsidRPr="005530FC" w:rsidRDefault="005530FC" w:rsidP="005530FC">
            <w:pPr>
              <w:spacing w:after="0" w:line="240" w:lineRule="auto"/>
              <w:rPr>
                <w:rFonts w:ascii="Calibri" w:eastAsia="Times New Roman" w:hAnsi="Calibri" w:cs="Times New Roman"/>
                <w:color w:val="000000"/>
              </w:rPr>
            </w:pPr>
            <w:r w:rsidRPr="005530FC">
              <w:rPr>
                <w:rFonts w:ascii="Calibri" w:eastAsia="Times New Roman" w:hAnsi="Calibri" w:cs="Times New Roman"/>
                <w:color w:val="000000"/>
              </w:rPr>
              <w:t> </w:t>
            </w:r>
          </w:p>
        </w:tc>
      </w:tr>
      <w:tr w:rsidR="005530FC" w:rsidRPr="005530FC" w14:paraId="365362DA" w14:textId="77777777" w:rsidTr="005530FC">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79913133" w14:textId="77777777" w:rsidR="005530FC" w:rsidRPr="005530FC" w:rsidRDefault="005530FC" w:rsidP="005530FC">
            <w:pPr>
              <w:spacing w:after="0" w:line="240" w:lineRule="auto"/>
              <w:ind w:firstLineChars="200" w:firstLine="440"/>
              <w:rPr>
                <w:rFonts w:ascii="Calibri" w:eastAsia="Times New Roman" w:hAnsi="Calibri" w:cs="Times New Roman"/>
                <w:color w:val="000000"/>
              </w:rPr>
            </w:pPr>
            <w:r w:rsidRPr="005530FC">
              <w:rPr>
                <w:rFonts w:ascii="Calibri" w:eastAsia="Times New Roman" w:hAnsi="Calibri" w:cs="Times New Roman"/>
                <w:color w:val="000000"/>
              </w:rPr>
              <w:t>Direct Costs</w:t>
            </w:r>
          </w:p>
        </w:tc>
        <w:tc>
          <w:tcPr>
            <w:tcW w:w="1420" w:type="dxa"/>
            <w:tcBorders>
              <w:top w:val="nil"/>
              <w:left w:val="nil"/>
              <w:bottom w:val="single" w:sz="4" w:space="0" w:color="auto"/>
              <w:right w:val="single" w:sz="4" w:space="0" w:color="auto"/>
            </w:tcBorders>
            <w:shd w:val="clear" w:color="auto" w:fill="auto"/>
            <w:noWrap/>
            <w:vAlign w:val="bottom"/>
            <w:hideMark/>
          </w:tcPr>
          <w:p w14:paraId="52195D93" w14:textId="050ECBDA" w:rsidR="005530FC" w:rsidRPr="005530FC" w:rsidRDefault="005530FC" w:rsidP="005530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5530FC">
              <w:rPr>
                <w:rFonts w:ascii="Calibri" w:eastAsia="Times New Roman" w:hAnsi="Calibri" w:cs="Times New Roman"/>
                <w:color w:val="000000"/>
              </w:rPr>
              <w:t xml:space="preserve">3,000,000 </w:t>
            </w:r>
          </w:p>
        </w:tc>
        <w:tc>
          <w:tcPr>
            <w:tcW w:w="1500" w:type="dxa"/>
            <w:tcBorders>
              <w:top w:val="nil"/>
              <w:left w:val="nil"/>
              <w:bottom w:val="single" w:sz="4" w:space="0" w:color="auto"/>
              <w:right w:val="single" w:sz="4" w:space="0" w:color="auto"/>
            </w:tcBorders>
            <w:shd w:val="clear" w:color="auto" w:fill="auto"/>
            <w:noWrap/>
            <w:vAlign w:val="bottom"/>
            <w:hideMark/>
          </w:tcPr>
          <w:p w14:paraId="3227A78C" w14:textId="25842A4C" w:rsidR="005530FC" w:rsidRPr="005530FC" w:rsidRDefault="005530FC" w:rsidP="005530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5530FC">
              <w:rPr>
                <w:rFonts w:ascii="Calibri" w:eastAsia="Times New Roman" w:hAnsi="Calibri" w:cs="Times New Roman"/>
                <w:color w:val="000000"/>
              </w:rPr>
              <w:t xml:space="preserve">6,750,000 </w:t>
            </w:r>
          </w:p>
        </w:tc>
      </w:tr>
      <w:tr w:rsidR="005530FC" w:rsidRPr="005530FC" w14:paraId="32DCAFC6" w14:textId="77777777" w:rsidTr="005530FC">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3804197E" w14:textId="77777777" w:rsidR="005530FC" w:rsidRPr="005530FC" w:rsidRDefault="005530FC" w:rsidP="005530FC">
            <w:pPr>
              <w:spacing w:after="0" w:line="240" w:lineRule="auto"/>
              <w:ind w:firstLineChars="200" w:firstLine="440"/>
              <w:rPr>
                <w:rFonts w:ascii="Calibri" w:eastAsia="Times New Roman" w:hAnsi="Calibri" w:cs="Times New Roman"/>
                <w:color w:val="000000"/>
              </w:rPr>
            </w:pPr>
            <w:r w:rsidRPr="005530FC">
              <w:rPr>
                <w:rFonts w:ascii="Calibri" w:eastAsia="Times New Roman" w:hAnsi="Calibri" w:cs="Times New Roman"/>
                <w:color w:val="000000"/>
              </w:rPr>
              <w:t>Indirect Costs</w:t>
            </w:r>
          </w:p>
        </w:tc>
        <w:tc>
          <w:tcPr>
            <w:tcW w:w="1420" w:type="dxa"/>
            <w:tcBorders>
              <w:top w:val="nil"/>
              <w:left w:val="nil"/>
              <w:bottom w:val="single" w:sz="4" w:space="0" w:color="auto"/>
              <w:right w:val="single" w:sz="4" w:space="0" w:color="auto"/>
            </w:tcBorders>
            <w:shd w:val="clear" w:color="auto" w:fill="auto"/>
            <w:noWrap/>
            <w:vAlign w:val="bottom"/>
            <w:hideMark/>
          </w:tcPr>
          <w:p w14:paraId="1052B784" w14:textId="3459A9F4" w:rsidR="005530FC" w:rsidRPr="005530FC" w:rsidRDefault="005530FC" w:rsidP="005530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5530FC">
              <w:rPr>
                <w:rFonts w:ascii="Calibri" w:eastAsia="Times New Roman" w:hAnsi="Calibri" w:cs="Times New Roman"/>
                <w:color w:val="000000"/>
              </w:rPr>
              <w:t xml:space="preserve">500,000 </w:t>
            </w:r>
          </w:p>
        </w:tc>
        <w:tc>
          <w:tcPr>
            <w:tcW w:w="1500" w:type="dxa"/>
            <w:tcBorders>
              <w:top w:val="nil"/>
              <w:left w:val="nil"/>
              <w:bottom w:val="single" w:sz="4" w:space="0" w:color="auto"/>
              <w:right w:val="single" w:sz="4" w:space="0" w:color="auto"/>
            </w:tcBorders>
            <w:shd w:val="clear" w:color="auto" w:fill="auto"/>
            <w:noWrap/>
            <w:vAlign w:val="bottom"/>
            <w:hideMark/>
          </w:tcPr>
          <w:p w14:paraId="5056F408" w14:textId="5A5767D8" w:rsidR="005530FC" w:rsidRPr="005530FC" w:rsidRDefault="005530FC" w:rsidP="005530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5530FC">
              <w:rPr>
                <w:rFonts w:ascii="Calibri" w:eastAsia="Times New Roman" w:hAnsi="Calibri" w:cs="Times New Roman"/>
                <w:color w:val="000000"/>
              </w:rPr>
              <w:t xml:space="preserve">295,000 </w:t>
            </w:r>
          </w:p>
        </w:tc>
      </w:tr>
      <w:tr w:rsidR="005530FC" w:rsidRPr="005530FC" w14:paraId="7AD283D5" w14:textId="77777777" w:rsidTr="005530FC">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575002BD" w14:textId="77777777" w:rsidR="005530FC" w:rsidRPr="005530FC" w:rsidRDefault="005530FC" w:rsidP="005530FC">
            <w:pPr>
              <w:spacing w:after="0" w:line="240" w:lineRule="auto"/>
              <w:ind w:firstLineChars="200" w:firstLine="442"/>
              <w:rPr>
                <w:rFonts w:ascii="Calibri" w:eastAsia="Times New Roman" w:hAnsi="Calibri" w:cs="Times New Roman"/>
                <w:b/>
                <w:bCs/>
                <w:color w:val="000000"/>
              </w:rPr>
            </w:pPr>
            <w:r w:rsidRPr="005530FC">
              <w:rPr>
                <w:rFonts w:ascii="Calibri" w:eastAsia="Times New Roman" w:hAnsi="Calibri" w:cs="Times New Roman"/>
                <w:b/>
                <w:bCs/>
                <w:color w:val="000000"/>
              </w:rPr>
              <w:t>OMR</w:t>
            </w:r>
          </w:p>
        </w:tc>
        <w:tc>
          <w:tcPr>
            <w:tcW w:w="1420" w:type="dxa"/>
            <w:tcBorders>
              <w:top w:val="nil"/>
              <w:left w:val="nil"/>
              <w:bottom w:val="single" w:sz="4" w:space="0" w:color="auto"/>
              <w:right w:val="single" w:sz="4" w:space="0" w:color="auto"/>
            </w:tcBorders>
            <w:shd w:val="clear" w:color="auto" w:fill="auto"/>
            <w:noWrap/>
            <w:vAlign w:val="bottom"/>
            <w:hideMark/>
          </w:tcPr>
          <w:p w14:paraId="3385F543" w14:textId="77777777" w:rsidR="005530FC" w:rsidRPr="005530FC" w:rsidRDefault="005530FC" w:rsidP="005530FC">
            <w:pPr>
              <w:spacing w:after="0" w:line="240" w:lineRule="auto"/>
              <w:rPr>
                <w:rFonts w:ascii="Calibri" w:eastAsia="Times New Roman" w:hAnsi="Calibri" w:cs="Times New Roman"/>
                <w:color w:val="000000"/>
              </w:rPr>
            </w:pPr>
            <w:r w:rsidRPr="005530FC">
              <w:rPr>
                <w:rFonts w:ascii="Calibri" w:eastAsia="Times New Roman" w:hAnsi="Calibri" w:cs="Times New Roman"/>
                <w:color w:val="000000"/>
              </w:rPr>
              <w:t> </w:t>
            </w:r>
          </w:p>
        </w:tc>
        <w:tc>
          <w:tcPr>
            <w:tcW w:w="1500" w:type="dxa"/>
            <w:tcBorders>
              <w:top w:val="nil"/>
              <w:left w:val="nil"/>
              <w:bottom w:val="single" w:sz="4" w:space="0" w:color="auto"/>
              <w:right w:val="single" w:sz="4" w:space="0" w:color="auto"/>
            </w:tcBorders>
            <w:shd w:val="clear" w:color="auto" w:fill="auto"/>
            <w:noWrap/>
            <w:vAlign w:val="bottom"/>
            <w:hideMark/>
          </w:tcPr>
          <w:p w14:paraId="351ED4B2" w14:textId="77777777" w:rsidR="005530FC" w:rsidRPr="005530FC" w:rsidRDefault="005530FC" w:rsidP="005530FC">
            <w:pPr>
              <w:spacing w:after="0" w:line="240" w:lineRule="auto"/>
              <w:rPr>
                <w:rFonts w:ascii="Calibri" w:eastAsia="Times New Roman" w:hAnsi="Calibri" w:cs="Times New Roman"/>
                <w:color w:val="000000"/>
              </w:rPr>
            </w:pPr>
            <w:r w:rsidRPr="005530FC">
              <w:rPr>
                <w:rFonts w:ascii="Calibri" w:eastAsia="Times New Roman" w:hAnsi="Calibri" w:cs="Times New Roman"/>
                <w:color w:val="000000"/>
              </w:rPr>
              <w:t> </w:t>
            </w:r>
          </w:p>
        </w:tc>
      </w:tr>
      <w:tr w:rsidR="005530FC" w:rsidRPr="005530FC" w14:paraId="64EFB2EF" w14:textId="77777777" w:rsidTr="005530FC">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7918740B" w14:textId="77777777" w:rsidR="005530FC" w:rsidRPr="005530FC" w:rsidRDefault="005530FC" w:rsidP="005530FC">
            <w:pPr>
              <w:spacing w:after="0" w:line="240" w:lineRule="auto"/>
              <w:ind w:firstLineChars="400" w:firstLine="880"/>
              <w:rPr>
                <w:rFonts w:ascii="Calibri" w:eastAsia="Times New Roman" w:hAnsi="Calibri" w:cs="Times New Roman"/>
                <w:color w:val="000000"/>
              </w:rPr>
            </w:pPr>
            <w:r w:rsidRPr="005530FC">
              <w:rPr>
                <w:rFonts w:ascii="Calibri" w:eastAsia="Times New Roman" w:hAnsi="Calibri" w:cs="Times New Roman"/>
                <w:color w:val="000000"/>
              </w:rPr>
              <w:t>One-Time</w:t>
            </w:r>
          </w:p>
        </w:tc>
        <w:tc>
          <w:tcPr>
            <w:tcW w:w="1420" w:type="dxa"/>
            <w:tcBorders>
              <w:top w:val="nil"/>
              <w:left w:val="nil"/>
              <w:bottom w:val="single" w:sz="4" w:space="0" w:color="auto"/>
              <w:right w:val="single" w:sz="4" w:space="0" w:color="auto"/>
            </w:tcBorders>
            <w:shd w:val="clear" w:color="auto" w:fill="auto"/>
            <w:noWrap/>
            <w:vAlign w:val="bottom"/>
            <w:hideMark/>
          </w:tcPr>
          <w:p w14:paraId="3A28B8F7" w14:textId="5656E0F9" w:rsidR="005530FC" w:rsidRPr="005530FC" w:rsidRDefault="005530FC" w:rsidP="005530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5530FC">
              <w:rPr>
                <w:rFonts w:ascii="Calibri" w:eastAsia="Times New Roman" w:hAnsi="Calibri" w:cs="Times New Roman"/>
                <w:color w:val="000000"/>
              </w:rPr>
              <w:t xml:space="preserve">0 </w:t>
            </w:r>
          </w:p>
        </w:tc>
        <w:tc>
          <w:tcPr>
            <w:tcW w:w="1500" w:type="dxa"/>
            <w:tcBorders>
              <w:top w:val="nil"/>
              <w:left w:val="nil"/>
              <w:bottom w:val="single" w:sz="4" w:space="0" w:color="auto"/>
              <w:right w:val="single" w:sz="4" w:space="0" w:color="auto"/>
            </w:tcBorders>
            <w:shd w:val="clear" w:color="auto" w:fill="auto"/>
            <w:noWrap/>
            <w:vAlign w:val="bottom"/>
            <w:hideMark/>
          </w:tcPr>
          <w:p w14:paraId="474CB605" w14:textId="02C8399D" w:rsidR="005530FC" w:rsidRPr="005530FC" w:rsidRDefault="005530FC" w:rsidP="005530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5530FC">
              <w:rPr>
                <w:rFonts w:ascii="Calibri" w:eastAsia="Times New Roman" w:hAnsi="Calibri" w:cs="Times New Roman"/>
                <w:color w:val="000000"/>
              </w:rPr>
              <w:t xml:space="preserve">0 </w:t>
            </w:r>
          </w:p>
        </w:tc>
      </w:tr>
      <w:tr w:rsidR="005530FC" w:rsidRPr="005530FC" w14:paraId="6258D69B" w14:textId="77777777" w:rsidTr="005530FC">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5AB061D9" w14:textId="77777777" w:rsidR="005530FC" w:rsidRPr="005530FC" w:rsidRDefault="005530FC" w:rsidP="005530FC">
            <w:pPr>
              <w:spacing w:after="0" w:line="240" w:lineRule="auto"/>
              <w:ind w:firstLineChars="400" w:firstLine="880"/>
              <w:rPr>
                <w:rFonts w:ascii="Calibri" w:eastAsia="Times New Roman" w:hAnsi="Calibri" w:cs="Times New Roman"/>
                <w:color w:val="000000"/>
              </w:rPr>
            </w:pPr>
            <w:r w:rsidRPr="005530FC">
              <w:rPr>
                <w:rFonts w:ascii="Calibri" w:eastAsia="Times New Roman" w:hAnsi="Calibri" w:cs="Times New Roman"/>
                <w:color w:val="000000"/>
              </w:rPr>
              <w:t>Recurring</w:t>
            </w:r>
          </w:p>
        </w:tc>
        <w:tc>
          <w:tcPr>
            <w:tcW w:w="1420" w:type="dxa"/>
            <w:tcBorders>
              <w:top w:val="nil"/>
              <w:left w:val="nil"/>
              <w:bottom w:val="single" w:sz="4" w:space="0" w:color="auto"/>
              <w:right w:val="single" w:sz="4" w:space="0" w:color="auto"/>
            </w:tcBorders>
            <w:shd w:val="clear" w:color="auto" w:fill="auto"/>
            <w:noWrap/>
            <w:vAlign w:val="bottom"/>
            <w:hideMark/>
          </w:tcPr>
          <w:p w14:paraId="3BA6B8AB" w14:textId="5E019F5A" w:rsidR="005530FC" w:rsidRPr="005530FC" w:rsidRDefault="005530FC" w:rsidP="005530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5530FC">
              <w:rPr>
                <w:rFonts w:ascii="Calibri" w:eastAsia="Times New Roman" w:hAnsi="Calibri" w:cs="Times New Roman"/>
                <w:color w:val="000000"/>
              </w:rPr>
              <w:t xml:space="preserve">0 </w:t>
            </w:r>
          </w:p>
        </w:tc>
        <w:tc>
          <w:tcPr>
            <w:tcW w:w="1500" w:type="dxa"/>
            <w:tcBorders>
              <w:top w:val="nil"/>
              <w:left w:val="nil"/>
              <w:bottom w:val="single" w:sz="4" w:space="0" w:color="auto"/>
              <w:right w:val="single" w:sz="4" w:space="0" w:color="auto"/>
            </w:tcBorders>
            <w:shd w:val="clear" w:color="auto" w:fill="auto"/>
            <w:noWrap/>
            <w:vAlign w:val="bottom"/>
            <w:hideMark/>
          </w:tcPr>
          <w:p w14:paraId="0607551C" w14:textId="6637B92F" w:rsidR="005530FC" w:rsidRPr="005530FC" w:rsidRDefault="005530FC" w:rsidP="005530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5530FC">
              <w:rPr>
                <w:rFonts w:ascii="Calibri" w:eastAsia="Times New Roman" w:hAnsi="Calibri" w:cs="Times New Roman"/>
                <w:color w:val="000000"/>
              </w:rPr>
              <w:t xml:space="preserve">514,000 </w:t>
            </w:r>
          </w:p>
        </w:tc>
      </w:tr>
      <w:tr w:rsidR="005530FC" w:rsidRPr="005530FC" w14:paraId="5E4E77D1" w14:textId="77777777" w:rsidTr="005530FC">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052DE46F" w14:textId="77777777" w:rsidR="005530FC" w:rsidRPr="005530FC" w:rsidRDefault="005530FC" w:rsidP="005530FC">
            <w:pPr>
              <w:spacing w:after="0" w:line="240" w:lineRule="auto"/>
              <w:rPr>
                <w:rFonts w:ascii="Calibri" w:eastAsia="Times New Roman" w:hAnsi="Calibri" w:cs="Times New Roman"/>
                <w:b/>
                <w:bCs/>
                <w:color w:val="000000"/>
              </w:rPr>
            </w:pPr>
            <w:r w:rsidRPr="005530FC">
              <w:rPr>
                <w:rFonts w:ascii="Calibri" w:eastAsia="Times New Roman" w:hAnsi="Calibri" w:cs="Times New Roman"/>
                <w:b/>
                <w:bCs/>
                <w:color w:val="000000"/>
              </w:rPr>
              <w:t>Externalities</w:t>
            </w:r>
          </w:p>
        </w:tc>
        <w:tc>
          <w:tcPr>
            <w:tcW w:w="1420" w:type="dxa"/>
            <w:tcBorders>
              <w:top w:val="nil"/>
              <w:left w:val="nil"/>
              <w:bottom w:val="single" w:sz="4" w:space="0" w:color="auto"/>
              <w:right w:val="single" w:sz="4" w:space="0" w:color="auto"/>
            </w:tcBorders>
            <w:shd w:val="clear" w:color="auto" w:fill="auto"/>
            <w:noWrap/>
            <w:vAlign w:val="bottom"/>
            <w:hideMark/>
          </w:tcPr>
          <w:p w14:paraId="4CA12DEC" w14:textId="77777777" w:rsidR="005530FC" w:rsidRPr="005530FC" w:rsidRDefault="005530FC" w:rsidP="005530FC">
            <w:pPr>
              <w:spacing w:after="0" w:line="240" w:lineRule="auto"/>
              <w:rPr>
                <w:rFonts w:ascii="Calibri" w:eastAsia="Times New Roman" w:hAnsi="Calibri" w:cs="Times New Roman"/>
                <w:color w:val="000000"/>
              </w:rPr>
            </w:pPr>
            <w:r w:rsidRPr="005530FC">
              <w:rPr>
                <w:rFonts w:ascii="Calibri" w:eastAsia="Times New Roman" w:hAnsi="Calibri" w:cs="Times New Roman"/>
                <w:color w:val="000000"/>
              </w:rPr>
              <w:t> </w:t>
            </w:r>
          </w:p>
        </w:tc>
        <w:tc>
          <w:tcPr>
            <w:tcW w:w="1500" w:type="dxa"/>
            <w:tcBorders>
              <w:top w:val="nil"/>
              <w:left w:val="nil"/>
              <w:bottom w:val="single" w:sz="4" w:space="0" w:color="auto"/>
              <w:right w:val="single" w:sz="4" w:space="0" w:color="auto"/>
            </w:tcBorders>
            <w:shd w:val="clear" w:color="auto" w:fill="auto"/>
            <w:noWrap/>
            <w:vAlign w:val="bottom"/>
            <w:hideMark/>
          </w:tcPr>
          <w:p w14:paraId="5E6B8808" w14:textId="77777777" w:rsidR="005530FC" w:rsidRPr="005530FC" w:rsidRDefault="005530FC" w:rsidP="005530FC">
            <w:pPr>
              <w:spacing w:after="0" w:line="240" w:lineRule="auto"/>
              <w:rPr>
                <w:rFonts w:ascii="Calibri" w:eastAsia="Times New Roman" w:hAnsi="Calibri" w:cs="Times New Roman"/>
                <w:color w:val="000000"/>
              </w:rPr>
            </w:pPr>
            <w:r w:rsidRPr="005530FC">
              <w:rPr>
                <w:rFonts w:ascii="Calibri" w:eastAsia="Times New Roman" w:hAnsi="Calibri" w:cs="Times New Roman"/>
                <w:color w:val="000000"/>
              </w:rPr>
              <w:t> </w:t>
            </w:r>
          </w:p>
        </w:tc>
      </w:tr>
      <w:tr w:rsidR="005530FC" w:rsidRPr="005530FC" w14:paraId="1E7CF5C3" w14:textId="77777777" w:rsidTr="005530FC">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03576FC3" w14:textId="77777777" w:rsidR="005530FC" w:rsidRPr="005530FC" w:rsidRDefault="005530FC" w:rsidP="005530FC">
            <w:pPr>
              <w:spacing w:after="0" w:line="240" w:lineRule="auto"/>
              <w:ind w:firstLineChars="200" w:firstLine="442"/>
              <w:rPr>
                <w:rFonts w:ascii="Calibri" w:eastAsia="Times New Roman" w:hAnsi="Calibri" w:cs="Times New Roman"/>
                <w:b/>
                <w:bCs/>
                <w:color w:val="000000"/>
              </w:rPr>
            </w:pPr>
            <w:r w:rsidRPr="005530FC">
              <w:rPr>
                <w:rFonts w:ascii="Calibri" w:eastAsia="Times New Roman" w:hAnsi="Calibri" w:cs="Times New Roman"/>
                <w:b/>
                <w:bCs/>
                <w:color w:val="000000"/>
              </w:rPr>
              <w:t>Positive</w:t>
            </w:r>
          </w:p>
        </w:tc>
        <w:tc>
          <w:tcPr>
            <w:tcW w:w="1420" w:type="dxa"/>
            <w:tcBorders>
              <w:top w:val="nil"/>
              <w:left w:val="nil"/>
              <w:bottom w:val="single" w:sz="4" w:space="0" w:color="auto"/>
              <w:right w:val="single" w:sz="4" w:space="0" w:color="auto"/>
            </w:tcBorders>
            <w:shd w:val="clear" w:color="auto" w:fill="auto"/>
            <w:noWrap/>
            <w:vAlign w:val="bottom"/>
            <w:hideMark/>
          </w:tcPr>
          <w:p w14:paraId="4C672F5B" w14:textId="77777777" w:rsidR="005530FC" w:rsidRPr="005530FC" w:rsidRDefault="005530FC" w:rsidP="005530FC">
            <w:pPr>
              <w:spacing w:after="0" w:line="240" w:lineRule="auto"/>
              <w:rPr>
                <w:rFonts w:ascii="Calibri" w:eastAsia="Times New Roman" w:hAnsi="Calibri" w:cs="Times New Roman"/>
                <w:color w:val="000000"/>
              </w:rPr>
            </w:pPr>
            <w:r w:rsidRPr="005530FC">
              <w:rPr>
                <w:rFonts w:ascii="Calibri" w:eastAsia="Times New Roman" w:hAnsi="Calibri" w:cs="Times New Roman"/>
                <w:color w:val="000000"/>
              </w:rPr>
              <w:t> </w:t>
            </w:r>
          </w:p>
        </w:tc>
        <w:tc>
          <w:tcPr>
            <w:tcW w:w="1500" w:type="dxa"/>
            <w:tcBorders>
              <w:top w:val="nil"/>
              <w:left w:val="nil"/>
              <w:bottom w:val="single" w:sz="4" w:space="0" w:color="auto"/>
              <w:right w:val="single" w:sz="4" w:space="0" w:color="auto"/>
            </w:tcBorders>
            <w:shd w:val="clear" w:color="auto" w:fill="auto"/>
            <w:noWrap/>
            <w:vAlign w:val="bottom"/>
            <w:hideMark/>
          </w:tcPr>
          <w:p w14:paraId="2D9093A5" w14:textId="77777777" w:rsidR="005530FC" w:rsidRPr="005530FC" w:rsidRDefault="005530FC" w:rsidP="005530FC">
            <w:pPr>
              <w:spacing w:after="0" w:line="240" w:lineRule="auto"/>
              <w:rPr>
                <w:rFonts w:ascii="Calibri" w:eastAsia="Times New Roman" w:hAnsi="Calibri" w:cs="Times New Roman"/>
                <w:color w:val="000000"/>
              </w:rPr>
            </w:pPr>
            <w:r w:rsidRPr="005530FC">
              <w:rPr>
                <w:rFonts w:ascii="Calibri" w:eastAsia="Times New Roman" w:hAnsi="Calibri" w:cs="Times New Roman"/>
                <w:color w:val="000000"/>
              </w:rPr>
              <w:t> </w:t>
            </w:r>
          </w:p>
        </w:tc>
      </w:tr>
      <w:tr w:rsidR="005530FC" w:rsidRPr="005530FC" w14:paraId="0E2B2642" w14:textId="77777777" w:rsidTr="005530FC">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3AED04FE" w14:textId="77777777" w:rsidR="005530FC" w:rsidRPr="005530FC" w:rsidRDefault="005530FC" w:rsidP="005530FC">
            <w:pPr>
              <w:spacing w:after="0" w:line="240" w:lineRule="auto"/>
              <w:ind w:firstLineChars="400" w:firstLine="880"/>
              <w:rPr>
                <w:rFonts w:ascii="Calibri" w:eastAsia="Times New Roman" w:hAnsi="Calibri" w:cs="Times New Roman"/>
                <w:color w:val="000000"/>
              </w:rPr>
            </w:pPr>
            <w:r w:rsidRPr="005530FC">
              <w:rPr>
                <w:rFonts w:ascii="Calibri" w:eastAsia="Times New Roman" w:hAnsi="Calibri" w:cs="Times New Roman"/>
                <w:color w:val="000000"/>
              </w:rPr>
              <w:t>One-Time</w:t>
            </w:r>
          </w:p>
        </w:tc>
        <w:tc>
          <w:tcPr>
            <w:tcW w:w="1420" w:type="dxa"/>
            <w:tcBorders>
              <w:top w:val="nil"/>
              <w:left w:val="nil"/>
              <w:bottom w:val="single" w:sz="4" w:space="0" w:color="auto"/>
              <w:right w:val="single" w:sz="4" w:space="0" w:color="auto"/>
            </w:tcBorders>
            <w:shd w:val="clear" w:color="auto" w:fill="auto"/>
            <w:noWrap/>
            <w:vAlign w:val="bottom"/>
            <w:hideMark/>
          </w:tcPr>
          <w:p w14:paraId="31E5653B" w14:textId="7F4B29F1" w:rsidR="005530FC" w:rsidRPr="005530FC" w:rsidRDefault="005530FC" w:rsidP="005530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5530FC">
              <w:rPr>
                <w:rFonts w:ascii="Calibri" w:eastAsia="Times New Roman" w:hAnsi="Calibri" w:cs="Times New Roman"/>
                <w:color w:val="000000"/>
              </w:rPr>
              <w:t xml:space="preserve">0 </w:t>
            </w:r>
          </w:p>
        </w:tc>
        <w:tc>
          <w:tcPr>
            <w:tcW w:w="1500" w:type="dxa"/>
            <w:tcBorders>
              <w:top w:val="nil"/>
              <w:left w:val="nil"/>
              <w:bottom w:val="single" w:sz="4" w:space="0" w:color="auto"/>
              <w:right w:val="single" w:sz="4" w:space="0" w:color="auto"/>
            </w:tcBorders>
            <w:shd w:val="clear" w:color="auto" w:fill="auto"/>
            <w:noWrap/>
            <w:vAlign w:val="bottom"/>
            <w:hideMark/>
          </w:tcPr>
          <w:p w14:paraId="486963EC" w14:textId="0194F220" w:rsidR="005530FC" w:rsidRPr="005530FC" w:rsidRDefault="005530FC" w:rsidP="005530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5530FC">
              <w:rPr>
                <w:rFonts w:ascii="Calibri" w:eastAsia="Times New Roman" w:hAnsi="Calibri" w:cs="Times New Roman"/>
                <w:color w:val="000000"/>
              </w:rPr>
              <w:t xml:space="preserve">0 </w:t>
            </w:r>
          </w:p>
        </w:tc>
      </w:tr>
      <w:tr w:rsidR="005530FC" w:rsidRPr="005530FC" w14:paraId="157517C1" w14:textId="77777777" w:rsidTr="005530FC">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28677D6E" w14:textId="77777777" w:rsidR="005530FC" w:rsidRPr="005530FC" w:rsidRDefault="005530FC" w:rsidP="005530FC">
            <w:pPr>
              <w:spacing w:after="0" w:line="240" w:lineRule="auto"/>
              <w:ind w:firstLineChars="400" w:firstLine="880"/>
              <w:rPr>
                <w:rFonts w:ascii="Calibri" w:eastAsia="Times New Roman" w:hAnsi="Calibri" w:cs="Times New Roman"/>
                <w:color w:val="000000"/>
              </w:rPr>
            </w:pPr>
            <w:r w:rsidRPr="005530FC">
              <w:rPr>
                <w:rFonts w:ascii="Calibri" w:eastAsia="Times New Roman" w:hAnsi="Calibri" w:cs="Times New Roman"/>
                <w:color w:val="000000"/>
              </w:rPr>
              <w:t>Recurring</w:t>
            </w:r>
          </w:p>
        </w:tc>
        <w:tc>
          <w:tcPr>
            <w:tcW w:w="1420" w:type="dxa"/>
            <w:tcBorders>
              <w:top w:val="nil"/>
              <w:left w:val="nil"/>
              <w:bottom w:val="single" w:sz="4" w:space="0" w:color="auto"/>
              <w:right w:val="single" w:sz="4" w:space="0" w:color="auto"/>
            </w:tcBorders>
            <w:shd w:val="clear" w:color="auto" w:fill="auto"/>
            <w:noWrap/>
            <w:vAlign w:val="bottom"/>
            <w:hideMark/>
          </w:tcPr>
          <w:p w14:paraId="2543BB6E" w14:textId="4A195492" w:rsidR="005530FC" w:rsidRPr="005530FC" w:rsidRDefault="005530FC" w:rsidP="005530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5530FC">
              <w:rPr>
                <w:rFonts w:ascii="Calibri" w:eastAsia="Times New Roman" w:hAnsi="Calibri" w:cs="Times New Roman"/>
                <w:color w:val="000000"/>
              </w:rPr>
              <w:t xml:space="preserve">0 </w:t>
            </w:r>
          </w:p>
        </w:tc>
        <w:tc>
          <w:tcPr>
            <w:tcW w:w="1500" w:type="dxa"/>
            <w:tcBorders>
              <w:top w:val="nil"/>
              <w:left w:val="nil"/>
              <w:bottom w:val="single" w:sz="4" w:space="0" w:color="auto"/>
              <w:right w:val="single" w:sz="4" w:space="0" w:color="auto"/>
            </w:tcBorders>
            <w:shd w:val="clear" w:color="auto" w:fill="auto"/>
            <w:noWrap/>
            <w:vAlign w:val="bottom"/>
            <w:hideMark/>
          </w:tcPr>
          <w:p w14:paraId="327A35F7" w14:textId="48CE3F8E" w:rsidR="005530FC" w:rsidRPr="005530FC" w:rsidRDefault="005530FC" w:rsidP="005530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5530FC">
              <w:rPr>
                <w:rFonts w:ascii="Calibri" w:eastAsia="Times New Roman" w:hAnsi="Calibri" w:cs="Times New Roman"/>
                <w:color w:val="000000"/>
              </w:rPr>
              <w:t xml:space="preserve">2,796,636 </w:t>
            </w:r>
          </w:p>
        </w:tc>
      </w:tr>
      <w:tr w:rsidR="005530FC" w:rsidRPr="005530FC" w14:paraId="34527351" w14:textId="77777777" w:rsidTr="005530FC">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481D047B" w14:textId="77777777" w:rsidR="005530FC" w:rsidRPr="005530FC" w:rsidRDefault="005530FC" w:rsidP="005530FC">
            <w:pPr>
              <w:spacing w:after="0" w:line="240" w:lineRule="auto"/>
              <w:ind w:firstLineChars="200" w:firstLine="442"/>
              <w:rPr>
                <w:rFonts w:ascii="Calibri" w:eastAsia="Times New Roman" w:hAnsi="Calibri" w:cs="Times New Roman"/>
                <w:b/>
                <w:bCs/>
                <w:color w:val="000000"/>
              </w:rPr>
            </w:pPr>
            <w:r w:rsidRPr="005530FC">
              <w:rPr>
                <w:rFonts w:ascii="Calibri" w:eastAsia="Times New Roman" w:hAnsi="Calibri" w:cs="Times New Roman"/>
                <w:b/>
                <w:bCs/>
                <w:color w:val="000000"/>
              </w:rPr>
              <w:t>Negative</w:t>
            </w:r>
          </w:p>
        </w:tc>
        <w:tc>
          <w:tcPr>
            <w:tcW w:w="1420" w:type="dxa"/>
            <w:tcBorders>
              <w:top w:val="nil"/>
              <w:left w:val="nil"/>
              <w:bottom w:val="single" w:sz="4" w:space="0" w:color="auto"/>
              <w:right w:val="single" w:sz="4" w:space="0" w:color="auto"/>
            </w:tcBorders>
            <w:shd w:val="clear" w:color="auto" w:fill="auto"/>
            <w:noWrap/>
            <w:vAlign w:val="bottom"/>
            <w:hideMark/>
          </w:tcPr>
          <w:p w14:paraId="1C41B375" w14:textId="77777777" w:rsidR="005530FC" w:rsidRPr="005530FC" w:rsidRDefault="005530FC" w:rsidP="005530FC">
            <w:pPr>
              <w:spacing w:after="0" w:line="240" w:lineRule="auto"/>
              <w:rPr>
                <w:rFonts w:ascii="Calibri" w:eastAsia="Times New Roman" w:hAnsi="Calibri" w:cs="Times New Roman"/>
                <w:color w:val="000000"/>
              </w:rPr>
            </w:pPr>
            <w:r w:rsidRPr="005530FC">
              <w:rPr>
                <w:rFonts w:ascii="Calibri" w:eastAsia="Times New Roman" w:hAnsi="Calibri" w:cs="Times New Roman"/>
                <w:color w:val="000000"/>
              </w:rPr>
              <w:t> </w:t>
            </w:r>
          </w:p>
        </w:tc>
        <w:tc>
          <w:tcPr>
            <w:tcW w:w="1500" w:type="dxa"/>
            <w:tcBorders>
              <w:top w:val="nil"/>
              <w:left w:val="nil"/>
              <w:bottom w:val="single" w:sz="4" w:space="0" w:color="auto"/>
              <w:right w:val="single" w:sz="4" w:space="0" w:color="auto"/>
            </w:tcBorders>
            <w:shd w:val="clear" w:color="auto" w:fill="auto"/>
            <w:noWrap/>
            <w:vAlign w:val="bottom"/>
            <w:hideMark/>
          </w:tcPr>
          <w:p w14:paraId="1F8E6201" w14:textId="77777777" w:rsidR="005530FC" w:rsidRPr="005530FC" w:rsidRDefault="005530FC" w:rsidP="005530FC">
            <w:pPr>
              <w:spacing w:after="0" w:line="240" w:lineRule="auto"/>
              <w:rPr>
                <w:rFonts w:ascii="Calibri" w:eastAsia="Times New Roman" w:hAnsi="Calibri" w:cs="Times New Roman"/>
                <w:color w:val="000000"/>
              </w:rPr>
            </w:pPr>
            <w:r w:rsidRPr="005530FC">
              <w:rPr>
                <w:rFonts w:ascii="Calibri" w:eastAsia="Times New Roman" w:hAnsi="Calibri" w:cs="Times New Roman"/>
                <w:color w:val="000000"/>
              </w:rPr>
              <w:t> </w:t>
            </w:r>
          </w:p>
        </w:tc>
      </w:tr>
      <w:tr w:rsidR="005530FC" w:rsidRPr="005530FC" w14:paraId="643A7EA4" w14:textId="77777777" w:rsidTr="005530FC">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5A1EB1AE" w14:textId="77777777" w:rsidR="005530FC" w:rsidRPr="005530FC" w:rsidRDefault="005530FC" w:rsidP="005530FC">
            <w:pPr>
              <w:spacing w:after="0" w:line="240" w:lineRule="auto"/>
              <w:ind w:firstLineChars="400" w:firstLine="880"/>
              <w:rPr>
                <w:rFonts w:ascii="Calibri" w:eastAsia="Times New Roman" w:hAnsi="Calibri" w:cs="Times New Roman"/>
                <w:color w:val="000000"/>
              </w:rPr>
            </w:pPr>
            <w:r w:rsidRPr="005530FC">
              <w:rPr>
                <w:rFonts w:ascii="Calibri" w:eastAsia="Times New Roman" w:hAnsi="Calibri" w:cs="Times New Roman"/>
                <w:color w:val="000000"/>
              </w:rPr>
              <w:t>One-Time</w:t>
            </w:r>
          </w:p>
        </w:tc>
        <w:tc>
          <w:tcPr>
            <w:tcW w:w="1420" w:type="dxa"/>
            <w:tcBorders>
              <w:top w:val="nil"/>
              <w:left w:val="nil"/>
              <w:bottom w:val="single" w:sz="4" w:space="0" w:color="auto"/>
              <w:right w:val="single" w:sz="4" w:space="0" w:color="auto"/>
            </w:tcBorders>
            <w:shd w:val="clear" w:color="auto" w:fill="auto"/>
            <w:noWrap/>
            <w:vAlign w:val="bottom"/>
            <w:hideMark/>
          </w:tcPr>
          <w:p w14:paraId="66935672" w14:textId="2B68F9B6" w:rsidR="005530FC" w:rsidRPr="005530FC" w:rsidRDefault="005530FC" w:rsidP="005530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5530FC">
              <w:rPr>
                <w:rFonts w:ascii="Calibri" w:eastAsia="Times New Roman" w:hAnsi="Calibri" w:cs="Times New Roman"/>
                <w:color w:val="000000"/>
              </w:rPr>
              <w:t xml:space="preserve">0 </w:t>
            </w:r>
          </w:p>
        </w:tc>
        <w:tc>
          <w:tcPr>
            <w:tcW w:w="1500" w:type="dxa"/>
            <w:tcBorders>
              <w:top w:val="nil"/>
              <w:left w:val="nil"/>
              <w:bottom w:val="single" w:sz="4" w:space="0" w:color="auto"/>
              <w:right w:val="single" w:sz="4" w:space="0" w:color="auto"/>
            </w:tcBorders>
            <w:shd w:val="clear" w:color="auto" w:fill="auto"/>
            <w:noWrap/>
            <w:vAlign w:val="bottom"/>
            <w:hideMark/>
          </w:tcPr>
          <w:p w14:paraId="3D684561" w14:textId="75408DC3" w:rsidR="005530FC" w:rsidRPr="005530FC" w:rsidRDefault="005530FC" w:rsidP="005530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5530FC">
              <w:rPr>
                <w:rFonts w:ascii="Calibri" w:eastAsia="Times New Roman" w:hAnsi="Calibri" w:cs="Times New Roman"/>
                <w:color w:val="000000"/>
              </w:rPr>
              <w:t xml:space="preserve">0 </w:t>
            </w:r>
          </w:p>
        </w:tc>
      </w:tr>
      <w:tr w:rsidR="005530FC" w:rsidRPr="005530FC" w14:paraId="0BD7BE22" w14:textId="77777777" w:rsidTr="005530FC">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331942B4" w14:textId="77777777" w:rsidR="005530FC" w:rsidRPr="005530FC" w:rsidRDefault="005530FC" w:rsidP="005530FC">
            <w:pPr>
              <w:spacing w:after="0" w:line="240" w:lineRule="auto"/>
              <w:ind w:firstLineChars="400" w:firstLine="880"/>
              <w:rPr>
                <w:rFonts w:ascii="Calibri" w:eastAsia="Times New Roman" w:hAnsi="Calibri" w:cs="Times New Roman"/>
                <w:color w:val="000000"/>
              </w:rPr>
            </w:pPr>
            <w:r w:rsidRPr="005530FC">
              <w:rPr>
                <w:rFonts w:ascii="Calibri" w:eastAsia="Times New Roman" w:hAnsi="Calibri" w:cs="Times New Roman"/>
                <w:color w:val="000000"/>
              </w:rPr>
              <w:t>Recurring</w:t>
            </w:r>
          </w:p>
        </w:tc>
        <w:tc>
          <w:tcPr>
            <w:tcW w:w="1420" w:type="dxa"/>
            <w:tcBorders>
              <w:top w:val="nil"/>
              <w:left w:val="nil"/>
              <w:bottom w:val="single" w:sz="4" w:space="0" w:color="auto"/>
              <w:right w:val="single" w:sz="4" w:space="0" w:color="auto"/>
            </w:tcBorders>
            <w:shd w:val="clear" w:color="auto" w:fill="auto"/>
            <w:noWrap/>
            <w:vAlign w:val="bottom"/>
            <w:hideMark/>
          </w:tcPr>
          <w:p w14:paraId="6B20C728" w14:textId="24E5ACE3" w:rsidR="005530FC" w:rsidRPr="005530FC" w:rsidRDefault="005530FC" w:rsidP="005530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5530FC">
              <w:rPr>
                <w:rFonts w:ascii="Calibri" w:eastAsia="Times New Roman" w:hAnsi="Calibri" w:cs="Times New Roman"/>
                <w:color w:val="000000"/>
              </w:rPr>
              <w:t xml:space="preserve">0 </w:t>
            </w:r>
          </w:p>
        </w:tc>
        <w:tc>
          <w:tcPr>
            <w:tcW w:w="1500" w:type="dxa"/>
            <w:tcBorders>
              <w:top w:val="nil"/>
              <w:left w:val="nil"/>
              <w:bottom w:val="single" w:sz="4" w:space="0" w:color="auto"/>
              <w:right w:val="single" w:sz="4" w:space="0" w:color="auto"/>
            </w:tcBorders>
            <w:shd w:val="clear" w:color="auto" w:fill="auto"/>
            <w:noWrap/>
            <w:vAlign w:val="bottom"/>
            <w:hideMark/>
          </w:tcPr>
          <w:p w14:paraId="63854C94" w14:textId="488B5917" w:rsidR="005530FC" w:rsidRPr="005530FC" w:rsidRDefault="005530FC" w:rsidP="005530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5530FC">
              <w:rPr>
                <w:rFonts w:ascii="Calibri" w:eastAsia="Times New Roman" w:hAnsi="Calibri" w:cs="Times New Roman"/>
                <w:color w:val="000000"/>
              </w:rPr>
              <w:t xml:space="preserve">0 </w:t>
            </w:r>
          </w:p>
        </w:tc>
      </w:tr>
      <w:tr w:rsidR="005530FC" w:rsidRPr="005530FC" w14:paraId="0180EDD1" w14:textId="77777777" w:rsidTr="005530FC">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6EA5D532" w14:textId="77777777" w:rsidR="005530FC" w:rsidRPr="005530FC" w:rsidRDefault="005530FC" w:rsidP="005530FC">
            <w:pPr>
              <w:spacing w:after="0" w:line="240" w:lineRule="auto"/>
              <w:rPr>
                <w:rFonts w:ascii="Calibri" w:eastAsia="Times New Roman" w:hAnsi="Calibri" w:cs="Times New Roman"/>
                <w:b/>
                <w:bCs/>
                <w:color w:val="000000"/>
              </w:rPr>
            </w:pPr>
            <w:r w:rsidRPr="005530FC">
              <w:rPr>
                <w:rFonts w:ascii="Calibri" w:eastAsia="Times New Roman" w:hAnsi="Calibri" w:cs="Times New Roman"/>
                <w:b/>
                <w:bCs/>
                <w:color w:val="000000"/>
              </w:rPr>
              <w:t>Total: Present Expected Value</w:t>
            </w:r>
          </w:p>
        </w:tc>
        <w:tc>
          <w:tcPr>
            <w:tcW w:w="1420" w:type="dxa"/>
            <w:tcBorders>
              <w:top w:val="nil"/>
              <w:left w:val="nil"/>
              <w:bottom w:val="single" w:sz="4" w:space="0" w:color="auto"/>
              <w:right w:val="single" w:sz="4" w:space="0" w:color="auto"/>
            </w:tcBorders>
            <w:shd w:val="clear" w:color="auto" w:fill="auto"/>
            <w:noWrap/>
            <w:vAlign w:val="bottom"/>
            <w:hideMark/>
          </w:tcPr>
          <w:p w14:paraId="6AF0DDDE" w14:textId="77777777" w:rsidR="005530FC" w:rsidRPr="005530FC" w:rsidRDefault="005530FC" w:rsidP="005530FC">
            <w:pPr>
              <w:spacing w:after="0" w:line="240" w:lineRule="auto"/>
              <w:rPr>
                <w:rFonts w:ascii="Calibri" w:eastAsia="Times New Roman" w:hAnsi="Calibri" w:cs="Times New Roman"/>
                <w:color w:val="000000"/>
              </w:rPr>
            </w:pPr>
            <w:r w:rsidRPr="005530FC">
              <w:rPr>
                <w:rFonts w:ascii="Calibri" w:eastAsia="Times New Roman" w:hAnsi="Calibri" w:cs="Times New Roman"/>
                <w:color w:val="000000"/>
              </w:rPr>
              <w:t> </w:t>
            </w:r>
          </w:p>
        </w:tc>
        <w:tc>
          <w:tcPr>
            <w:tcW w:w="1500" w:type="dxa"/>
            <w:tcBorders>
              <w:top w:val="nil"/>
              <w:left w:val="nil"/>
              <w:bottom w:val="single" w:sz="4" w:space="0" w:color="auto"/>
              <w:right w:val="single" w:sz="4" w:space="0" w:color="auto"/>
            </w:tcBorders>
            <w:shd w:val="clear" w:color="auto" w:fill="auto"/>
            <w:noWrap/>
            <w:vAlign w:val="bottom"/>
            <w:hideMark/>
          </w:tcPr>
          <w:p w14:paraId="357C6D7C" w14:textId="77777777" w:rsidR="005530FC" w:rsidRPr="005530FC" w:rsidRDefault="005530FC" w:rsidP="005530FC">
            <w:pPr>
              <w:spacing w:after="0" w:line="240" w:lineRule="auto"/>
              <w:rPr>
                <w:rFonts w:ascii="Calibri" w:eastAsia="Times New Roman" w:hAnsi="Calibri" w:cs="Times New Roman"/>
                <w:color w:val="000000"/>
              </w:rPr>
            </w:pPr>
            <w:r w:rsidRPr="005530FC">
              <w:rPr>
                <w:rFonts w:ascii="Calibri" w:eastAsia="Times New Roman" w:hAnsi="Calibri" w:cs="Times New Roman"/>
                <w:color w:val="000000"/>
              </w:rPr>
              <w:t> </w:t>
            </w:r>
          </w:p>
        </w:tc>
      </w:tr>
      <w:tr w:rsidR="005530FC" w:rsidRPr="005530FC" w14:paraId="79CB1BD2" w14:textId="77777777" w:rsidTr="005530FC">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4A300E24" w14:textId="77777777" w:rsidR="005530FC" w:rsidRPr="005530FC" w:rsidRDefault="005530FC" w:rsidP="005530FC">
            <w:pPr>
              <w:spacing w:after="0" w:line="240" w:lineRule="auto"/>
              <w:ind w:firstLineChars="200" w:firstLine="440"/>
              <w:rPr>
                <w:rFonts w:ascii="Calibri" w:eastAsia="Times New Roman" w:hAnsi="Calibri" w:cs="Times New Roman"/>
                <w:color w:val="000000"/>
              </w:rPr>
            </w:pPr>
            <w:r w:rsidRPr="005530FC">
              <w:rPr>
                <w:rFonts w:ascii="Calibri" w:eastAsia="Times New Roman" w:hAnsi="Calibri" w:cs="Times New Roman"/>
                <w:color w:val="000000"/>
              </w:rPr>
              <w:t>Benefits</w:t>
            </w:r>
          </w:p>
        </w:tc>
        <w:tc>
          <w:tcPr>
            <w:tcW w:w="1420" w:type="dxa"/>
            <w:tcBorders>
              <w:top w:val="nil"/>
              <w:left w:val="nil"/>
              <w:bottom w:val="single" w:sz="4" w:space="0" w:color="auto"/>
              <w:right w:val="single" w:sz="4" w:space="0" w:color="auto"/>
            </w:tcBorders>
            <w:shd w:val="clear" w:color="auto" w:fill="auto"/>
            <w:noWrap/>
            <w:vAlign w:val="bottom"/>
            <w:hideMark/>
          </w:tcPr>
          <w:p w14:paraId="309B6328" w14:textId="1A2638AA" w:rsidR="005530FC" w:rsidRPr="005530FC" w:rsidRDefault="005530FC" w:rsidP="005530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5530FC">
              <w:rPr>
                <w:rFonts w:ascii="Calibri" w:eastAsia="Times New Roman" w:hAnsi="Calibri" w:cs="Times New Roman"/>
                <w:color w:val="000000"/>
              </w:rPr>
              <w:t xml:space="preserve">2,717,764 </w:t>
            </w:r>
          </w:p>
        </w:tc>
        <w:tc>
          <w:tcPr>
            <w:tcW w:w="1500" w:type="dxa"/>
            <w:tcBorders>
              <w:top w:val="nil"/>
              <w:left w:val="nil"/>
              <w:bottom w:val="single" w:sz="4" w:space="0" w:color="auto"/>
              <w:right w:val="single" w:sz="4" w:space="0" w:color="auto"/>
            </w:tcBorders>
            <w:shd w:val="clear" w:color="auto" w:fill="auto"/>
            <w:noWrap/>
            <w:vAlign w:val="bottom"/>
            <w:hideMark/>
          </w:tcPr>
          <w:p w14:paraId="5437BFEF" w14:textId="47588E13" w:rsidR="005530FC" w:rsidRPr="005530FC" w:rsidRDefault="005530FC" w:rsidP="005530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5530FC">
              <w:rPr>
                <w:rFonts w:ascii="Calibri" w:eastAsia="Times New Roman" w:hAnsi="Calibri" w:cs="Times New Roman"/>
                <w:color w:val="000000"/>
              </w:rPr>
              <w:t xml:space="preserve">6,307,376 </w:t>
            </w:r>
          </w:p>
        </w:tc>
      </w:tr>
      <w:tr w:rsidR="005530FC" w:rsidRPr="005530FC" w14:paraId="0EE226FE" w14:textId="77777777" w:rsidTr="005530FC">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7FF74BFC" w14:textId="77777777" w:rsidR="005530FC" w:rsidRPr="005530FC" w:rsidRDefault="005530FC" w:rsidP="005530FC">
            <w:pPr>
              <w:spacing w:after="0" w:line="240" w:lineRule="auto"/>
              <w:ind w:firstLineChars="200" w:firstLine="440"/>
              <w:rPr>
                <w:rFonts w:ascii="Calibri" w:eastAsia="Times New Roman" w:hAnsi="Calibri" w:cs="Times New Roman"/>
                <w:color w:val="000000"/>
              </w:rPr>
            </w:pPr>
            <w:r w:rsidRPr="005530FC">
              <w:rPr>
                <w:rFonts w:ascii="Calibri" w:eastAsia="Times New Roman" w:hAnsi="Calibri" w:cs="Times New Roman"/>
                <w:color w:val="000000"/>
              </w:rPr>
              <w:t>Costs</w:t>
            </w:r>
          </w:p>
        </w:tc>
        <w:tc>
          <w:tcPr>
            <w:tcW w:w="1420" w:type="dxa"/>
            <w:tcBorders>
              <w:top w:val="nil"/>
              <w:left w:val="nil"/>
              <w:bottom w:val="single" w:sz="4" w:space="0" w:color="auto"/>
              <w:right w:val="single" w:sz="4" w:space="0" w:color="auto"/>
            </w:tcBorders>
            <w:shd w:val="clear" w:color="auto" w:fill="auto"/>
            <w:noWrap/>
            <w:vAlign w:val="bottom"/>
            <w:hideMark/>
          </w:tcPr>
          <w:p w14:paraId="4D2AF6C3" w14:textId="2B4F5136" w:rsidR="005530FC" w:rsidRPr="005530FC" w:rsidRDefault="005530FC" w:rsidP="005530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5530FC">
              <w:rPr>
                <w:rFonts w:ascii="Calibri" w:eastAsia="Times New Roman" w:hAnsi="Calibri" w:cs="Times New Roman"/>
                <w:color w:val="000000"/>
              </w:rPr>
              <w:t xml:space="preserve">3,500,000 </w:t>
            </w:r>
          </w:p>
        </w:tc>
        <w:tc>
          <w:tcPr>
            <w:tcW w:w="1500" w:type="dxa"/>
            <w:tcBorders>
              <w:top w:val="nil"/>
              <w:left w:val="nil"/>
              <w:bottom w:val="single" w:sz="4" w:space="0" w:color="auto"/>
              <w:right w:val="single" w:sz="4" w:space="0" w:color="auto"/>
            </w:tcBorders>
            <w:shd w:val="clear" w:color="auto" w:fill="auto"/>
            <w:noWrap/>
            <w:vAlign w:val="bottom"/>
            <w:hideMark/>
          </w:tcPr>
          <w:p w14:paraId="04496631" w14:textId="1CEB4415" w:rsidR="005530FC" w:rsidRPr="005530FC" w:rsidRDefault="005530FC" w:rsidP="005530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5530FC">
              <w:rPr>
                <w:rFonts w:ascii="Calibri" w:eastAsia="Times New Roman" w:hAnsi="Calibri" w:cs="Times New Roman"/>
                <w:color w:val="000000"/>
              </w:rPr>
              <w:t xml:space="preserve">7,559,000 </w:t>
            </w:r>
          </w:p>
        </w:tc>
      </w:tr>
      <w:tr w:rsidR="005530FC" w:rsidRPr="005530FC" w14:paraId="70707730" w14:textId="77777777" w:rsidTr="005530FC">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14FE92CD" w14:textId="77777777" w:rsidR="005530FC" w:rsidRPr="005530FC" w:rsidRDefault="005530FC" w:rsidP="005530FC">
            <w:pPr>
              <w:spacing w:after="0" w:line="240" w:lineRule="auto"/>
              <w:ind w:firstLineChars="200" w:firstLine="440"/>
              <w:rPr>
                <w:rFonts w:ascii="Calibri" w:eastAsia="Times New Roman" w:hAnsi="Calibri" w:cs="Times New Roman"/>
                <w:color w:val="000000"/>
              </w:rPr>
            </w:pPr>
            <w:r w:rsidRPr="005530FC">
              <w:rPr>
                <w:rFonts w:ascii="Calibri" w:eastAsia="Times New Roman" w:hAnsi="Calibri" w:cs="Times New Roman"/>
                <w:color w:val="000000"/>
              </w:rPr>
              <w:t>Net</w:t>
            </w:r>
          </w:p>
        </w:tc>
        <w:tc>
          <w:tcPr>
            <w:tcW w:w="1420" w:type="dxa"/>
            <w:tcBorders>
              <w:top w:val="nil"/>
              <w:left w:val="nil"/>
              <w:bottom w:val="single" w:sz="4" w:space="0" w:color="auto"/>
              <w:right w:val="single" w:sz="4" w:space="0" w:color="auto"/>
            </w:tcBorders>
            <w:shd w:val="clear" w:color="auto" w:fill="auto"/>
            <w:noWrap/>
            <w:vAlign w:val="bottom"/>
            <w:hideMark/>
          </w:tcPr>
          <w:p w14:paraId="0552829D" w14:textId="70D77E39" w:rsidR="005530FC" w:rsidRPr="005530FC" w:rsidRDefault="005530FC" w:rsidP="005530FC">
            <w:pPr>
              <w:spacing w:after="0" w:line="240" w:lineRule="auto"/>
              <w:jc w:val="right"/>
              <w:rPr>
                <w:rFonts w:ascii="Calibri" w:eastAsia="Times New Roman" w:hAnsi="Calibri" w:cs="Times New Roman"/>
                <w:color w:val="000000"/>
              </w:rPr>
            </w:pPr>
            <w:r w:rsidRPr="005530FC">
              <w:rPr>
                <w:rFonts w:ascii="Calibri" w:eastAsia="Times New Roman" w:hAnsi="Calibri" w:cs="Times New Roman"/>
                <w:color w:val="FF0000"/>
              </w:rPr>
              <w:t>(</w:t>
            </w:r>
            <w:r>
              <w:rPr>
                <w:rFonts w:ascii="Calibri" w:eastAsia="Times New Roman" w:hAnsi="Calibri" w:cs="Times New Roman"/>
                <w:color w:val="FF0000"/>
              </w:rPr>
              <w:t>$</w:t>
            </w:r>
            <w:r w:rsidRPr="005530FC">
              <w:rPr>
                <w:rFonts w:ascii="Calibri" w:eastAsia="Times New Roman" w:hAnsi="Calibri" w:cs="Times New Roman"/>
                <w:color w:val="FF0000"/>
              </w:rPr>
              <w:t>782,236)</w:t>
            </w:r>
          </w:p>
        </w:tc>
        <w:tc>
          <w:tcPr>
            <w:tcW w:w="1500" w:type="dxa"/>
            <w:tcBorders>
              <w:top w:val="nil"/>
              <w:left w:val="nil"/>
              <w:bottom w:val="single" w:sz="4" w:space="0" w:color="auto"/>
              <w:right w:val="single" w:sz="4" w:space="0" w:color="auto"/>
            </w:tcBorders>
            <w:shd w:val="clear" w:color="auto" w:fill="auto"/>
            <w:noWrap/>
            <w:vAlign w:val="bottom"/>
            <w:hideMark/>
          </w:tcPr>
          <w:p w14:paraId="49698718" w14:textId="089FADB4" w:rsidR="005530FC" w:rsidRPr="005530FC" w:rsidRDefault="005530FC" w:rsidP="005530FC">
            <w:pPr>
              <w:spacing w:after="0" w:line="240" w:lineRule="auto"/>
              <w:jc w:val="right"/>
              <w:rPr>
                <w:rFonts w:ascii="Calibri" w:eastAsia="Times New Roman" w:hAnsi="Calibri" w:cs="Times New Roman"/>
                <w:color w:val="000000"/>
              </w:rPr>
            </w:pPr>
            <w:r w:rsidRPr="005530FC">
              <w:rPr>
                <w:rFonts w:ascii="Calibri" w:eastAsia="Times New Roman" w:hAnsi="Calibri" w:cs="Times New Roman"/>
                <w:color w:val="FF0000"/>
              </w:rPr>
              <w:t>(</w:t>
            </w:r>
            <w:r>
              <w:rPr>
                <w:rFonts w:ascii="Calibri" w:eastAsia="Times New Roman" w:hAnsi="Calibri" w:cs="Times New Roman"/>
                <w:color w:val="FF0000"/>
              </w:rPr>
              <w:t>$</w:t>
            </w:r>
            <w:r w:rsidRPr="005530FC">
              <w:rPr>
                <w:rFonts w:ascii="Calibri" w:eastAsia="Times New Roman" w:hAnsi="Calibri" w:cs="Times New Roman"/>
                <w:color w:val="FF0000"/>
              </w:rPr>
              <w:t>1,251,624)</w:t>
            </w:r>
          </w:p>
        </w:tc>
      </w:tr>
      <w:tr w:rsidR="005530FC" w:rsidRPr="005530FC" w14:paraId="4AEE40F8" w14:textId="77777777" w:rsidTr="005530FC">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2599539E" w14:textId="77777777" w:rsidR="005530FC" w:rsidRPr="005530FC" w:rsidRDefault="005530FC" w:rsidP="005530FC">
            <w:pPr>
              <w:spacing w:after="0" w:line="240" w:lineRule="auto"/>
              <w:ind w:firstLineChars="200" w:firstLine="440"/>
              <w:rPr>
                <w:rFonts w:ascii="Calibri" w:eastAsia="Times New Roman" w:hAnsi="Calibri" w:cs="Times New Roman"/>
                <w:color w:val="000000"/>
              </w:rPr>
            </w:pPr>
            <w:r w:rsidRPr="005530FC">
              <w:rPr>
                <w:rFonts w:ascii="Calibri" w:eastAsia="Times New Roman" w:hAnsi="Calibri" w:cs="Times New Roman"/>
                <w:color w:val="000000"/>
              </w:rPr>
              <w:t>Net with Externalities</w:t>
            </w:r>
          </w:p>
        </w:tc>
        <w:tc>
          <w:tcPr>
            <w:tcW w:w="1420" w:type="dxa"/>
            <w:tcBorders>
              <w:top w:val="nil"/>
              <w:left w:val="nil"/>
              <w:bottom w:val="single" w:sz="4" w:space="0" w:color="auto"/>
              <w:right w:val="single" w:sz="4" w:space="0" w:color="auto"/>
            </w:tcBorders>
            <w:shd w:val="clear" w:color="auto" w:fill="auto"/>
            <w:noWrap/>
            <w:vAlign w:val="bottom"/>
            <w:hideMark/>
          </w:tcPr>
          <w:p w14:paraId="06298C86" w14:textId="16123484" w:rsidR="005530FC" w:rsidRPr="005530FC" w:rsidRDefault="005530FC" w:rsidP="005530FC">
            <w:pPr>
              <w:spacing w:after="0" w:line="240" w:lineRule="auto"/>
              <w:jc w:val="right"/>
              <w:rPr>
                <w:rFonts w:ascii="Calibri" w:eastAsia="Times New Roman" w:hAnsi="Calibri" w:cs="Times New Roman"/>
                <w:color w:val="000000"/>
              </w:rPr>
            </w:pPr>
            <w:r w:rsidRPr="005530FC">
              <w:rPr>
                <w:rFonts w:ascii="Calibri" w:eastAsia="Times New Roman" w:hAnsi="Calibri" w:cs="Times New Roman"/>
                <w:color w:val="FF0000"/>
              </w:rPr>
              <w:t>(</w:t>
            </w:r>
            <w:r>
              <w:rPr>
                <w:rFonts w:ascii="Calibri" w:eastAsia="Times New Roman" w:hAnsi="Calibri" w:cs="Times New Roman"/>
                <w:color w:val="FF0000"/>
              </w:rPr>
              <w:t>$</w:t>
            </w:r>
            <w:r w:rsidRPr="005530FC">
              <w:rPr>
                <w:rFonts w:ascii="Calibri" w:eastAsia="Times New Roman" w:hAnsi="Calibri" w:cs="Times New Roman"/>
                <w:color w:val="FF0000"/>
              </w:rPr>
              <w:t>782,236)</w:t>
            </w:r>
          </w:p>
        </w:tc>
        <w:tc>
          <w:tcPr>
            <w:tcW w:w="1500" w:type="dxa"/>
            <w:tcBorders>
              <w:top w:val="nil"/>
              <w:left w:val="nil"/>
              <w:bottom w:val="single" w:sz="4" w:space="0" w:color="auto"/>
              <w:right w:val="single" w:sz="4" w:space="0" w:color="auto"/>
            </w:tcBorders>
            <w:shd w:val="clear" w:color="auto" w:fill="auto"/>
            <w:noWrap/>
            <w:vAlign w:val="bottom"/>
            <w:hideMark/>
          </w:tcPr>
          <w:p w14:paraId="0300A608" w14:textId="53755D54" w:rsidR="005530FC" w:rsidRPr="005530FC" w:rsidRDefault="005530FC" w:rsidP="005530F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5530FC">
              <w:rPr>
                <w:rFonts w:ascii="Calibri" w:eastAsia="Times New Roman" w:hAnsi="Calibri" w:cs="Times New Roman"/>
                <w:color w:val="000000"/>
              </w:rPr>
              <w:t xml:space="preserve">1,545,012 </w:t>
            </w:r>
          </w:p>
        </w:tc>
      </w:tr>
      <w:tr w:rsidR="005530FC" w:rsidRPr="005530FC" w14:paraId="291ED322" w14:textId="77777777" w:rsidTr="005530FC">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313F4F8D" w14:textId="6F667DF4" w:rsidR="005530FC" w:rsidRPr="005530FC" w:rsidRDefault="005530FC" w:rsidP="005530FC">
            <w:pPr>
              <w:spacing w:after="0" w:line="240" w:lineRule="auto"/>
              <w:rPr>
                <w:rFonts w:ascii="Calibri" w:eastAsia="Times New Roman" w:hAnsi="Calibri" w:cs="Times New Roman"/>
                <w:b/>
                <w:bCs/>
                <w:color w:val="000000"/>
              </w:rPr>
            </w:pPr>
            <w:r w:rsidRPr="005530FC">
              <w:rPr>
                <w:rFonts w:ascii="Calibri" w:eastAsia="Times New Roman" w:hAnsi="Calibri" w:cs="Times New Roman"/>
                <w:b/>
                <w:bCs/>
                <w:color w:val="000000"/>
              </w:rPr>
              <w:t>Economic Indicators</w:t>
            </w:r>
            <w:r w:rsidR="00846E10">
              <w:rPr>
                <w:rStyle w:val="FootnoteReference"/>
                <w:rFonts w:ascii="Calibri" w:eastAsia="Times New Roman" w:hAnsi="Calibri" w:cs="Times New Roman"/>
                <w:b/>
                <w:bCs/>
                <w:color w:val="000000"/>
              </w:rPr>
              <w:footnoteReference w:id="25"/>
            </w:r>
          </w:p>
        </w:tc>
        <w:tc>
          <w:tcPr>
            <w:tcW w:w="1420" w:type="dxa"/>
            <w:tcBorders>
              <w:top w:val="nil"/>
              <w:left w:val="nil"/>
              <w:bottom w:val="single" w:sz="4" w:space="0" w:color="auto"/>
              <w:right w:val="single" w:sz="4" w:space="0" w:color="auto"/>
            </w:tcBorders>
            <w:shd w:val="clear" w:color="auto" w:fill="auto"/>
            <w:noWrap/>
            <w:vAlign w:val="bottom"/>
            <w:hideMark/>
          </w:tcPr>
          <w:p w14:paraId="64DB9C74" w14:textId="77777777" w:rsidR="005530FC" w:rsidRPr="005530FC" w:rsidRDefault="005530FC" w:rsidP="005530FC">
            <w:pPr>
              <w:spacing w:after="0" w:line="240" w:lineRule="auto"/>
              <w:rPr>
                <w:rFonts w:ascii="Calibri" w:eastAsia="Times New Roman" w:hAnsi="Calibri" w:cs="Times New Roman"/>
                <w:color w:val="000000"/>
              </w:rPr>
            </w:pPr>
            <w:r w:rsidRPr="005530FC">
              <w:rPr>
                <w:rFonts w:ascii="Calibri" w:eastAsia="Times New Roman" w:hAnsi="Calibri" w:cs="Times New Roman"/>
                <w:color w:val="000000"/>
              </w:rPr>
              <w:t> </w:t>
            </w:r>
          </w:p>
        </w:tc>
        <w:tc>
          <w:tcPr>
            <w:tcW w:w="1500" w:type="dxa"/>
            <w:tcBorders>
              <w:top w:val="nil"/>
              <w:left w:val="nil"/>
              <w:bottom w:val="single" w:sz="4" w:space="0" w:color="auto"/>
              <w:right w:val="single" w:sz="4" w:space="0" w:color="auto"/>
            </w:tcBorders>
            <w:shd w:val="clear" w:color="auto" w:fill="auto"/>
            <w:noWrap/>
            <w:vAlign w:val="bottom"/>
            <w:hideMark/>
          </w:tcPr>
          <w:p w14:paraId="580DEBE0" w14:textId="77777777" w:rsidR="005530FC" w:rsidRPr="005530FC" w:rsidRDefault="005530FC" w:rsidP="005530FC">
            <w:pPr>
              <w:spacing w:after="0" w:line="240" w:lineRule="auto"/>
              <w:rPr>
                <w:rFonts w:ascii="Calibri" w:eastAsia="Times New Roman" w:hAnsi="Calibri" w:cs="Times New Roman"/>
                <w:color w:val="000000"/>
              </w:rPr>
            </w:pPr>
            <w:r w:rsidRPr="005530FC">
              <w:rPr>
                <w:rFonts w:ascii="Calibri" w:eastAsia="Times New Roman" w:hAnsi="Calibri" w:cs="Times New Roman"/>
                <w:color w:val="000000"/>
              </w:rPr>
              <w:t> </w:t>
            </w:r>
          </w:p>
        </w:tc>
      </w:tr>
      <w:tr w:rsidR="005530FC" w:rsidRPr="005530FC" w14:paraId="34F7A383" w14:textId="77777777" w:rsidTr="005530FC">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1E968244" w14:textId="77777777" w:rsidR="005530FC" w:rsidRPr="005530FC" w:rsidRDefault="005530FC" w:rsidP="005530FC">
            <w:pPr>
              <w:spacing w:after="0" w:line="240" w:lineRule="auto"/>
              <w:ind w:firstLineChars="200" w:firstLine="440"/>
              <w:rPr>
                <w:rFonts w:ascii="Calibri" w:eastAsia="Times New Roman" w:hAnsi="Calibri" w:cs="Times New Roman"/>
                <w:color w:val="000000"/>
              </w:rPr>
            </w:pPr>
            <w:r w:rsidRPr="005530FC">
              <w:rPr>
                <w:rFonts w:ascii="Calibri" w:eastAsia="Times New Roman" w:hAnsi="Calibri" w:cs="Times New Roman"/>
                <w:color w:val="000000"/>
              </w:rPr>
              <w:t>Savings-to-Investment Ratio</w:t>
            </w:r>
          </w:p>
        </w:tc>
        <w:tc>
          <w:tcPr>
            <w:tcW w:w="1420" w:type="dxa"/>
            <w:tcBorders>
              <w:top w:val="nil"/>
              <w:left w:val="nil"/>
              <w:bottom w:val="single" w:sz="4" w:space="0" w:color="auto"/>
              <w:right w:val="single" w:sz="4" w:space="0" w:color="auto"/>
            </w:tcBorders>
            <w:shd w:val="clear" w:color="auto" w:fill="auto"/>
            <w:noWrap/>
            <w:vAlign w:val="bottom"/>
            <w:hideMark/>
          </w:tcPr>
          <w:p w14:paraId="0F10260D" w14:textId="77777777" w:rsidR="005530FC" w:rsidRPr="005530FC" w:rsidRDefault="005530FC" w:rsidP="005530FC">
            <w:pPr>
              <w:spacing w:after="0" w:line="240" w:lineRule="auto"/>
              <w:jc w:val="right"/>
              <w:rPr>
                <w:rFonts w:ascii="Calibri" w:eastAsia="Times New Roman" w:hAnsi="Calibri" w:cs="Times New Roman"/>
                <w:color w:val="000000"/>
              </w:rPr>
            </w:pPr>
            <w:r w:rsidRPr="005530FC">
              <w:rPr>
                <w:rFonts w:ascii="Calibri" w:eastAsia="Times New Roman" w:hAnsi="Calibri" w:cs="Times New Roman"/>
                <w:color w:val="000000"/>
              </w:rPr>
              <w:t>-0.22</w:t>
            </w:r>
          </w:p>
        </w:tc>
        <w:tc>
          <w:tcPr>
            <w:tcW w:w="1500" w:type="dxa"/>
            <w:tcBorders>
              <w:top w:val="nil"/>
              <w:left w:val="nil"/>
              <w:bottom w:val="single" w:sz="4" w:space="0" w:color="auto"/>
              <w:right w:val="single" w:sz="4" w:space="0" w:color="auto"/>
            </w:tcBorders>
            <w:shd w:val="clear" w:color="auto" w:fill="auto"/>
            <w:noWrap/>
            <w:vAlign w:val="bottom"/>
            <w:hideMark/>
          </w:tcPr>
          <w:p w14:paraId="79906ECD" w14:textId="77777777" w:rsidR="005530FC" w:rsidRPr="005530FC" w:rsidRDefault="005530FC" w:rsidP="005530FC">
            <w:pPr>
              <w:spacing w:after="0" w:line="240" w:lineRule="auto"/>
              <w:jc w:val="right"/>
              <w:rPr>
                <w:rFonts w:ascii="Calibri" w:eastAsia="Times New Roman" w:hAnsi="Calibri" w:cs="Times New Roman"/>
                <w:color w:val="000000"/>
              </w:rPr>
            </w:pPr>
            <w:r w:rsidRPr="005530FC">
              <w:rPr>
                <w:rFonts w:ascii="Calibri" w:eastAsia="Times New Roman" w:hAnsi="Calibri" w:cs="Times New Roman"/>
                <w:color w:val="000000"/>
              </w:rPr>
              <w:t>-0.18</w:t>
            </w:r>
          </w:p>
        </w:tc>
      </w:tr>
      <w:tr w:rsidR="005530FC" w:rsidRPr="005530FC" w14:paraId="14ECCB5D" w14:textId="77777777" w:rsidTr="005530FC">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1B48A7F1" w14:textId="77777777" w:rsidR="005530FC" w:rsidRPr="005530FC" w:rsidRDefault="005530FC" w:rsidP="005530FC">
            <w:pPr>
              <w:spacing w:after="0" w:line="240" w:lineRule="auto"/>
              <w:ind w:firstLineChars="200" w:firstLine="440"/>
              <w:rPr>
                <w:rFonts w:ascii="Calibri" w:eastAsia="Times New Roman" w:hAnsi="Calibri" w:cs="Times New Roman"/>
                <w:color w:val="000000"/>
              </w:rPr>
            </w:pPr>
            <w:r w:rsidRPr="005530FC">
              <w:rPr>
                <w:rFonts w:ascii="Calibri" w:eastAsia="Times New Roman" w:hAnsi="Calibri" w:cs="Times New Roman"/>
                <w:color w:val="000000"/>
              </w:rPr>
              <w:t>Internal Rate of Return (%)</w:t>
            </w:r>
          </w:p>
        </w:tc>
        <w:tc>
          <w:tcPr>
            <w:tcW w:w="1420" w:type="dxa"/>
            <w:tcBorders>
              <w:top w:val="nil"/>
              <w:left w:val="nil"/>
              <w:bottom w:val="single" w:sz="4" w:space="0" w:color="auto"/>
              <w:right w:val="single" w:sz="4" w:space="0" w:color="auto"/>
            </w:tcBorders>
            <w:shd w:val="clear" w:color="auto" w:fill="auto"/>
            <w:noWrap/>
            <w:vAlign w:val="bottom"/>
            <w:hideMark/>
          </w:tcPr>
          <w:p w14:paraId="4D5F89BD" w14:textId="77777777" w:rsidR="005530FC" w:rsidRPr="005530FC" w:rsidRDefault="005530FC" w:rsidP="005530FC">
            <w:pPr>
              <w:spacing w:after="0" w:line="240" w:lineRule="auto"/>
              <w:jc w:val="right"/>
              <w:rPr>
                <w:rFonts w:ascii="Calibri" w:eastAsia="Times New Roman" w:hAnsi="Calibri" w:cs="Times New Roman"/>
                <w:color w:val="000000"/>
              </w:rPr>
            </w:pPr>
            <w:r w:rsidRPr="005530FC">
              <w:rPr>
                <w:rFonts w:ascii="Calibri" w:eastAsia="Times New Roman" w:hAnsi="Calibri" w:cs="Times New Roman"/>
                <w:color w:val="000000"/>
              </w:rPr>
              <w:t>3.45</w:t>
            </w:r>
          </w:p>
        </w:tc>
        <w:tc>
          <w:tcPr>
            <w:tcW w:w="1500" w:type="dxa"/>
            <w:tcBorders>
              <w:top w:val="nil"/>
              <w:left w:val="nil"/>
              <w:bottom w:val="single" w:sz="4" w:space="0" w:color="auto"/>
              <w:right w:val="single" w:sz="4" w:space="0" w:color="auto"/>
            </w:tcBorders>
            <w:shd w:val="clear" w:color="auto" w:fill="auto"/>
            <w:noWrap/>
            <w:vAlign w:val="bottom"/>
            <w:hideMark/>
          </w:tcPr>
          <w:p w14:paraId="6533F28C" w14:textId="77777777" w:rsidR="005530FC" w:rsidRPr="005530FC" w:rsidRDefault="005530FC" w:rsidP="005530FC">
            <w:pPr>
              <w:spacing w:after="0" w:line="240" w:lineRule="auto"/>
              <w:jc w:val="right"/>
              <w:rPr>
                <w:rFonts w:ascii="Calibri" w:eastAsia="Times New Roman" w:hAnsi="Calibri" w:cs="Times New Roman"/>
                <w:color w:val="000000"/>
              </w:rPr>
            </w:pPr>
            <w:r w:rsidRPr="005530FC">
              <w:rPr>
                <w:rFonts w:ascii="Calibri" w:eastAsia="Times New Roman" w:hAnsi="Calibri" w:cs="Times New Roman"/>
                <w:color w:val="000000"/>
              </w:rPr>
              <w:t>3.79</w:t>
            </w:r>
          </w:p>
        </w:tc>
      </w:tr>
      <w:tr w:rsidR="005530FC" w:rsidRPr="005530FC" w14:paraId="4E643132" w14:textId="77777777" w:rsidTr="005530FC">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5B4274D7" w14:textId="77777777" w:rsidR="005530FC" w:rsidRPr="005530FC" w:rsidRDefault="005530FC" w:rsidP="005530FC">
            <w:pPr>
              <w:spacing w:after="0" w:line="240" w:lineRule="auto"/>
              <w:ind w:firstLineChars="200" w:firstLine="440"/>
              <w:rPr>
                <w:rFonts w:ascii="Calibri" w:eastAsia="Times New Roman" w:hAnsi="Calibri" w:cs="Times New Roman"/>
                <w:color w:val="000000"/>
              </w:rPr>
            </w:pPr>
            <w:r w:rsidRPr="005530FC">
              <w:rPr>
                <w:rFonts w:ascii="Calibri" w:eastAsia="Times New Roman" w:hAnsi="Calibri" w:cs="Times New Roman"/>
                <w:color w:val="000000"/>
              </w:rPr>
              <w:t>Return on Investment (%)</w:t>
            </w:r>
          </w:p>
        </w:tc>
        <w:tc>
          <w:tcPr>
            <w:tcW w:w="1420" w:type="dxa"/>
            <w:tcBorders>
              <w:top w:val="nil"/>
              <w:left w:val="nil"/>
              <w:bottom w:val="single" w:sz="4" w:space="0" w:color="auto"/>
              <w:right w:val="single" w:sz="4" w:space="0" w:color="auto"/>
            </w:tcBorders>
            <w:shd w:val="clear" w:color="auto" w:fill="auto"/>
            <w:noWrap/>
            <w:vAlign w:val="bottom"/>
            <w:hideMark/>
          </w:tcPr>
          <w:p w14:paraId="1F8955F1" w14:textId="77777777" w:rsidR="005530FC" w:rsidRPr="005530FC" w:rsidRDefault="005530FC" w:rsidP="005530FC">
            <w:pPr>
              <w:spacing w:after="0" w:line="240" w:lineRule="auto"/>
              <w:jc w:val="right"/>
              <w:rPr>
                <w:rFonts w:ascii="Calibri" w:eastAsia="Times New Roman" w:hAnsi="Calibri" w:cs="Times New Roman"/>
                <w:color w:val="000000"/>
              </w:rPr>
            </w:pPr>
            <w:r w:rsidRPr="005530FC">
              <w:rPr>
                <w:rFonts w:ascii="Calibri" w:eastAsia="Times New Roman" w:hAnsi="Calibri" w:cs="Times New Roman"/>
                <w:color w:val="000000"/>
              </w:rPr>
              <w:t>1.55</w:t>
            </w:r>
          </w:p>
        </w:tc>
        <w:tc>
          <w:tcPr>
            <w:tcW w:w="1500" w:type="dxa"/>
            <w:tcBorders>
              <w:top w:val="nil"/>
              <w:left w:val="nil"/>
              <w:bottom w:val="single" w:sz="4" w:space="0" w:color="auto"/>
              <w:right w:val="single" w:sz="4" w:space="0" w:color="auto"/>
            </w:tcBorders>
            <w:shd w:val="clear" w:color="auto" w:fill="auto"/>
            <w:noWrap/>
            <w:vAlign w:val="bottom"/>
            <w:hideMark/>
          </w:tcPr>
          <w:p w14:paraId="72B2BF5C" w14:textId="77777777" w:rsidR="005530FC" w:rsidRPr="005530FC" w:rsidRDefault="005530FC" w:rsidP="005530FC">
            <w:pPr>
              <w:spacing w:after="0" w:line="240" w:lineRule="auto"/>
              <w:jc w:val="right"/>
              <w:rPr>
                <w:rFonts w:ascii="Calibri" w:eastAsia="Times New Roman" w:hAnsi="Calibri" w:cs="Times New Roman"/>
                <w:color w:val="000000"/>
              </w:rPr>
            </w:pPr>
            <w:r w:rsidRPr="005530FC">
              <w:rPr>
                <w:rFonts w:ascii="Calibri" w:eastAsia="Times New Roman" w:hAnsi="Calibri" w:cs="Times New Roman"/>
                <w:color w:val="000000"/>
              </w:rPr>
              <w:t>1.67</w:t>
            </w:r>
          </w:p>
        </w:tc>
      </w:tr>
      <w:tr w:rsidR="005530FC" w:rsidRPr="005530FC" w14:paraId="666A2E92" w14:textId="77777777" w:rsidTr="005530FC">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74C01FE8" w14:textId="77777777" w:rsidR="005530FC" w:rsidRPr="005530FC" w:rsidRDefault="005530FC" w:rsidP="005530FC">
            <w:pPr>
              <w:spacing w:after="0" w:line="240" w:lineRule="auto"/>
              <w:ind w:firstLineChars="200" w:firstLine="440"/>
              <w:rPr>
                <w:rFonts w:ascii="Calibri" w:eastAsia="Times New Roman" w:hAnsi="Calibri" w:cs="Times New Roman"/>
                <w:color w:val="000000"/>
              </w:rPr>
            </w:pPr>
            <w:r w:rsidRPr="005530FC">
              <w:rPr>
                <w:rFonts w:ascii="Calibri" w:eastAsia="Times New Roman" w:hAnsi="Calibri" w:cs="Times New Roman"/>
                <w:color w:val="000000"/>
              </w:rPr>
              <w:t>Non-Disaster ROI (%)</w:t>
            </w:r>
          </w:p>
        </w:tc>
        <w:tc>
          <w:tcPr>
            <w:tcW w:w="1420" w:type="dxa"/>
            <w:tcBorders>
              <w:top w:val="nil"/>
              <w:left w:val="nil"/>
              <w:bottom w:val="single" w:sz="4" w:space="0" w:color="auto"/>
              <w:right w:val="single" w:sz="4" w:space="0" w:color="auto"/>
            </w:tcBorders>
            <w:shd w:val="clear" w:color="auto" w:fill="auto"/>
            <w:noWrap/>
            <w:vAlign w:val="bottom"/>
            <w:hideMark/>
          </w:tcPr>
          <w:p w14:paraId="0994F1D5" w14:textId="77777777" w:rsidR="005530FC" w:rsidRPr="005530FC" w:rsidRDefault="005530FC" w:rsidP="005530FC">
            <w:pPr>
              <w:spacing w:after="0" w:line="240" w:lineRule="auto"/>
              <w:jc w:val="right"/>
              <w:rPr>
                <w:rFonts w:ascii="Calibri" w:eastAsia="Times New Roman" w:hAnsi="Calibri" w:cs="Times New Roman"/>
                <w:color w:val="000000"/>
              </w:rPr>
            </w:pPr>
            <w:r w:rsidRPr="005530FC">
              <w:rPr>
                <w:rFonts w:ascii="Calibri" w:eastAsia="Times New Roman" w:hAnsi="Calibri" w:cs="Times New Roman"/>
                <w:color w:val="000000"/>
              </w:rPr>
              <w:t>0.00</w:t>
            </w:r>
          </w:p>
        </w:tc>
        <w:tc>
          <w:tcPr>
            <w:tcW w:w="1500" w:type="dxa"/>
            <w:tcBorders>
              <w:top w:val="nil"/>
              <w:left w:val="nil"/>
              <w:bottom w:val="single" w:sz="4" w:space="0" w:color="auto"/>
              <w:right w:val="single" w:sz="4" w:space="0" w:color="auto"/>
            </w:tcBorders>
            <w:shd w:val="clear" w:color="auto" w:fill="auto"/>
            <w:noWrap/>
            <w:vAlign w:val="bottom"/>
            <w:hideMark/>
          </w:tcPr>
          <w:p w14:paraId="320E373F" w14:textId="77777777" w:rsidR="005530FC" w:rsidRPr="005530FC" w:rsidRDefault="005530FC" w:rsidP="005530FC">
            <w:pPr>
              <w:spacing w:after="0" w:line="240" w:lineRule="auto"/>
              <w:jc w:val="right"/>
              <w:rPr>
                <w:rFonts w:ascii="Calibri" w:eastAsia="Times New Roman" w:hAnsi="Calibri" w:cs="Times New Roman"/>
                <w:color w:val="000000"/>
              </w:rPr>
            </w:pPr>
            <w:r w:rsidRPr="005530FC">
              <w:rPr>
                <w:rFonts w:ascii="Calibri" w:eastAsia="Times New Roman" w:hAnsi="Calibri" w:cs="Times New Roman"/>
                <w:color w:val="000000"/>
              </w:rPr>
              <w:t>0.47</w:t>
            </w:r>
          </w:p>
        </w:tc>
      </w:tr>
    </w:tbl>
    <w:p w14:paraId="4F0C8A3B" w14:textId="77777777" w:rsidR="005530FC" w:rsidRDefault="005530FC" w:rsidP="002924AF"/>
    <w:p w14:paraId="024F9179" w14:textId="1F1F66D0" w:rsidR="00A80ACA" w:rsidRPr="00A80ACA" w:rsidRDefault="00A80ACA" w:rsidP="002924AF">
      <w:pPr>
        <w:rPr>
          <w:b/>
        </w:rPr>
      </w:pPr>
      <w:r>
        <w:rPr>
          <w:b/>
        </w:rPr>
        <w:lastRenderedPageBreak/>
        <w:t>Notes on the Output Values</w:t>
      </w:r>
    </w:p>
    <w:p w14:paraId="4AF03B06" w14:textId="6FF568D6" w:rsidR="0050173C" w:rsidRDefault="005530FC" w:rsidP="002924AF">
      <w:r>
        <w:t>The output from the EDG</w:t>
      </w:r>
      <w:r w:rsidR="00A03A8D">
        <w:t>eS</w:t>
      </w:r>
      <w:r>
        <w:t xml:space="preserve"> Tool contains intermediate results, and the final economic indicators used in decision making. The non-disaster related output is calculated using discounted cash flows for the planning horizon. Using the </w:t>
      </w:r>
      <w:r w:rsidRPr="005530FC">
        <w:rPr>
          <w:i/>
        </w:rPr>
        <w:t>Non-Disaster Related Benefits</w:t>
      </w:r>
      <w:r>
        <w:rPr>
          <w:i/>
        </w:rPr>
        <w:t xml:space="preserve"> (NDRBs)</w:t>
      </w:r>
      <w:r>
        <w:t xml:space="preserve"> for the </w:t>
      </w:r>
      <w:r>
        <w:rPr>
          <w:i/>
        </w:rPr>
        <w:t>New Bridge</w:t>
      </w:r>
      <w:r>
        <w:t xml:space="preserve"> alternative as an example, the annual </w:t>
      </w:r>
      <w:r w:rsidRPr="005530FC">
        <w:rPr>
          <w:i/>
        </w:rPr>
        <w:t>NDRBs</w:t>
      </w:r>
      <w:r>
        <w:t xml:space="preserve"> for the </w:t>
      </w:r>
      <w:r>
        <w:rPr>
          <w:i/>
        </w:rPr>
        <w:t>New Bridge</w:t>
      </w:r>
      <w:r>
        <w:t xml:space="preserve"> is $1</w:t>
      </w:r>
      <w:r w:rsidR="00C41A25">
        <w:t xml:space="preserve">00 000. This is discounted at </w:t>
      </w:r>
      <w:r>
        <w:t>5</w:t>
      </w:r>
      <w:r w:rsidR="00C41A25">
        <w:t xml:space="preserve"> %</w:t>
      </w:r>
      <w:r>
        <w:t xml:space="preserve"> for the entire 50-year planning horizon. Therefore, the total discounted NDRBs are</w:t>
      </w:r>
      <w:r w:rsidR="007C2D6F">
        <w:t>:</w:t>
      </w:r>
    </w:p>
    <w:p w14:paraId="2400A5A3" w14:textId="3D9A8380" w:rsidR="005530FC" w:rsidRPr="007C2D6F" w:rsidRDefault="007C2D6F" w:rsidP="002924AF">
      <w:pPr>
        <w:rPr>
          <w:rFonts w:eastAsiaTheme="minorEastAsia"/>
        </w:rPr>
      </w:pPr>
      <m:oMathPara>
        <m:oMath>
          <m:r>
            <w:rPr>
              <w:rFonts w:ascii="Cambria Math" w:hAnsi="Cambria Math"/>
            </w:rPr>
            <m:t>$100 000*</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-0.05*50</m:t>
                  </m:r>
                </m:sup>
              </m:sSup>
            </m:num>
            <m:den>
              <m:sSup>
                <m:sSupPr>
                  <m:ctrlPr>
                    <w:rPr>
                      <w:rFonts w:ascii="Cambria Math" w:hAnsi="Cambria Math"/>
                      <w:i/>
                    </w:rPr>
                  </m:ctrlPr>
                </m:sSupPr>
                <m:e>
                  <m:r>
                    <w:rPr>
                      <w:rFonts w:ascii="Cambria Math" w:hAnsi="Cambria Math"/>
                    </w:rPr>
                    <m:t>e</m:t>
                  </m:r>
                </m:e>
                <m:sup>
                  <m:r>
                    <w:rPr>
                      <w:rFonts w:ascii="Cambria Math" w:hAnsi="Cambria Math"/>
                    </w:rPr>
                    <m:t>0.05</m:t>
                  </m:r>
                </m:sup>
              </m:sSup>
              <m:r>
                <w:rPr>
                  <w:rFonts w:ascii="Cambria Math" w:hAnsi="Cambria Math"/>
                </w:rPr>
                <m:t>-1</m:t>
              </m:r>
            </m:den>
          </m:f>
          <m:r>
            <w:rPr>
              <w:rFonts w:ascii="Cambria Math" w:eastAsiaTheme="minorEastAsia" w:hAnsi="Cambria Math"/>
            </w:rPr>
            <m:t>=$1 790 317</m:t>
          </m:r>
        </m:oMath>
      </m:oMathPara>
    </w:p>
    <w:p w14:paraId="6BB3A867" w14:textId="17EC5393" w:rsidR="007C2D6F" w:rsidRDefault="007C2D6F" w:rsidP="002924AF">
      <w:pPr>
        <w:rPr>
          <w:rFonts w:eastAsiaTheme="minorEastAsia"/>
        </w:rPr>
      </w:pPr>
      <w:r>
        <w:rPr>
          <w:rFonts w:eastAsiaTheme="minorEastAsia"/>
        </w:rPr>
        <w:t>Values that occur in year zero are not discounted, which is why the direct costs and indirect costs equal the sum of all inputs for those line items.</w:t>
      </w:r>
    </w:p>
    <w:p w14:paraId="604EEBC4" w14:textId="08B62DB8" w:rsidR="007C2D6F" w:rsidRDefault="007C2D6F" w:rsidP="002924AF">
      <w:pPr>
        <w:rPr>
          <w:rFonts w:eastAsiaTheme="minorEastAsia"/>
        </w:rPr>
      </w:pPr>
      <w:r>
        <w:rPr>
          <w:rFonts w:eastAsiaTheme="minorEastAsia"/>
        </w:rPr>
        <w:t xml:space="preserve">On-disaster benefits represent the annualized expected value of the benefits assuming a Poisson distribution for the return rate of the disaster in question. Thus the $260 000 direct loss reduction from </w:t>
      </w:r>
      <w:r>
        <w:rPr>
          <w:rFonts w:eastAsiaTheme="minorEastAsia"/>
        </w:rPr>
        <w:fldChar w:fldCharType="begin"/>
      </w:r>
      <w:r>
        <w:rPr>
          <w:rFonts w:eastAsiaTheme="minorEastAsia"/>
        </w:rPr>
        <w:instrText xml:space="preserve"> REF _Ref487786618 \h </w:instrText>
      </w:r>
      <w:r>
        <w:rPr>
          <w:rFonts w:eastAsiaTheme="minorEastAsia"/>
        </w:rPr>
      </w:r>
      <w:r>
        <w:rPr>
          <w:rFonts w:eastAsiaTheme="minorEastAsia"/>
        </w:rPr>
        <w:fldChar w:fldCharType="separate"/>
      </w:r>
      <w:r>
        <w:t xml:space="preserve">Table </w:t>
      </w:r>
      <w:r>
        <w:rPr>
          <w:noProof/>
        </w:rPr>
        <w:t>1</w:t>
      </w:r>
      <w:r>
        <w:rPr>
          <w:rFonts w:eastAsiaTheme="minorEastAsia"/>
        </w:rPr>
        <w:fldChar w:fldCharType="end"/>
      </w:r>
      <w:r>
        <w:rPr>
          <w:rFonts w:eastAsiaTheme="minorEastAsia"/>
        </w:rPr>
        <w:t xml:space="preserve"> is used to find the expected annual value of benefits based on the Poisson distribution assumption, and then discounted to the present value as shown:</w:t>
      </w:r>
    </w:p>
    <w:p w14:paraId="5004B13A" w14:textId="3D47F9CA" w:rsidR="007C2D6F" w:rsidRPr="00283822" w:rsidRDefault="00283822" w:rsidP="002924AF">
      <w:pPr>
        <w:rPr>
          <w:rFonts w:eastAsiaTheme="minorEastAsia"/>
        </w:rPr>
      </w:pPr>
      <m:oMathPara>
        <m:oMath>
          <m:r>
            <w:rPr>
              <w:rFonts w:ascii="Cambria Math" w:hAnsi="Cambria Math"/>
            </w:rPr>
            <m:t>$260 000*</m:t>
          </m:r>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0.05</m:t>
                      </m:r>
                    </m:sup>
                  </m:sSup>
                </m:e>
              </m:d>
            </m:num>
            <m:den>
              <m:r>
                <w:rPr>
                  <w:rFonts w:ascii="Cambria Math" w:hAnsi="Cambria Math"/>
                </w:rPr>
                <m:t>25</m:t>
              </m:r>
            </m:den>
          </m:f>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-0.05*50)</m:t>
                  </m:r>
                </m:sup>
              </m:sSup>
            </m:e>
          </m:d>
          <m:r>
            <w:rPr>
              <w:rFonts w:ascii="Cambria Math" w:hAnsi="Cambria Math"/>
            </w:rPr>
            <m:t>=$195 739</m:t>
          </m:r>
        </m:oMath>
      </m:oMathPara>
    </w:p>
    <w:p w14:paraId="0D469B1E" w14:textId="3929B51F" w:rsidR="00283822" w:rsidRDefault="00283822" w:rsidP="002924AF">
      <w:r>
        <w:t>After bringing all values to net present value,</w:t>
      </w:r>
      <w:r w:rsidR="00A3562B">
        <w:t xml:space="preserve"> the final economic indicators are</w:t>
      </w:r>
      <w:r>
        <w:t xml:space="preserve"> </w:t>
      </w:r>
      <w:r w:rsidRPr="00283822">
        <w:rPr>
          <w:i/>
        </w:rPr>
        <w:t>Present</w:t>
      </w:r>
      <w:r w:rsidR="003A19C4">
        <w:rPr>
          <w:i/>
        </w:rPr>
        <w:t xml:space="preserve"> Expected</w:t>
      </w:r>
      <w:r w:rsidRPr="00283822">
        <w:rPr>
          <w:i/>
        </w:rPr>
        <w:t xml:space="preserve"> Value</w:t>
      </w:r>
      <w:r>
        <w:rPr>
          <w:i/>
        </w:rPr>
        <w:t xml:space="preserve"> (</w:t>
      </w:r>
      <w:r w:rsidR="003A19C4">
        <w:rPr>
          <w:i/>
        </w:rPr>
        <w:t>PEV</w:t>
      </w:r>
      <w:r>
        <w:rPr>
          <w:i/>
        </w:rPr>
        <w:t>)</w:t>
      </w:r>
      <w:r>
        <w:t xml:space="preserve">, </w:t>
      </w:r>
      <w:r>
        <w:rPr>
          <w:i/>
        </w:rPr>
        <w:t>Savings to Investment Ratio</w:t>
      </w:r>
      <w:r>
        <w:t xml:space="preserve"> </w:t>
      </w:r>
      <w:r>
        <w:rPr>
          <w:i/>
        </w:rPr>
        <w:t>(SIR)</w:t>
      </w:r>
      <w:r>
        <w:t xml:space="preserve">, </w:t>
      </w:r>
      <w:r>
        <w:rPr>
          <w:i/>
        </w:rPr>
        <w:t>Internal Rate of Return (IRR)</w:t>
      </w:r>
      <w:r>
        <w:t>,</w:t>
      </w:r>
      <w:r>
        <w:rPr>
          <w:i/>
        </w:rPr>
        <w:t xml:space="preserve"> Return on Investment (ROI)</w:t>
      </w:r>
      <w:r>
        <w:t xml:space="preserve">, and </w:t>
      </w:r>
      <w:r>
        <w:rPr>
          <w:i/>
        </w:rPr>
        <w:t>ROI</w:t>
      </w:r>
      <w:r>
        <w:t xml:space="preserve"> excluding the on-disaster benefits.</w:t>
      </w:r>
    </w:p>
    <w:p w14:paraId="7833A48F" w14:textId="7BCB6015" w:rsidR="00283822" w:rsidRPr="00D46597" w:rsidRDefault="00283822" w:rsidP="002924AF">
      <w:r>
        <w:t xml:space="preserve">The </w:t>
      </w:r>
      <w:r w:rsidR="003A19C4">
        <w:rPr>
          <w:i/>
        </w:rPr>
        <w:t>PEV</w:t>
      </w:r>
      <w:r>
        <w:t xml:space="preserve"> represents the total cost of a project or cash flow brought back to present day dollars. The premise is essentially that a future dollar is worth less than a dollar at the present time. The classic example is whether a person would like to have 100 dollars now, or 200 dollars in two years. While the 200 dollars in two years is greater, the 100 dollars now tends to be more attractive, as having money immediately allows it to be used or invested in some way that may produce more value than having twice the amount in two years. The future money’s value is discounted at some rate, in the case of the planning team for Riverbend, that rate is taken as 5 %.</w:t>
      </w:r>
      <w:r w:rsidR="00A80ACA">
        <w:t xml:space="preserve"> The </w:t>
      </w:r>
      <w:r w:rsidR="003A19C4">
        <w:rPr>
          <w:i/>
        </w:rPr>
        <w:t>PEV</w:t>
      </w:r>
      <w:r w:rsidR="00A80ACA">
        <w:rPr>
          <w:i/>
        </w:rPr>
        <w:t xml:space="preserve"> </w:t>
      </w:r>
      <w:r w:rsidR="00A80ACA">
        <w:t xml:space="preserve">values </w:t>
      </w:r>
      <w:r w:rsidR="003A19C4">
        <w:t>for the Net value (</w:t>
      </w:r>
      <w:r w:rsidR="003A19C4" w:rsidRPr="003A19C4">
        <w:rPr>
          <w:i/>
        </w:rPr>
        <w:t>NPV</w:t>
      </w:r>
      <w:r w:rsidR="003A19C4">
        <w:t>)</w:t>
      </w:r>
      <w:r w:rsidR="00A03A8D">
        <w:t xml:space="preserve"> </w:t>
      </w:r>
      <w:r w:rsidR="00A80ACA">
        <w:t>are then compared, and the highest value is considered the best alternative.</w:t>
      </w:r>
      <w:r w:rsidR="00D46597">
        <w:t xml:space="preserve"> In general, the </w:t>
      </w:r>
      <w:r w:rsidR="00A03A8D">
        <w:rPr>
          <w:i/>
        </w:rPr>
        <w:t>NP</w:t>
      </w:r>
      <w:r w:rsidR="003A19C4">
        <w:rPr>
          <w:i/>
        </w:rPr>
        <w:t>V</w:t>
      </w:r>
      <w:r w:rsidR="00D46597">
        <w:rPr>
          <w:i/>
        </w:rPr>
        <w:t xml:space="preserve"> </w:t>
      </w:r>
      <w:r w:rsidR="00D46597">
        <w:t>should be the preferred ranking method for alternatives.</w:t>
      </w:r>
    </w:p>
    <w:p w14:paraId="39F2B1EB" w14:textId="132D5EC9" w:rsidR="00A80ACA" w:rsidRDefault="00A80ACA" w:rsidP="002924AF">
      <w:r>
        <w:t xml:space="preserve">The </w:t>
      </w:r>
      <w:r>
        <w:rPr>
          <w:i/>
        </w:rPr>
        <w:t>SIR</w:t>
      </w:r>
      <w:r>
        <w:t xml:space="preserve"> is the ratio of savings (in this case benefits) to </w:t>
      </w:r>
      <w:r w:rsidR="00D46597">
        <w:t xml:space="preserve">increases in investment-related </w:t>
      </w:r>
      <w:r>
        <w:t>costs</w:t>
      </w:r>
      <w:r w:rsidR="00D46597">
        <w:t xml:space="preserve">. A positive value indicates that the savings are greater than the investments required to obtain them. The </w:t>
      </w:r>
      <w:r w:rsidR="00D46597">
        <w:rPr>
          <w:i/>
        </w:rPr>
        <w:t>IRR</w:t>
      </w:r>
      <w:r w:rsidR="00D46597">
        <w:t xml:space="preserve"> represents the discount rate required for the </w:t>
      </w:r>
      <w:r w:rsidR="003A19C4">
        <w:rPr>
          <w:i/>
        </w:rPr>
        <w:t>PEV</w:t>
      </w:r>
      <w:r w:rsidR="00D46597">
        <w:t xml:space="preserve"> of benefits to equal the </w:t>
      </w:r>
      <w:r w:rsidR="003A19C4">
        <w:rPr>
          <w:i/>
        </w:rPr>
        <w:t>PEV</w:t>
      </w:r>
      <w:r w:rsidR="00D46597">
        <w:t xml:space="preserve"> of costs. In practice the </w:t>
      </w:r>
      <w:r w:rsidR="00D46597">
        <w:rPr>
          <w:i/>
        </w:rPr>
        <w:t>IRR</w:t>
      </w:r>
      <w:r w:rsidR="00D46597">
        <w:t xml:space="preserve"> is compared against an entity’s required rate of return, and if the </w:t>
      </w:r>
      <w:r w:rsidR="00D46597">
        <w:rPr>
          <w:i/>
        </w:rPr>
        <w:t>IRR</w:t>
      </w:r>
      <w:r w:rsidR="00D46597">
        <w:t xml:space="preserve"> exceeds it, then the project is desirable. The </w:t>
      </w:r>
      <w:r w:rsidR="00D46597">
        <w:rPr>
          <w:i/>
        </w:rPr>
        <w:t>ROI</w:t>
      </w:r>
      <w:r w:rsidR="00D46597">
        <w:t xml:space="preserve"> is a ratio of the difference between the benefits and the costs of the investment, divided by the cost. It measures the net benefit compared to the cost. </w:t>
      </w:r>
    </w:p>
    <w:p w14:paraId="43EEF67E" w14:textId="4DB780DE" w:rsidR="00D46597" w:rsidRDefault="00D46597" w:rsidP="002924AF">
      <w:pPr>
        <w:rPr>
          <w:b/>
        </w:rPr>
      </w:pPr>
      <w:r>
        <w:rPr>
          <w:b/>
        </w:rPr>
        <w:t>Interpreting the Riverbend case</w:t>
      </w:r>
    </w:p>
    <w:p w14:paraId="13D7992C" w14:textId="543675C2" w:rsidR="00D46597" w:rsidRDefault="00D46597" w:rsidP="002924AF">
      <w:r>
        <w:t xml:space="preserve">There are two </w:t>
      </w:r>
      <w:r w:rsidR="003A19C4" w:rsidRPr="003A19C4">
        <w:rPr>
          <w:i/>
        </w:rPr>
        <w:t>NPV</w:t>
      </w:r>
      <w:r w:rsidR="003A19C4">
        <w:t xml:space="preserve"> </w:t>
      </w:r>
      <w:r>
        <w:t xml:space="preserve">s given in the output, with externalities and without. </w:t>
      </w:r>
      <w:r w:rsidR="00457CB5">
        <w:t xml:space="preserve">Based on the </w:t>
      </w:r>
      <w:r w:rsidR="003A19C4" w:rsidRPr="003A19C4">
        <w:rPr>
          <w:i/>
        </w:rPr>
        <w:t>NPV</w:t>
      </w:r>
      <w:r w:rsidR="00457CB5">
        <w:t xml:space="preserve"> without externalities the </w:t>
      </w:r>
      <w:r w:rsidR="00457CB5">
        <w:rPr>
          <w:i/>
        </w:rPr>
        <w:t>Retrofit</w:t>
      </w:r>
      <w:r w:rsidR="00457CB5">
        <w:t xml:space="preserve"> is preferable over the </w:t>
      </w:r>
      <w:r w:rsidR="00457CB5">
        <w:rPr>
          <w:i/>
        </w:rPr>
        <w:t>New Bridge</w:t>
      </w:r>
      <w:r w:rsidR="00457CB5">
        <w:t xml:space="preserve"> as it has a higher </w:t>
      </w:r>
      <w:r w:rsidR="003A19C4" w:rsidRPr="003A19C4">
        <w:rPr>
          <w:i/>
        </w:rPr>
        <w:t>NPV</w:t>
      </w:r>
      <w:r w:rsidR="00457CB5">
        <w:t xml:space="preserve">. However, both have a negative </w:t>
      </w:r>
      <w:r w:rsidR="003A19C4" w:rsidRPr="003A19C4">
        <w:rPr>
          <w:i/>
        </w:rPr>
        <w:t>NPV</w:t>
      </w:r>
      <w:r w:rsidR="00457CB5">
        <w:t xml:space="preserve"> value. If the project is optional, it may be</w:t>
      </w:r>
      <w:r w:rsidR="003A19C4">
        <w:t xml:space="preserve"> that</w:t>
      </w:r>
      <w:r w:rsidR="00457CB5">
        <w:t xml:space="preserve"> the best option economically is the implicit </w:t>
      </w:r>
      <w:r w:rsidR="00457CB5">
        <w:lastRenderedPageBreak/>
        <w:t xml:space="preserve">alternative of doing nothing. Whether doing nothing has any political ramifications that may </w:t>
      </w:r>
      <w:r w:rsidR="003A19C4">
        <w:t>co</w:t>
      </w:r>
      <w:r w:rsidR="00457CB5">
        <w:t>mpel action is also a consideration, though not necessarily an economic one.</w:t>
      </w:r>
    </w:p>
    <w:p w14:paraId="5A16874D" w14:textId="77777777" w:rsidR="00A03A8D" w:rsidRDefault="00457CB5" w:rsidP="002924AF">
      <w:r>
        <w:t xml:space="preserve">If externalities are included in the </w:t>
      </w:r>
      <w:r w:rsidR="003A19C4" w:rsidRPr="003A19C4">
        <w:rPr>
          <w:i/>
        </w:rPr>
        <w:t>NPV</w:t>
      </w:r>
      <w:r>
        <w:t>, the</w:t>
      </w:r>
      <w:r>
        <w:rPr>
          <w:i/>
        </w:rPr>
        <w:t xml:space="preserve"> New Bridge</w:t>
      </w:r>
      <w:r>
        <w:t xml:space="preserve"> alternative is not only the better option, but has a positive </w:t>
      </w:r>
      <w:r w:rsidR="003A19C4" w:rsidRPr="003A19C4">
        <w:rPr>
          <w:i/>
        </w:rPr>
        <w:t>NPV</w:t>
      </w:r>
      <w:r>
        <w:t xml:space="preserve">. </w:t>
      </w:r>
      <w:r w:rsidR="00A03A8D">
        <w:t>One difficulty for Riverbend is the question “Should externalities be included?”.</w:t>
      </w:r>
      <w:r>
        <w:t xml:space="preserve"> Although these externalities represent benefits, they are not accrued by parties outside of the decision makers. </w:t>
      </w:r>
    </w:p>
    <w:p w14:paraId="112485A1" w14:textId="6DAB277B" w:rsidR="00457CB5" w:rsidRDefault="00457CB5" w:rsidP="002924AF">
      <w:r>
        <w:t>Another difficulty is where to cut off external parties</w:t>
      </w:r>
      <w:r>
        <w:rPr>
          <w:rStyle w:val="FootnoteReference"/>
        </w:rPr>
        <w:footnoteReference w:id="26"/>
      </w:r>
      <w:r>
        <w:t xml:space="preserve">. The reduction in pollution could also decrease costs at a water treatment plant downstream for instance. Where the boundaries should be set for externalities needs to be seriously considered if external parties are to be included. The final decision will therefore come down to how important the externalities are to the primary stakeholders, and if the public is willing to incur potential economic losses for benefits that may not present any economic return. </w:t>
      </w:r>
      <w:r w:rsidR="003A19C4">
        <w:t>Assuming the planning team is considering the externalities, the preferred alternative is constructing the new bridge.</w:t>
      </w:r>
    </w:p>
    <w:p w14:paraId="685E7D3B" w14:textId="06146B29" w:rsidR="003B5C79" w:rsidRPr="003B5C79" w:rsidRDefault="003B5C79" w:rsidP="002924AF">
      <w:r>
        <w:t xml:space="preserve">All other economic indicators suggest that the </w:t>
      </w:r>
      <w:r>
        <w:rPr>
          <w:i/>
        </w:rPr>
        <w:t>New Bridge</w:t>
      </w:r>
      <w:r>
        <w:t xml:space="preserve"> is the best option as well</w:t>
      </w:r>
      <w:r w:rsidR="00846E10">
        <w:t xml:space="preserve">. </w:t>
      </w:r>
    </w:p>
    <w:p w14:paraId="079FC46D" w14:textId="7F511ECE" w:rsidR="002924AF" w:rsidRDefault="002924AF" w:rsidP="002924AF">
      <w:pPr>
        <w:pStyle w:val="Heading3"/>
      </w:pPr>
      <w:r>
        <w:t>Estimates Under Uncertainty</w:t>
      </w:r>
    </w:p>
    <w:p w14:paraId="6617BA9F" w14:textId="54828EEA" w:rsidR="002924AF" w:rsidRDefault="00D22F96" w:rsidP="002924AF">
      <w:r>
        <w:t>Decisions are often made under uncertainty. The EDG</w:t>
      </w:r>
      <w:r w:rsidR="00A03A8D">
        <w:t>eS T</w:t>
      </w:r>
      <w:r>
        <w:t xml:space="preserve">ool allows users to incorporate uncertainty in their </w:t>
      </w:r>
      <w:r w:rsidR="00AE4DAA">
        <w:t>analysis as a result. Distributions of variables can be defined for four common distribution types, for costs, on-disaster benefits, the resilience dividend, and externalities. A Monte Carlo simulation is then run using these distributions until the simulation means converge on four key variables, the total costs, the total benefits, the net present value, and the net present value with externalities.</w:t>
      </w:r>
      <w:r w:rsidR="00283822">
        <w:t xml:space="preserve"> </w:t>
      </w:r>
    </w:p>
    <w:p w14:paraId="01D9DEAF" w14:textId="7917A3EF" w:rsidR="00C5744C" w:rsidRPr="00C5744C" w:rsidRDefault="00C5744C" w:rsidP="002924AF">
      <w:pPr>
        <w:rPr>
          <w:b/>
        </w:rPr>
      </w:pPr>
      <w:r>
        <w:rPr>
          <w:b/>
        </w:rPr>
        <w:t>Inputs</w:t>
      </w:r>
    </w:p>
    <w:p w14:paraId="3694CBE0" w14:textId="0F8CA5B8" w:rsidR="00A23959" w:rsidRDefault="00A23959" w:rsidP="002924AF">
      <w:r>
        <w:t xml:space="preserve">The </w:t>
      </w:r>
      <w:r>
        <w:rPr>
          <w:i/>
        </w:rPr>
        <w:t>Retrofit</w:t>
      </w:r>
      <w:r>
        <w:t xml:space="preserve"> inputs under uncertainty are located in </w:t>
      </w:r>
      <w:r w:rsidR="0050173C">
        <w:fldChar w:fldCharType="begin"/>
      </w:r>
      <w:r w:rsidR="0050173C">
        <w:instrText xml:space="preserve"> REF _Ref487786692 \h </w:instrText>
      </w:r>
      <w:r w:rsidR="0050173C">
        <w:fldChar w:fldCharType="separate"/>
      </w:r>
      <w:r w:rsidR="005530FC">
        <w:t xml:space="preserve">Table </w:t>
      </w:r>
      <w:r w:rsidR="005530FC">
        <w:rPr>
          <w:noProof/>
        </w:rPr>
        <w:t>4</w:t>
      </w:r>
      <w:r w:rsidR="0050173C">
        <w:fldChar w:fldCharType="end"/>
      </w:r>
      <w:r>
        <w:t>.</w:t>
      </w:r>
    </w:p>
    <w:p w14:paraId="51CEAD42" w14:textId="58D46FAD" w:rsidR="0050173C" w:rsidRDefault="0050173C" w:rsidP="0050173C">
      <w:pPr>
        <w:pStyle w:val="Caption"/>
        <w:keepNext/>
      </w:pPr>
      <w:bookmarkStart w:id="3" w:name="_Ref487786692"/>
      <w:r>
        <w:t xml:space="preserve">Table </w:t>
      </w:r>
      <w:fldSimple w:instr=" SEQ Table \* ARABIC ">
        <w:r w:rsidR="00285359">
          <w:rPr>
            <w:noProof/>
          </w:rPr>
          <w:t>4</w:t>
        </w:r>
      </w:fldSimple>
      <w:bookmarkEnd w:id="3"/>
      <w:r>
        <w:t xml:space="preserve">. </w:t>
      </w:r>
      <w:r w:rsidRPr="00AE6D46">
        <w:t>EDG</w:t>
      </w:r>
      <w:r w:rsidR="00A03A8D">
        <w:t>eS</w:t>
      </w:r>
      <w:r w:rsidRPr="00AE6D46">
        <w:t xml:space="preserve"> Tool input for </w:t>
      </w:r>
      <w:r w:rsidRPr="0050173C">
        <w:rPr>
          <w:i w:val="0"/>
        </w:rPr>
        <w:t>Retrofit</w:t>
      </w:r>
      <w:r w:rsidRPr="00AE6D46">
        <w:t xml:space="preserve"> option </w:t>
      </w:r>
      <w:r>
        <w:t>under uncertainty</w:t>
      </w:r>
    </w:p>
    <w:tbl>
      <w:tblPr>
        <w:tblStyle w:val="TableGrid"/>
        <w:tblW w:w="0" w:type="auto"/>
        <w:tblLook w:val="04A0" w:firstRow="1" w:lastRow="0" w:firstColumn="1" w:lastColumn="0" w:noHBand="0" w:noVBand="1"/>
      </w:tblPr>
      <w:tblGrid>
        <w:gridCol w:w="2193"/>
        <w:gridCol w:w="2842"/>
        <w:gridCol w:w="1800"/>
        <w:gridCol w:w="2515"/>
      </w:tblGrid>
      <w:tr w:rsidR="00A23959" w14:paraId="097D706E" w14:textId="2378E579" w:rsidTr="00A23959">
        <w:tc>
          <w:tcPr>
            <w:tcW w:w="2193" w:type="dxa"/>
          </w:tcPr>
          <w:p w14:paraId="0DA3CD4F" w14:textId="77777777" w:rsidR="00A23959" w:rsidRDefault="00A23959" w:rsidP="005530FC">
            <w:r>
              <w:t>Class</w:t>
            </w:r>
          </w:p>
        </w:tc>
        <w:tc>
          <w:tcPr>
            <w:tcW w:w="2842" w:type="dxa"/>
          </w:tcPr>
          <w:p w14:paraId="60080306" w14:textId="77777777" w:rsidR="00A23959" w:rsidRDefault="00A23959" w:rsidP="005530FC">
            <w:r>
              <w:t>Item</w:t>
            </w:r>
          </w:p>
        </w:tc>
        <w:tc>
          <w:tcPr>
            <w:tcW w:w="1800" w:type="dxa"/>
          </w:tcPr>
          <w:p w14:paraId="2E68E748" w14:textId="17E5A191" w:rsidR="00A23959" w:rsidRDefault="00A23959" w:rsidP="005530FC">
            <w:r>
              <w:t>Distribution Type</w:t>
            </w:r>
          </w:p>
        </w:tc>
        <w:tc>
          <w:tcPr>
            <w:tcW w:w="2515" w:type="dxa"/>
          </w:tcPr>
          <w:p w14:paraId="7008151E" w14:textId="54A49E54" w:rsidR="00A23959" w:rsidRDefault="00A23959" w:rsidP="005530FC">
            <w:r>
              <w:t>Parameters</w:t>
            </w:r>
          </w:p>
        </w:tc>
      </w:tr>
      <w:tr w:rsidR="00A23959" w14:paraId="1B676755" w14:textId="011F08A7" w:rsidTr="00A23959">
        <w:tc>
          <w:tcPr>
            <w:tcW w:w="2193" w:type="dxa"/>
            <w:vMerge w:val="restart"/>
          </w:tcPr>
          <w:p w14:paraId="2C4ED313" w14:textId="77777777" w:rsidR="00A23959" w:rsidRDefault="00A23959" w:rsidP="005530FC">
            <w:r>
              <w:t>Costs</w:t>
            </w:r>
          </w:p>
        </w:tc>
        <w:tc>
          <w:tcPr>
            <w:tcW w:w="2842" w:type="dxa"/>
          </w:tcPr>
          <w:p w14:paraId="670452B2" w14:textId="77777777" w:rsidR="00A23959" w:rsidRDefault="00A23959" w:rsidP="005530FC">
            <w:r>
              <w:t>Direct Costs</w:t>
            </w:r>
          </w:p>
        </w:tc>
        <w:tc>
          <w:tcPr>
            <w:tcW w:w="1800" w:type="dxa"/>
          </w:tcPr>
          <w:p w14:paraId="2BE56BDA" w14:textId="3388E18C" w:rsidR="00A23959" w:rsidRDefault="00A23959" w:rsidP="005530FC">
            <w:r>
              <w:t>Triangular</w:t>
            </w:r>
          </w:p>
        </w:tc>
        <w:tc>
          <w:tcPr>
            <w:tcW w:w="2515" w:type="dxa"/>
          </w:tcPr>
          <w:p w14:paraId="78547A49" w14:textId="4487AA0C" w:rsidR="00A23959" w:rsidRDefault="00A23959" w:rsidP="005530FC">
            <w:r>
              <w:t>Low – $2 850 000</w:t>
            </w:r>
          </w:p>
          <w:p w14:paraId="5D7A0AD3" w14:textId="01249A27" w:rsidR="00A23959" w:rsidRDefault="00A23959" w:rsidP="005530FC">
            <w:r>
              <w:t>Most Likely – $3 000 000</w:t>
            </w:r>
          </w:p>
          <w:p w14:paraId="1E9B9FC0" w14:textId="14C9CDFC" w:rsidR="00A23959" w:rsidRDefault="00A23959" w:rsidP="005530FC">
            <w:r>
              <w:t>High – $3 840 000</w:t>
            </w:r>
          </w:p>
        </w:tc>
      </w:tr>
      <w:tr w:rsidR="00A23959" w14:paraId="1A419D49" w14:textId="534C3B41" w:rsidTr="00A23959">
        <w:tc>
          <w:tcPr>
            <w:tcW w:w="2193" w:type="dxa"/>
            <w:vMerge/>
          </w:tcPr>
          <w:p w14:paraId="68F3F940" w14:textId="77777777" w:rsidR="00A23959" w:rsidRDefault="00A23959" w:rsidP="005530FC"/>
        </w:tc>
        <w:tc>
          <w:tcPr>
            <w:tcW w:w="2842" w:type="dxa"/>
          </w:tcPr>
          <w:p w14:paraId="72ADF020" w14:textId="77777777" w:rsidR="00A23959" w:rsidRDefault="00A23959" w:rsidP="005530FC">
            <w:r>
              <w:t>Indirect Costs</w:t>
            </w:r>
          </w:p>
        </w:tc>
        <w:tc>
          <w:tcPr>
            <w:tcW w:w="1800" w:type="dxa"/>
          </w:tcPr>
          <w:p w14:paraId="15E200B3" w14:textId="5B12C4A7" w:rsidR="00A23959" w:rsidRDefault="00A23959" w:rsidP="005530FC">
            <w:r>
              <w:t>Triangular</w:t>
            </w:r>
          </w:p>
        </w:tc>
        <w:tc>
          <w:tcPr>
            <w:tcW w:w="2515" w:type="dxa"/>
          </w:tcPr>
          <w:p w14:paraId="7D966B1F" w14:textId="1FDBECA8" w:rsidR="00A23959" w:rsidRDefault="00A23959" w:rsidP="00A23959">
            <w:r>
              <w:t>Low – $475 000</w:t>
            </w:r>
          </w:p>
          <w:p w14:paraId="0E989002" w14:textId="32EA5103" w:rsidR="00A23959" w:rsidRDefault="00A23959" w:rsidP="00A23959">
            <w:r>
              <w:t>Most Likely – $500 000</w:t>
            </w:r>
          </w:p>
          <w:p w14:paraId="2E89FBED" w14:textId="0F372CB0" w:rsidR="00A23959" w:rsidRDefault="00A23959" w:rsidP="00A23959">
            <w:r>
              <w:t>High – $712 500</w:t>
            </w:r>
          </w:p>
        </w:tc>
      </w:tr>
      <w:tr w:rsidR="00A23959" w14:paraId="7490C530" w14:textId="7E928404" w:rsidTr="00A23959">
        <w:tc>
          <w:tcPr>
            <w:tcW w:w="2193" w:type="dxa"/>
            <w:vMerge w:val="restart"/>
          </w:tcPr>
          <w:p w14:paraId="623BAD38" w14:textId="77777777" w:rsidR="00A23959" w:rsidRDefault="00A23959" w:rsidP="005530FC">
            <w:r>
              <w:t>On-Disaster Benefits</w:t>
            </w:r>
          </w:p>
        </w:tc>
        <w:tc>
          <w:tcPr>
            <w:tcW w:w="2842" w:type="dxa"/>
          </w:tcPr>
          <w:p w14:paraId="267123EC" w14:textId="77777777" w:rsidR="00A23959" w:rsidRDefault="00A23959" w:rsidP="005530FC">
            <w:r>
              <w:t>Direct Loss Reduction</w:t>
            </w:r>
          </w:p>
        </w:tc>
        <w:tc>
          <w:tcPr>
            <w:tcW w:w="1800" w:type="dxa"/>
          </w:tcPr>
          <w:p w14:paraId="5D7BE1C2" w14:textId="703DAE10" w:rsidR="00A23959" w:rsidRDefault="00A23959" w:rsidP="005530FC">
            <w:r>
              <w:t>Gaussian</w:t>
            </w:r>
          </w:p>
        </w:tc>
        <w:tc>
          <w:tcPr>
            <w:tcW w:w="2515" w:type="dxa"/>
          </w:tcPr>
          <w:p w14:paraId="1F482107" w14:textId="4499E853" w:rsidR="00A23959" w:rsidRDefault="00A23959" w:rsidP="00A23959">
            <w:r>
              <w:t>Mean – $260 000</w:t>
            </w:r>
          </w:p>
          <w:p w14:paraId="55DF9440" w14:textId="59F04B71" w:rsidR="00A23959" w:rsidRDefault="00A23959" w:rsidP="00A23959">
            <w:r>
              <w:t>Std. Dev – $78 000</w:t>
            </w:r>
          </w:p>
        </w:tc>
      </w:tr>
      <w:tr w:rsidR="00A23959" w14:paraId="6776C9BE" w14:textId="7D472C65" w:rsidTr="00A23959">
        <w:tc>
          <w:tcPr>
            <w:tcW w:w="2193" w:type="dxa"/>
            <w:vMerge/>
          </w:tcPr>
          <w:p w14:paraId="70E9A9FC" w14:textId="77777777" w:rsidR="00A23959" w:rsidRDefault="00A23959" w:rsidP="005530FC"/>
        </w:tc>
        <w:tc>
          <w:tcPr>
            <w:tcW w:w="2842" w:type="dxa"/>
          </w:tcPr>
          <w:p w14:paraId="4F2B29F3" w14:textId="77777777" w:rsidR="00A23959" w:rsidRDefault="00A23959" w:rsidP="005530FC">
            <w:r>
              <w:t>Indirect Loss Reduction</w:t>
            </w:r>
          </w:p>
        </w:tc>
        <w:tc>
          <w:tcPr>
            <w:tcW w:w="1800" w:type="dxa"/>
          </w:tcPr>
          <w:p w14:paraId="45F51D6D" w14:textId="194266F1" w:rsidR="00A23959" w:rsidRDefault="00A23959" w:rsidP="005530FC">
            <w:r>
              <w:t>Gaussian</w:t>
            </w:r>
          </w:p>
        </w:tc>
        <w:tc>
          <w:tcPr>
            <w:tcW w:w="2515" w:type="dxa"/>
          </w:tcPr>
          <w:p w14:paraId="0F9725C7" w14:textId="1CB0A37A" w:rsidR="00A23959" w:rsidRDefault="00A23959" w:rsidP="005530FC">
            <w:r>
              <w:t>Mean – $2 000 000</w:t>
            </w:r>
          </w:p>
          <w:p w14:paraId="2E7F1408" w14:textId="38B4B297" w:rsidR="00A23959" w:rsidRDefault="00A23959" w:rsidP="005530FC">
            <w:r>
              <w:t>Std. Dev – $600 000</w:t>
            </w:r>
          </w:p>
        </w:tc>
      </w:tr>
      <w:tr w:rsidR="00A23959" w14:paraId="1D984860" w14:textId="5C303BC4" w:rsidTr="00A23959">
        <w:tc>
          <w:tcPr>
            <w:tcW w:w="2193" w:type="dxa"/>
            <w:vMerge/>
          </w:tcPr>
          <w:p w14:paraId="5326747C" w14:textId="77777777" w:rsidR="00A23959" w:rsidRDefault="00A23959" w:rsidP="005530FC"/>
        </w:tc>
        <w:tc>
          <w:tcPr>
            <w:tcW w:w="2842" w:type="dxa"/>
          </w:tcPr>
          <w:p w14:paraId="054F998F" w14:textId="77777777" w:rsidR="00A23959" w:rsidRDefault="00A23959" w:rsidP="005530FC">
            <w:r>
              <w:t>Repair and Replacement Loss Reduction</w:t>
            </w:r>
          </w:p>
        </w:tc>
        <w:tc>
          <w:tcPr>
            <w:tcW w:w="1800" w:type="dxa"/>
          </w:tcPr>
          <w:p w14:paraId="59C2B4A0" w14:textId="2373D7FC" w:rsidR="00A23959" w:rsidRDefault="00A23959" w:rsidP="005530FC">
            <w:r>
              <w:t>Gaussian</w:t>
            </w:r>
          </w:p>
        </w:tc>
        <w:tc>
          <w:tcPr>
            <w:tcW w:w="2515" w:type="dxa"/>
          </w:tcPr>
          <w:p w14:paraId="6DAFBF41" w14:textId="7C1A9ED3" w:rsidR="00A23959" w:rsidRDefault="00A23959" w:rsidP="00A23959">
            <w:r>
              <w:t>Mean – $600 000</w:t>
            </w:r>
          </w:p>
          <w:p w14:paraId="4171A545" w14:textId="1B3BE471" w:rsidR="00A23959" w:rsidRDefault="00A23959" w:rsidP="00A23959">
            <w:r>
              <w:t>Std. Dev – $180 000</w:t>
            </w:r>
          </w:p>
        </w:tc>
      </w:tr>
      <w:tr w:rsidR="00A23959" w14:paraId="5CBCE7D4" w14:textId="3FDE2474" w:rsidTr="00A23959">
        <w:tc>
          <w:tcPr>
            <w:tcW w:w="5035" w:type="dxa"/>
            <w:gridSpan w:val="2"/>
          </w:tcPr>
          <w:p w14:paraId="761D5414" w14:textId="77777777" w:rsidR="00A23959" w:rsidRDefault="00A23959" w:rsidP="005530FC">
            <w:r>
              <w:t>Estimated Fatalities Averted</w:t>
            </w:r>
            <w:r>
              <w:rPr>
                <w:rStyle w:val="FootnoteReference"/>
              </w:rPr>
              <w:footnoteReference w:id="27"/>
            </w:r>
          </w:p>
        </w:tc>
        <w:tc>
          <w:tcPr>
            <w:tcW w:w="1800" w:type="dxa"/>
          </w:tcPr>
          <w:p w14:paraId="5E2F6EDC" w14:textId="0D893608" w:rsidR="00A23959" w:rsidRDefault="00A23959" w:rsidP="005530FC">
            <w:r>
              <w:t>Deterministic</w:t>
            </w:r>
          </w:p>
        </w:tc>
        <w:tc>
          <w:tcPr>
            <w:tcW w:w="2515" w:type="dxa"/>
          </w:tcPr>
          <w:p w14:paraId="48294E8E" w14:textId="2BD5B997" w:rsidR="00A23959" w:rsidRDefault="00A23959" w:rsidP="005530FC">
            <w:r>
              <w:t>Value – 0.1</w:t>
            </w:r>
          </w:p>
        </w:tc>
      </w:tr>
    </w:tbl>
    <w:p w14:paraId="4245234C" w14:textId="0F26DE6F" w:rsidR="00A23959" w:rsidRDefault="00A23959" w:rsidP="002924AF">
      <w:r>
        <w:t xml:space="preserve">The inputs with uncertainty for the </w:t>
      </w:r>
      <w:r>
        <w:rPr>
          <w:i/>
        </w:rPr>
        <w:t>New Bridge</w:t>
      </w:r>
      <w:r>
        <w:t xml:space="preserve"> are presented in </w:t>
      </w:r>
      <w:r w:rsidR="0050173C">
        <w:fldChar w:fldCharType="begin"/>
      </w:r>
      <w:r w:rsidR="0050173C">
        <w:instrText xml:space="preserve"> REF _Ref487786698 \h </w:instrText>
      </w:r>
      <w:r w:rsidR="0050173C">
        <w:fldChar w:fldCharType="separate"/>
      </w:r>
      <w:r w:rsidR="005530FC">
        <w:t xml:space="preserve">Table </w:t>
      </w:r>
      <w:r w:rsidR="005530FC">
        <w:rPr>
          <w:noProof/>
        </w:rPr>
        <w:t>5</w:t>
      </w:r>
      <w:r w:rsidR="0050173C">
        <w:fldChar w:fldCharType="end"/>
      </w:r>
      <w:r>
        <w:t>.</w:t>
      </w:r>
    </w:p>
    <w:p w14:paraId="593B1798" w14:textId="15E23D94" w:rsidR="0050173C" w:rsidRDefault="0050173C" w:rsidP="0050173C">
      <w:pPr>
        <w:pStyle w:val="Caption"/>
        <w:keepNext/>
      </w:pPr>
      <w:bookmarkStart w:id="4" w:name="_Ref487786698"/>
      <w:r>
        <w:lastRenderedPageBreak/>
        <w:t xml:space="preserve">Table </w:t>
      </w:r>
      <w:fldSimple w:instr=" SEQ Table \* ARABIC ">
        <w:r w:rsidR="00285359">
          <w:rPr>
            <w:noProof/>
          </w:rPr>
          <w:t>5</w:t>
        </w:r>
      </w:fldSimple>
      <w:bookmarkEnd w:id="4"/>
      <w:r>
        <w:t>. EDG</w:t>
      </w:r>
      <w:r w:rsidR="00A03A8D">
        <w:t>eS</w:t>
      </w:r>
      <w:r>
        <w:t xml:space="preserve"> Tool input for </w:t>
      </w:r>
      <w:r>
        <w:rPr>
          <w:i w:val="0"/>
        </w:rPr>
        <w:t>New Bridge</w:t>
      </w:r>
      <w:r w:rsidRPr="00C709BB">
        <w:t xml:space="preserve"> option under uncertainty</w:t>
      </w:r>
    </w:p>
    <w:tbl>
      <w:tblPr>
        <w:tblStyle w:val="TableGrid"/>
        <w:tblW w:w="0" w:type="auto"/>
        <w:tblLook w:val="04A0" w:firstRow="1" w:lastRow="0" w:firstColumn="1" w:lastColumn="0" w:noHBand="0" w:noVBand="1"/>
      </w:tblPr>
      <w:tblGrid>
        <w:gridCol w:w="2230"/>
        <w:gridCol w:w="2805"/>
        <w:gridCol w:w="1800"/>
        <w:gridCol w:w="2515"/>
      </w:tblGrid>
      <w:tr w:rsidR="00A23959" w14:paraId="2B972BE0" w14:textId="31C862A3" w:rsidTr="00A23959">
        <w:tc>
          <w:tcPr>
            <w:tcW w:w="2230" w:type="dxa"/>
          </w:tcPr>
          <w:p w14:paraId="668182CC" w14:textId="77777777" w:rsidR="00A23959" w:rsidRDefault="00A23959" w:rsidP="005530FC">
            <w:r>
              <w:t>Class</w:t>
            </w:r>
          </w:p>
        </w:tc>
        <w:tc>
          <w:tcPr>
            <w:tcW w:w="2805" w:type="dxa"/>
          </w:tcPr>
          <w:p w14:paraId="1183A9EC" w14:textId="77777777" w:rsidR="00A23959" w:rsidRDefault="00A23959" w:rsidP="005530FC">
            <w:r>
              <w:t>Item</w:t>
            </w:r>
          </w:p>
        </w:tc>
        <w:tc>
          <w:tcPr>
            <w:tcW w:w="1800" w:type="dxa"/>
          </w:tcPr>
          <w:p w14:paraId="031A8619" w14:textId="77777777" w:rsidR="00A23959" w:rsidRDefault="00A23959" w:rsidP="005530FC">
            <w:r>
              <w:t>Retrofit</w:t>
            </w:r>
          </w:p>
        </w:tc>
        <w:tc>
          <w:tcPr>
            <w:tcW w:w="2515" w:type="dxa"/>
          </w:tcPr>
          <w:p w14:paraId="6F7CC57A" w14:textId="77777777" w:rsidR="00A23959" w:rsidRDefault="00A23959" w:rsidP="005530FC"/>
        </w:tc>
      </w:tr>
      <w:tr w:rsidR="00A23959" w14:paraId="6D7F7198" w14:textId="20B0D75A" w:rsidTr="00A23959">
        <w:tc>
          <w:tcPr>
            <w:tcW w:w="2230" w:type="dxa"/>
            <w:vMerge w:val="restart"/>
          </w:tcPr>
          <w:p w14:paraId="617AEC18" w14:textId="77777777" w:rsidR="00A23959" w:rsidRDefault="00A23959" w:rsidP="005530FC">
            <w:r>
              <w:t>Costs</w:t>
            </w:r>
          </w:p>
        </w:tc>
        <w:tc>
          <w:tcPr>
            <w:tcW w:w="2805" w:type="dxa"/>
          </w:tcPr>
          <w:p w14:paraId="43C03CA5" w14:textId="77777777" w:rsidR="00A23959" w:rsidRDefault="00A23959" w:rsidP="005530FC">
            <w:r>
              <w:t>Bridge Construction Direct Costs</w:t>
            </w:r>
          </w:p>
        </w:tc>
        <w:tc>
          <w:tcPr>
            <w:tcW w:w="1800" w:type="dxa"/>
          </w:tcPr>
          <w:p w14:paraId="40E35D4F" w14:textId="09394AA5" w:rsidR="00A23959" w:rsidRDefault="00A23959" w:rsidP="005530FC">
            <w:r>
              <w:t>Triangular</w:t>
            </w:r>
          </w:p>
        </w:tc>
        <w:tc>
          <w:tcPr>
            <w:tcW w:w="2515" w:type="dxa"/>
          </w:tcPr>
          <w:p w14:paraId="77EE0DA2" w14:textId="029A4E92" w:rsidR="00A23959" w:rsidRDefault="00A23959" w:rsidP="00A23959">
            <w:r>
              <w:t>Low – $4 037 500</w:t>
            </w:r>
          </w:p>
          <w:p w14:paraId="028DEE86" w14:textId="5D7D7D86" w:rsidR="00A23959" w:rsidRDefault="00A23959" w:rsidP="00A23959">
            <w:r>
              <w:t>Most Likely – $4 250 000</w:t>
            </w:r>
          </w:p>
          <w:p w14:paraId="3B425F41" w14:textId="3527DB73" w:rsidR="00A23959" w:rsidRDefault="00A23959" w:rsidP="00A23959">
            <w:r>
              <w:t>High – $5 440 000</w:t>
            </w:r>
          </w:p>
        </w:tc>
      </w:tr>
      <w:tr w:rsidR="00A23959" w14:paraId="76F3E13F" w14:textId="7C4D05FE" w:rsidTr="00A23959">
        <w:tc>
          <w:tcPr>
            <w:tcW w:w="2230" w:type="dxa"/>
            <w:vMerge/>
          </w:tcPr>
          <w:p w14:paraId="4D35C283" w14:textId="77777777" w:rsidR="00A23959" w:rsidRDefault="00A23959" w:rsidP="005530FC"/>
        </w:tc>
        <w:tc>
          <w:tcPr>
            <w:tcW w:w="2805" w:type="dxa"/>
          </w:tcPr>
          <w:p w14:paraId="227403D1" w14:textId="77777777" w:rsidR="00A23959" w:rsidRDefault="00A23959" w:rsidP="005530FC">
            <w:r>
              <w:t>Bridge Construction Indirect Costs</w:t>
            </w:r>
          </w:p>
        </w:tc>
        <w:tc>
          <w:tcPr>
            <w:tcW w:w="1800" w:type="dxa"/>
          </w:tcPr>
          <w:p w14:paraId="57C335CD" w14:textId="45BCEAD4" w:rsidR="00A23959" w:rsidRDefault="00A23959" w:rsidP="005530FC">
            <w:r>
              <w:t>Triangular</w:t>
            </w:r>
          </w:p>
        </w:tc>
        <w:tc>
          <w:tcPr>
            <w:tcW w:w="2515" w:type="dxa"/>
          </w:tcPr>
          <w:p w14:paraId="588DF0DA" w14:textId="2723440B" w:rsidR="00A23959" w:rsidRDefault="00A23959" w:rsidP="00A23959">
            <w:r>
              <w:t>Low – $166 250</w:t>
            </w:r>
          </w:p>
          <w:p w14:paraId="585DADFD" w14:textId="4B46FF41" w:rsidR="00A23959" w:rsidRDefault="00A23959" w:rsidP="00A23959">
            <w:r>
              <w:t>Most Likely – $175 000</w:t>
            </w:r>
          </w:p>
          <w:p w14:paraId="31EBE91F" w14:textId="097F83CD" w:rsidR="00A23959" w:rsidRDefault="00A23959" w:rsidP="00A23959">
            <w:r>
              <w:t>High – $224 000</w:t>
            </w:r>
          </w:p>
        </w:tc>
      </w:tr>
      <w:tr w:rsidR="00A23959" w14:paraId="3A457DA5" w14:textId="425B09E0" w:rsidTr="00A23959">
        <w:tc>
          <w:tcPr>
            <w:tcW w:w="2230" w:type="dxa"/>
            <w:vMerge/>
          </w:tcPr>
          <w:p w14:paraId="05151DAF" w14:textId="77777777" w:rsidR="00A23959" w:rsidRDefault="00A23959" w:rsidP="005530FC"/>
        </w:tc>
        <w:tc>
          <w:tcPr>
            <w:tcW w:w="2805" w:type="dxa"/>
          </w:tcPr>
          <w:p w14:paraId="1620765A" w14:textId="77777777" w:rsidR="00A23959" w:rsidRDefault="00A23959" w:rsidP="005530FC">
            <w:r>
              <w:t>Bridge Construction OMR Costs</w:t>
            </w:r>
          </w:p>
        </w:tc>
        <w:tc>
          <w:tcPr>
            <w:tcW w:w="1800" w:type="dxa"/>
          </w:tcPr>
          <w:p w14:paraId="766921E0" w14:textId="7B8996A9" w:rsidR="00A23959" w:rsidRDefault="00A23959" w:rsidP="005530FC">
            <w:r>
              <w:t>Triangular</w:t>
            </w:r>
          </w:p>
        </w:tc>
        <w:tc>
          <w:tcPr>
            <w:tcW w:w="2515" w:type="dxa"/>
          </w:tcPr>
          <w:p w14:paraId="07F1D645" w14:textId="15C5ED55" w:rsidR="00A23959" w:rsidRDefault="00A23959" w:rsidP="00A23959">
            <w:r>
              <w:t>Low – $21 375</w:t>
            </w:r>
          </w:p>
          <w:p w14:paraId="3996B862" w14:textId="60BF8689" w:rsidR="00A23959" w:rsidRDefault="00A23959" w:rsidP="00A23959">
            <w:r>
              <w:t>High – $30 000</w:t>
            </w:r>
          </w:p>
        </w:tc>
      </w:tr>
      <w:tr w:rsidR="00A23959" w14:paraId="55497056" w14:textId="662C518E" w:rsidTr="00A23959">
        <w:tc>
          <w:tcPr>
            <w:tcW w:w="2230" w:type="dxa"/>
            <w:vMerge/>
          </w:tcPr>
          <w:p w14:paraId="16F1F2BE" w14:textId="77777777" w:rsidR="00A23959" w:rsidRDefault="00A23959" w:rsidP="005530FC"/>
        </w:tc>
        <w:tc>
          <w:tcPr>
            <w:tcW w:w="2805" w:type="dxa"/>
          </w:tcPr>
          <w:p w14:paraId="5AFA27A8" w14:textId="77777777" w:rsidR="00A23959" w:rsidRDefault="00A23959" w:rsidP="005530FC">
            <w:r>
              <w:t>Additional Roadwork Direct Costs</w:t>
            </w:r>
          </w:p>
        </w:tc>
        <w:tc>
          <w:tcPr>
            <w:tcW w:w="1800" w:type="dxa"/>
          </w:tcPr>
          <w:p w14:paraId="49D0408E" w14:textId="6865D4D1" w:rsidR="00A23959" w:rsidRDefault="00A23959" w:rsidP="005530FC">
            <w:r>
              <w:t>Triangular</w:t>
            </w:r>
          </w:p>
        </w:tc>
        <w:tc>
          <w:tcPr>
            <w:tcW w:w="2515" w:type="dxa"/>
          </w:tcPr>
          <w:p w14:paraId="3CA09922" w14:textId="6DCF672E" w:rsidR="00A23959" w:rsidRDefault="00A23959" w:rsidP="00A23959">
            <w:r>
              <w:t>Low – $2 375 000</w:t>
            </w:r>
          </w:p>
          <w:p w14:paraId="781F779A" w14:textId="7C079569" w:rsidR="00A23959" w:rsidRDefault="00A23959" w:rsidP="00A23959">
            <w:r>
              <w:t>Most Likely – $2 500 000</w:t>
            </w:r>
          </w:p>
          <w:p w14:paraId="4D419924" w14:textId="5180147F" w:rsidR="00A23959" w:rsidRDefault="00A23959" w:rsidP="00A23959">
            <w:r>
              <w:t>High – $3 000 000</w:t>
            </w:r>
          </w:p>
        </w:tc>
      </w:tr>
      <w:tr w:rsidR="00A23959" w14:paraId="0A971E1F" w14:textId="689CCAC6" w:rsidTr="00A23959">
        <w:tc>
          <w:tcPr>
            <w:tcW w:w="2230" w:type="dxa"/>
            <w:vMerge/>
          </w:tcPr>
          <w:p w14:paraId="7D676A88" w14:textId="77777777" w:rsidR="00A23959" w:rsidRDefault="00A23959" w:rsidP="005530FC"/>
        </w:tc>
        <w:tc>
          <w:tcPr>
            <w:tcW w:w="2805" w:type="dxa"/>
          </w:tcPr>
          <w:p w14:paraId="036ED4B4" w14:textId="77777777" w:rsidR="00A23959" w:rsidRDefault="00A23959" w:rsidP="005530FC">
            <w:r>
              <w:t>Additional Roadwork Indirect Costs</w:t>
            </w:r>
          </w:p>
        </w:tc>
        <w:tc>
          <w:tcPr>
            <w:tcW w:w="1800" w:type="dxa"/>
          </w:tcPr>
          <w:p w14:paraId="4DE2A314" w14:textId="3FA4D633" w:rsidR="00A23959" w:rsidRDefault="00A23959" w:rsidP="005530FC">
            <w:r>
              <w:t>Rectangular</w:t>
            </w:r>
          </w:p>
        </w:tc>
        <w:tc>
          <w:tcPr>
            <w:tcW w:w="2515" w:type="dxa"/>
          </w:tcPr>
          <w:p w14:paraId="2853CD0D" w14:textId="204147DE" w:rsidR="00A23959" w:rsidRDefault="00A23959" w:rsidP="00A23959">
            <w:r>
              <w:t>Low – $142 500</w:t>
            </w:r>
          </w:p>
          <w:p w14:paraId="31EE2532" w14:textId="6FBE8214" w:rsidR="00A23959" w:rsidRDefault="00A23959" w:rsidP="00A23959">
            <w:r>
              <w:t>Most Likely – $150 000</w:t>
            </w:r>
          </w:p>
          <w:p w14:paraId="621BFFD2" w14:textId="3BC63CC5" w:rsidR="00A23959" w:rsidRDefault="00A23959" w:rsidP="00A23959">
            <w:r>
              <w:t>High – $180 000</w:t>
            </w:r>
          </w:p>
        </w:tc>
      </w:tr>
      <w:tr w:rsidR="00A23959" w14:paraId="7D80A3BD" w14:textId="6731F8B9" w:rsidTr="00A23959">
        <w:tc>
          <w:tcPr>
            <w:tcW w:w="2230" w:type="dxa"/>
            <w:vMerge/>
          </w:tcPr>
          <w:p w14:paraId="626B354B" w14:textId="77777777" w:rsidR="00A23959" w:rsidRDefault="00A23959" w:rsidP="005530FC"/>
        </w:tc>
        <w:tc>
          <w:tcPr>
            <w:tcW w:w="2805" w:type="dxa"/>
          </w:tcPr>
          <w:p w14:paraId="45E87AA1" w14:textId="77777777" w:rsidR="00A23959" w:rsidRDefault="00A23959" w:rsidP="005530FC">
            <w:r>
              <w:t>Additional Roadwork OMR Costs</w:t>
            </w:r>
          </w:p>
        </w:tc>
        <w:tc>
          <w:tcPr>
            <w:tcW w:w="1800" w:type="dxa"/>
          </w:tcPr>
          <w:p w14:paraId="02B53A0D" w14:textId="7EFB225E" w:rsidR="00A23959" w:rsidRDefault="00A23959" w:rsidP="005530FC">
            <w:r>
              <w:t>Rectangular</w:t>
            </w:r>
          </w:p>
        </w:tc>
        <w:tc>
          <w:tcPr>
            <w:tcW w:w="2515" w:type="dxa"/>
          </w:tcPr>
          <w:p w14:paraId="07DF69B1" w14:textId="757497E5" w:rsidR="00A23959" w:rsidRDefault="00A23959" w:rsidP="00A23959">
            <w:r>
              <w:t>Low – $3500</w:t>
            </w:r>
          </w:p>
          <w:p w14:paraId="031FBE75" w14:textId="12A8CC88" w:rsidR="00A23959" w:rsidRDefault="00A23959" w:rsidP="00A23959">
            <w:r>
              <w:t>High – $4250</w:t>
            </w:r>
          </w:p>
        </w:tc>
      </w:tr>
      <w:tr w:rsidR="00A23959" w14:paraId="75528608" w14:textId="73DA3B88" w:rsidTr="00A23959">
        <w:tc>
          <w:tcPr>
            <w:tcW w:w="2230" w:type="dxa"/>
            <w:vMerge w:val="restart"/>
          </w:tcPr>
          <w:p w14:paraId="4B169182" w14:textId="77777777" w:rsidR="00A23959" w:rsidRDefault="00A23959" w:rsidP="005530FC">
            <w:r>
              <w:t>On-Disaster Benefits</w:t>
            </w:r>
          </w:p>
        </w:tc>
        <w:tc>
          <w:tcPr>
            <w:tcW w:w="2805" w:type="dxa"/>
          </w:tcPr>
          <w:p w14:paraId="3BD8FEC5" w14:textId="77777777" w:rsidR="00A23959" w:rsidRDefault="00A23959" w:rsidP="005530FC">
            <w:r>
              <w:t>Indirect Loss Reduction</w:t>
            </w:r>
          </w:p>
        </w:tc>
        <w:tc>
          <w:tcPr>
            <w:tcW w:w="1800" w:type="dxa"/>
          </w:tcPr>
          <w:p w14:paraId="0EB29D8B" w14:textId="63401E58" w:rsidR="00A23959" w:rsidRDefault="00A23959" w:rsidP="005530FC">
            <w:r>
              <w:t>Gaussian</w:t>
            </w:r>
          </w:p>
        </w:tc>
        <w:tc>
          <w:tcPr>
            <w:tcW w:w="2515" w:type="dxa"/>
          </w:tcPr>
          <w:p w14:paraId="5B7239CF" w14:textId="3225A826" w:rsidR="00A23959" w:rsidRDefault="00A23959" w:rsidP="00A23959">
            <w:r>
              <w:t>Mean – $3 500 000</w:t>
            </w:r>
          </w:p>
          <w:p w14:paraId="162AD6FC" w14:textId="7029DC56" w:rsidR="00A23959" w:rsidRDefault="00A23959" w:rsidP="00A23959">
            <w:r>
              <w:t>Std. Dev – $1 050 000</w:t>
            </w:r>
          </w:p>
        </w:tc>
      </w:tr>
      <w:tr w:rsidR="00A23959" w14:paraId="4CF8E4FB" w14:textId="04862E6F" w:rsidTr="00A23959">
        <w:tc>
          <w:tcPr>
            <w:tcW w:w="2230" w:type="dxa"/>
            <w:vMerge/>
          </w:tcPr>
          <w:p w14:paraId="79ECC502" w14:textId="77777777" w:rsidR="00A23959" w:rsidRDefault="00A23959" w:rsidP="005530FC"/>
        </w:tc>
        <w:tc>
          <w:tcPr>
            <w:tcW w:w="2805" w:type="dxa"/>
          </w:tcPr>
          <w:p w14:paraId="0B4ED158" w14:textId="77777777" w:rsidR="00A23959" w:rsidRDefault="00A23959" w:rsidP="005530FC">
            <w:r>
              <w:t>Repair and Replacement Loss Reduction</w:t>
            </w:r>
          </w:p>
        </w:tc>
        <w:tc>
          <w:tcPr>
            <w:tcW w:w="1800" w:type="dxa"/>
          </w:tcPr>
          <w:p w14:paraId="69C1DAEF" w14:textId="058573C4" w:rsidR="00A23959" w:rsidRDefault="00A23959" w:rsidP="005530FC">
            <w:r>
              <w:t>Gaussian</w:t>
            </w:r>
          </w:p>
        </w:tc>
        <w:tc>
          <w:tcPr>
            <w:tcW w:w="2515" w:type="dxa"/>
          </w:tcPr>
          <w:p w14:paraId="432008EC" w14:textId="7604CB38" w:rsidR="00A23959" w:rsidRDefault="00A23959" w:rsidP="00A23959">
            <w:r>
              <w:t>Mean – $1 000 000</w:t>
            </w:r>
          </w:p>
          <w:p w14:paraId="2AB0043C" w14:textId="40A6F42C" w:rsidR="00A23959" w:rsidRDefault="00A23959" w:rsidP="00A23959">
            <w:r>
              <w:t>Std. Dev – $300 000</w:t>
            </w:r>
          </w:p>
        </w:tc>
      </w:tr>
      <w:tr w:rsidR="00A23959" w14:paraId="09A3216E" w14:textId="3D9F3635" w:rsidTr="00A23959">
        <w:tc>
          <w:tcPr>
            <w:tcW w:w="5035" w:type="dxa"/>
            <w:gridSpan w:val="2"/>
          </w:tcPr>
          <w:p w14:paraId="03754914" w14:textId="77777777" w:rsidR="00A23959" w:rsidRDefault="00A23959" w:rsidP="005530FC">
            <w:r>
              <w:t>Estimated Fatalities Averted</w:t>
            </w:r>
            <w:r>
              <w:rPr>
                <w:rStyle w:val="FootnoteReference"/>
              </w:rPr>
              <w:footnoteReference w:id="28"/>
            </w:r>
          </w:p>
        </w:tc>
        <w:tc>
          <w:tcPr>
            <w:tcW w:w="1800" w:type="dxa"/>
          </w:tcPr>
          <w:p w14:paraId="45813A37" w14:textId="7C996F7B" w:rsidR="00A23959" w:rsidRDefault="00A23959" w:rsidP="005530FC">
            <w:r>
              <w:t>Deterministic</w:t>
            </w:r>
          </w:p>
        </w:tc>
        <w:tc>
          <w:tcPr>
            <w:tcW w:w="2515" w:type="dxa"/>
          </w:tcPr>
          <w:p w14:paraId="1FEF62E0" w14:textId="4504473D" w:rsidR="00A23959" w:rsidRDefault="00A23959" w:rsidP="005530FC">
            <w:r>
              <w:t>Value – 0.2</w:t>
            </w:r>
          </w:p>
        </w:tc>
      </w:tr>
      <w:tr w:rsidR="00A23959" w14:paraId="113EB7D2" w14:textId="3DB0FA20" w:rsidTr="00A23959">
        <w:tc>
          <w:tcPr>
            <w:tcW w:w="2230" w:type="dxa"/>
          </w:tcPr>
          <w:p w14:paraId="52463D72" w14:textId="77777777" w:rsidR="00A23959" w:rsidRDefault="00A23959" w:rsidP="005530FC">
            <w:r>
              <w:t>Resilience Dividend</w:t>
            </w:r>
          </w:p>
        </w:tc>
        <w:tc>
          <w:tcPr>
            <w:tcW w:w="2805" w:type="dxa"/>
          </w:tcPr>
          <w:p w14:paraId="6BB01900" w14:textId="77777777" w:rsidR="00A23959" w:rsidRDefault="00A23959" w:rsidP="005530FC">
            <w:r>
              <w:t>Reduced Commute Time</w:t>
            </w:r>
          </w:p>
        </w:tc>
        <w:tc>
          <w:tcPr>
            <w:tcW w:w="1800" w:type="dxa"/>
          </w:tcPr>
          <w:p w14:paraId="5DBC05FE" w14:textId="37F5ADCE" w:rsidR="00A23959" w:rsidRDefault="00A23959" w:rsidP="005530FC">
            <w:r>
              <w:t>Triangular</w:t>
            </w:r>
          </w:p>
        </w:tc>
        <w:tc>
          <w:tcPr>
            <w:tcW w:w="2515" w:type="dxa"/>
          </w:tcPr>
          <w:p w14:paraId="26BDD63E" w14:textId="3DADEE9C" w:rsidR="00A23959" w:rsidRDefault="00A23959" w:rsidP="00A23959">
            <w:r>
              <w:t>Low – $70 000</w:t>
            </w:r>
          </w:p>
          <w:p w14:paraId="5BD0BD1F" w14:textId="3D311D41" w:rsidR="00A23959" w:rsidRDefault="00A23959" w:rsidP="00A23959">
            <w:r>
              <w:t>Most Likely – $100 000</w:t>
            </w:r>
          </w:p>
          <w:p w14:paraId="497873CB" w14:textId="72718F95" w:rsidR="00A23959" w:rsidRDefault="00A23959" w:rsidP="00A23959">
            <w:r>
              <w:t>High – $115 000</w:t>
            </w:r>
          </w:p>
        </w:tc>
      </w:tr>
      <w:tr w:rsidR="00A23959" w14:paraId="784EB822" w14:textId="2CFF083E" w:rsidTr="00A23959">
        <w:tc>
          <w:tcPr>
            <w:tcW w:w="2230" w:type="dxa"/>
            <w:vMerge w:val="restart"/>
          </w:tcPr>
          <w:p w14:paraId="2E1E9EE6" w14:textId="77777777" w:rsidR="00A23959" w:rsidRDefault="00A23959" w:rsidP="005530FC">
            <w:r>
              <w:t>Externalities</w:t>
            </w:r>
          </w:p>
        </w:tc>
        <w:tc>
          <w:tcPr>
            <w:tcW w:w="2805" w:type="dxa"/>
          </w:tcPr>
          <w:p w14:paraId="67C2AC74" w14:textId="77777777" w:rsidR="00A23959" w:rsidRDefault="00A23959" w:rsidP="005530FC">
            <w:r>
              <w:t>Reduced Greenhouse Gas Emissions</w:t>
            </w:r>
          </w:p>
        </w:tc>
        <w:tc>
          <w:tcPr>
            <w:tcW w:w="1800" w:type="dxa"/>
          </w:tcPr>
          <w:p w14:paraId="325EC23F" w14:textId="48D4EBC9" w:rsidR="00A23959" w:rsidRPr="00A23959" w:rsidRDefault="00A23959" w:rsidP="005530FC">
            <w:r>
              <w:t>Discrete</w:t>
            </w:r>
            <w:r w:rsidR="009207A3">
              <w:rPr>
                <w:vertAlign w:val="superscript"/>
              </w:rPr>
              <w:t>a</w:t>
            </w:r>
          </w:p>
        </w:tc>
        <w:tc>
          <w:tcPr>
            <w:tcW w:w="2515" w:type="dxa"/>
          </w:tcPr>
          <w:p w14:paraId="3A840379" w14:textId="50BB1F6C" w:rsidR="00A23959" w:rsidRDefault="00A23959" w:rsidP="00A23959">
            <w:r>
              <w:t>Low – $64 043</w:t>
            </w:r>
          </w:p>
          <w:p w14:paraId="758611E5" w14:textId="15F1B711" w:rsidR="00A23959" w:rsidRDefault="00A23959" w:rsidP="00A23959">
            <w:r>
              <w:t>Most Likely – $77 329</w:t>
            </w:r>
          </w:p>
          <w:p w14:paraId="4EEBEFAA" w14:textId="1BED0918" w:rsidR="00A23959" w:rsidRDefault="00A23959" w:rsidP="00A23959">
            <w:r>
              <w:t>High – $81 387</w:t>
            </w:r>
          </w:p>
        </w:tc>
      </w:tr>
      <w:tr w:rsidR="00A23959" w14:paraId="710C1E48" w14:textId="4C562EFD" w:rsidTr="00A23959">
        <w:tc>
          <w:tcPr>
            <w:tcW w:w="2230" w:type="dxa"/>
            <w:vMerge/>
          </w:tcPr>
          <w:p w14:paraId="7EFAFAF7" w14:textId="77777777" w:rsidR="00A23959" w:rsidRDefault="00A23959" w:rsidP="005530FC"/>
        </w:tc>
        <w:tc>
          <w:tcPr>
            <w:tcW w:w="2805" w:type="dxa"/>
          </w:tcPr>
          <w:p w14:paraId="7D7AD76E" w14:textId="77777777" w:rsidR="00A23959" w:rsidRDefault="00A23959" w:rsidP="005530FC">
            <w:r>
              <w:t>Reduced Water Pollution</w:t>
            </w:r>
          </w:p>
        </w:tc>
        <w:tc>
          <w:tcPr>
            <w:tcW w:w="1800" w:type="dxa"/>
          </w:tcPr>
          <w:p w14:paraId="6CA780FB" w14:textId="2B5A6FE6" w:rsidR="00A23959" w:rsidRPr="00A23959" w:rsidRDefault="00A23959" w:rsidP="005530FC">
            <w:r>
              <w:t>Discrete</w:t>
            </w:r>
            <w:r w:rsidR="009207A3">
              <w:rPr>
                <w:vertAlign w:val="superscript"/>
              </w:rPr>
              <w:t>a</w:t>
            </w:r>
          </w:p>
        </w:tc>
        <w:tc>
          <w:tcPr>
            <w:tcW w:w="2515" w:type="dxa"/>
          </w:tcPr>
          <w:p w14:paraId="6EE0F481" w14:textId="6B5B680F" w:rsidR="00A23959" w:rsidRDefault="00A23959" w:rsidP="00A23959">
            <w:r>
              <w:t>Low – $24 587</w:t>
            </w:r>
          </w:p>
          <w:p w14:paraId="4710F6E4" w14:textId="353A8FDE" w:rsidR="00A23959" w:rsidRDefault="00A23959" w:rsidP="00A23959">
            <w:r>
              <w:t>Most Likely – $39 081</w:t>
            </w:r>
          </w:p>
          <w:p w14:paraId="21557EC6" w14:textId="450AF546" w:rsidR="00A23959" w:rsidRDefault="00A23959" w:rsidP="00A23959">
            <w:r>
              <w:t>High – $56 566</w:t>
            </w:r>
          </w:p>
        </w:tc>
      </w:tr>
      <w:tr w:rsidR="00A23959" w14:paraId="320AD3EA" w14:textId="67ED23C1" w:rsidTr="00A23959">
        <w:tc>
          <w:tcPr>
            <w:tcW w:w="2230" w:type="dxa"/>
            <w:vMerge/>
          </w:tcPr>
          <w:p w14:paraId="78F2AF28" w14:textId="77777777" w:rsidR="00A23959" w:rsidRDefault="00A23959" w:rsidP="005530FC"/>
        </w:tc>
        <w:tc>
          <w:tcPr>
            <w:tcW w:w="2805" w:type="dxa"/>
          </w:tcPr>
          <w:p w14:paraId="11368D3E" w14:textId="77777777" w:rsidR="00A23959" w:rsidRDefault="00A23959" w:rsidP="005530FC">
            <w:r>
              <w:t>Better Linking of Communities</w:t>
            </w:r>
          </w:p>
        </w:tc>
        <w:tc>
          <w:tcPr>
            <w:tcW w:w="1800" w:type="dxa"/>
          </w:tcPr>
          <w:p w14:paraId="74D532CD" w14:textId="316FEC89" w:rsidR="00A23959" w:rsidRPr="00A23959" w:rsidRDefault="00A23959" w:rsidP="005530FC">
            <w:r>
              <w:t>Discrete</w:t>
            </w:r>
            <w:r w:rsidR="009207A3">
              <w:rPr>
                <w:vertAlign w:val="superscript"/>
              </w:rPr>
              <w:t>a</w:t>
            </w:r>
          </w:p>
        </w:tc>
        <w:tc>
          <w:tcPr>
            <w:tcW w:w="2515" w:type="dxa"/>
          </w:tcPr>
          <w:p w14:paraId="54C46922" w14:textId="41EF96B0" w:rsidR="00A23959" w:rsidRDefault="00A23959" w:rsidP="00A23959">
            <w:r>
              <w:t>Low – $21 750</w:t>
            </w:r>
          </w:p>
          <w:p w14:paraId="0E021EFD" w14:textId="30DEB981" w:rsidR="00A23959" w:rsidRDefault="00A23959" w:rsidP="00A23959">
            <w:r>
              <w:t>Most Likely – $39 799</w:t>
            </w:r>
          </w:p>
          <w:p w14:paraId="0F819B4D" w14:textId="312E0022" w:rsidR="00A23959" w:rsidRDefault="00A23959" w:rsidP="00A23959">
            <w:r>
              <w:t>High – $53 006</w:t>
            </w:r>
          </w:p>
        </w:tc>
      </w:tr>
      <w:tr w:rsidR="00A23959" w14:paraId="070F5496" w14:textId="77777777" w:rsidTr="005530FC">
        <w:tc>
          <w:tcPr>
            <w:tcW w:w="9350" w:type="dxa"/>
            <w:gridSpan w:val="4"/>
          </w:tcPr>
          <w:p w14:paraId="31077B3B" w14:textId="45088418" w:rsidR="00A23959" w:rsidRPr="00A23959" w:rsidRDefault="009207A3" w:rsidP="00A23959">
            <w:r>
              <w:rPr>
                <w:vertAlign w:val="superscript"/>
              </w:rPr>
              <w:t>a</w:t>
            </w:r>
            <w:r w:rsidR="00A23959">
              <w:t xml:space="preserve"> Low has a 0.25 probability of occurrence, Most Likely has a 0.5 probability of occurrence, High has a 0.25 probability of occurrence</w:t>
            </w:r>
          </w:p>
        </w:tc>
      </w:tr>
    </w:tbl>
    <w:p w14:paraId="19742570" w14:textId="35AFDBD7" w:rsidR="00846E10" w:rsidRDefault="00846E10" w:rsidP="002924AF"/>
    <w:p w14:paraId="3691A37E" w14:textId="4474248D" w:rsidR="00B43067" w:rsidRDefault="00B43067" w:rsidP="002924AF"/>
    <w:p w14:paraId="36AB16A1" w14:textId="77777777" w:rsidR="00B43067" w:rsidRDefault="00B43067" w:rsidP="002924AF"/>
    <w:p w14:paraId="5C5181E9" w14:textId="7DE1126C" w:rsidR="00C5744C" w:rsidRPr="00C5744C" w:rsidRDefault="00C5744C" w:rsidP="002924AF">
      <w:pPr>
        <w:rPr>
          <w:b/>
        </w:rPr>
      </w:pPr>
      <w:r>
        <w:rPr>
          <w:b/>
        </w:rPr>
        <w:t>Output</w:t>
      </w:r>
    </w:p>
    <w:p w14:paraId="282C10CA" w14:textId="05F0AB60" w:rsidR="0050173C" w:rsidRDefault="0050173C" w:rsidP="002924AF">
      <w:r>
        <w:lastRenderedPageBreak/>
        <w:t>The results from the EDG</w:t>
      </w:r>
      <w:r w:rsidR="00A03A8D">
        <w:t>eS</w:t>
      </w:r>
      <w:r>
        <w:t xml:space="preserve"> Tool for the results under uncertainty are found in </w:t>
      </w:r>
      <w:r w:rsidR="00285359">
        <w:fldChar w:fldCharType="begin"/>
      </w:r>
      <w:r w:rsidR="00285359">
        <w:instrText xml:space="preserve"> REF _Ref487793047 \h </w:instrText>
      </w:r>
      <w:r w:rsidR="00285359">
        <w:fldChar w:fldCharType="separate"/>
      </w:r>
      <w:r w:rsidR="00285359">
        <w:t xml:space="preserve">Table </w:t>
      </w:r>
      <w:r w:rsidR="00285359">
        <w:rPr>
          <w:noProof/>
        </w:rPr>
        <w:t>6</w:t>
      </w:r>
      <w:r w:rsidR="00285359">
        <w:fldChar w:fldCharType="end"/>
      </w:r>
      <w:r>
        <w:t>.</w:t>
      </w:r>
      <w:r w:rsidR="001B4EB1">
        <w:t xml:space="preserve"> All confidence intervals are at the 95 % level.</w:t>
      </w:r>
    </w:p>
    <w:p w14:paraId="379CE18C" w14:textId="4C893CD9" w:rsidR="00285359" w:rsidRDefault="00285359" w:rsidP="00285359">
      <w:pPr>
        <w:pStyle w:val="Caption"/>
        <w:keepNext/>
      </w:pPr>
      <w:bookmarkStart w:id="5" w:name="_Ref487793047"/>
      <w:r>
        <w:t xml:space="preserve">Table </w:t>
      </w:r>
      <w:fldSimple w:instr=" SEQ Table \* ARABIC ">
        <w:r>
          <w:rPr>
            <w:noProof/>
          </w:rPr>
          <w:t>6</w:t>
        </w:r>
      </w:fldSimple>
      <w:bookmarkEnd w:id="5"/>
      <w:r>
        <w:t>. Results from the EDG</w:t>
      </w:r>
      <w:r w:rsidR="00A03A8D">
        <w:t>eS</w:t>
      </w:r>
      <w:r>
        <w:t xml:space="preserve"> Tool under uncertainty</w:t>
      </w:r>
    </w:p>
    <w:tbl>
      <w:tblPr>
        <w:tblW w:w="10008" w:type="dxa"/>
        <w:tblLook w:val="04A0" w:firstRow="1" w:lastRow="0" w:firstColumn="1" w:lastColumn="0" w:noHBand="0" w:noVBand="1"/>
      </w:tblPr>
      <w:tblGrid>
        <w:gridCol w:w="3060"/>
        <w:gridCol w:w="1170"/>
        <w:gridCol w:w="1127"/>
        <w:gridCol w:w="1166"/>
        <w:gridCol w:w="18"/>
        <w:gridCol w:w="1152"/>
        <w:gridCol w:w="1170"/>
        <w:gridCol w:w="1127"/>
        <w:gridCol w:w="18"/>
      </w:tblGrid>
      <w:tr w:rsidR="00C5744C" w:rsidRPr="001B4EB1" w14:paraId="7CF27DA1" w14:textId="77777777" w:rsidTr="00285359">
        <w:trPr>
          <w:trHeight w:val="300"/>
        </w:trPr>
        <w:tc>
          <w:tcPr>
            <w:tcW w:w="3060" w:type="dxa"/>
            <w:tcBorders>
              <w:top w:val="nil"/>
              <w:left w:val="nil"/>
              <w:bottom w:val="nil"/>
              <w:right w:val="nil"/>
            </w:tcBorders>
            <w:shd w:val="clear" w:color="auto" w:fill="auto"/>
            <w:noWrap/>
            <w:vAlign w:val="bottom"/>
            <w:hideMark/>
          </w:tcPr>
          <w:p w14:paraId="3ABD3BDF" w14:textId="77777777" w:rsidR="00C5744C" w:rsidRPr="001B4EB1" w:rsidRDefault="00C5744C" w:rsidP="001B4EB1">
            <w:pPr>
              <w:spacing w:after="0" w:line="240" w:lineRule="auto"/>
              <w:rPr>
                <w:rFonts w:ascii="Times New Roman" w:eastAsia="Times New Roman" w:hAnsi="Times New Roman" w:cs="Times New Roman"/>
                <w:sz w:val="20"/>
                <w:szCs w:val="20"/>
              </w:rPr>
            </w:pPr>
          </w:p>
        </w:tc>
        <w:tc>
          <w:tcPr>
            <w:tcW w:w="348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815B6E" w14:textId="175007E3" w:rsidR="00C5744C" w:rsidRPr="001B4EB1" w:rsidRDefault="00C5744C" w:rsidP="00C5744C">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Retrofit</w:t>
            </w:r>
          </w:p>
        </w:tc>
        <w:tc>
          <w:tcPr>
            <w:tcW w:w="3467" w:type="dxa"/>
            <w:gridSpan w:val="4"/>
            <w:tcBorders>
              <w:top w:val="single" w:sz="4" w:space="0" w:color="auto"/>
              <w:left w:val="nil"/>
              <w:bottom w:val="single" w:sz="4" w:space="0" w:color="auto"/>
              <w:right w:val="single" w:sz="4" w:space="0" w:color="auto"/>
            </w:tcBorders>
            <w:shd w:val="clear" w:color="auto" w:fill="auto"/>
            <w:noWrap/>
            <w:vAlign w:val="bottom"/>
            <w:hideMark/>
          </w:tcPr>
          <w:p w14:paraId="20872DBD" w14:textId="64E76190" w:rsidR="00C5744C" w:rsidRPr="001B4EB1" w:rsidRDefault="00C5744C"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New Bridge</w:t>
            </w:r>
          </w:p>
        </w:tc>
      </w:tr>
      <w:tr w:rsidR="001B4EB1" w:rsidRPr="001B4EB1" w14:paraId="52157C36" w14:textId="77777777" w:rsidTr="00285359">
        <w:trPr>
          <w:gridAfter w:val="1"/>
          <w:wAfter w:w="18" w:type="dxa"/>
          <w:trHeight w:val="300"/>
        </w:trPr>
        <w:tc>
          <w:tcPr>
            <w:tcW w:w="3060" w:type="dxa"/>
            <w:tcBorders>
              <w:top w:val="nil"/>
              <w:left w:val="nil"/>
              <w:bottom w:val="nil"/>
              <w:right w:val="nil"/>
            </w:tcBorders>
            <w:shd w:val="clear" w:color="auto" w:fill="auto"/>
            <w:noWrap/>
            <w:vAlign w:val="bottom"/>
            <w:hideMark/>
          </w:tcPr>
          <w:p w14:paraId="7DCA7EBF" w14:textId="77777777" w:rsidR="001B4EB1" w:rsidRPr="001B4EB1" w:rsidRDefault="001B4EB1" w:rsidP="001B4EB1">
            <w:pPr>
              <w:spacing w:after="0" w:line="240" w:lineRule="auto"/>
              <w:rPr>
                <w:rFonts w:ascii="Calibri" w:eastAsia="Times New Roman" w:hAnsi="Calibri" w:cs="Times New Roman"/>
                <w:color w:val="000000"/>
                <w:sz w:val="20"/>
                <w:szCs w:val="20"/>
              </w:rPr>
            </w:pP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5C6D6FED" w14:textId="10623636" w:rsidR="001B4EB1" w:rsidRPr="001B4EB1" w:rsidRDefault="00C5744C" w:rsidP="001B4EB1">
            <w:pPr>
              <w:spacing w:after="0" w:line="240" w:lineRule="auto"/>
              <w:rPr>
                <w:rFonts w:ascii="Calibri" w:eastAsia="Times New Roman" w:hAnsi="Calibri" w:cs="Times New Roman"/>
                <w:color w:val="000000"/>
                <w:sz w:val="20"/>
                <w:szCs w:val="20"/>
                <w:vertAlign w:val="superscript"/>
              </w:rPr>
            </w:pPr>
            <w:r>
              <w:rPr>
                <w:rFonts w:ascii="Calibri" w:eastAsia="Times New Roman" w:hAnsi="Calibri" w:cs="Times New Roman"/>
                <w:color w:val="000000"/>
                <w:sz w:val="20"/>
                <w:szCs w:val="20"/>
              </w:rPr>
              <w:t>Point Estimate</w:t>
            </w:r>
            <w:r>
              <w:rPr>
                <w:rFonts w:ascii="Calibri" w:eastAsia="Times New Roman" w:hAnsi="Calibri" w:cs="Times New Roman"/>
                <w:color w:val="000000"/>
                <w:sz w:val="20"/>
                <w:szCs w:val="20"/>
                <w:vertAlign w:val="superscript"/>
              </w:rPr>
              <w:t>a</w:t>
            </w:r>
          </w:p>
        </w:tc>
        <w:tc>
          <w:tcPr>
            <w:tcW w:w="1127" w:type="dxa"/>
            <w:tcBorders>
              <w:top w:val="nil"/>
              <w:left w:val="nil"/>
              <w:bottom w:val="single" w:sz="4" w:space="0" w:color="auto"/>
              <w:right w:val="single" w:sz="4" w:space="0" w:color="auto"/>
            </w:tcBorders>
            <w:shd w:val="clear" w:color="auto" w:fill="auto"/>
            <w:noWrap/>
            <w:vAlign w:val="bottom"/>
            <w:hideMark/>
          </w:tcPr>
          <w:p w14:paraId="6D6BD1C1"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Lower Bound</w:t>
            </w:r>
          </w:p>
        </w:tc>
        <w:tc>
          <w:tcPr>
            <w:tcW w:w="1166" w:type="dxa"/>
            <w:tcBorders>
              <w:top w:val="nil"/>
              <w:left w:val="nil"/>
              <w:bottom w:val="single" w:sz="4" w:space="0" w:color="auto"/>
              <w:right w:val="single" w:sz="4" w:space="0" w:color="auto"/>
            </w:tcBorders>
            <w:shd w:val="clear" w:color="auto" w:fill="auto"/>
            <w:noWrap/>
            <w:vAlign w:val="bottom"/>
            <w:hideMark/>
          </w:tcPr>
          <w:p w14:paraId="5C5AC037"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Upper Bound</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208CD56D" w14:textId="66694B08" w:rsidR="001B4EB1" w:rsidRPr="001B4EB1" w:rsidRDefault="00C5744C" w:rsidP="001B4EB1">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Point Estimate</w:t>
            </w:r>
            <w:r>
              <w:rPr>
                <w:rFonts w:ascii="Calibri" w:eastAsia="Times New Roman" w:hAnsi="Calibri" w:cs="Times New Roman"/>
                <w:color w:val="000000"/>
                <w:sz w:val="20"/>
                <w:szCs w:val="20"/>
                <w:vertAlign w:val="superscript"/>
              </w:rPr>
              <w:t>a</w:t>
            </w:r>
          </w:p>
        </w:tc>
        <w:tc>
          <w:tcPr>
            <w:tcW w:w="1170" w:type="dxa"/>
            <w:tcBorders>
              <w:top w:val="nil"/>
              <w:left w:val="nil"/>
              <w:bottom w:val="single" w:sz="4" w:space="0" w:color="auto"/>
              <w:right w:val="single" w:sz="4" w:space="0" w:color="auto"/>
            </w:tcBorders>
            <w:shd w:val="clear" w:color="auto" w:fill="auto"/>
            <w:noWrap/>
            <w:vAlign w:val="bottom"/>
            <w:hideMark/>
          </w:tcPr>
          <w:p w14:paraId="55E46919"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Lower Bound</w:t>
            </w:r>
          </w:p>
        </w:tc>
        <w:tc>
          <w:tcPr>
            <w:tcW w:w="1127" w:type="dxa"/>
            <w:tcBorders>
              <w:top w:val="nil"/>
              <w:left w:val="nil"/>
              <w:bottom w:val="single" w:sz="4" w:space="0" w:color="auto"/>
              <w:right w:val="single" w:sz="4" w:space="0" w:color="auto"/>
            </w:tcBorders>
            <w:shd w:val="clear" w:color="auto" w:fill="auto"/>
            <w:noWrap/>
            <w:vAlign w:val="bottom"/>
            <w:hideMark/>
          </w:tcPr>
          <w:p w14:paraId="36A0CE42"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Upper Bound</w:t>
            </w:r>
          </w:p>
        </w:tc>
      </w:tr>
      <w:tr w:rsidR="001B4EB1" w:rsidRPr="001B4EB1" w14:paraId="7AAF508C" w14:textId="77777777" w:rsidTr="00285359">
        <w:trPr>
          <w:gridAfter w:val="1"/>
          <w:wAfter w:w="18" w:type="dxa"/>
          <w:trHeight w:val="300"/>
        </w:trPr>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4B1356" w14:textId="77777777" w:rsidR="001B4EB1" w:rsidRPr="001B4EB1" w:rsidRDefault="001B4EB1" w:rsidP="001B4EB1">
            <w:pPr>
              <w:spacing w:after="0" w:line="240" w:lineRule="auto"/>
              <w:rPr>
                <w:rFonts w:ascii="Calibri" w:eastAsia="Times New Roman" w:hAnsi="Calibri" w:cs="Times New Roman"/>
                <w:b/>
                <w:bCs/>
                <w:color w:val="000000"/>
                <w:sz w:val="20"/>
                <w:szCs w:val="20"/>
              </w:rPr>
            </w:pPr>
            <w:r w:rsidRPr="001B4EB1">
              <w:rPr>
                <w:rFonts w:ascii="Calibri" w:eastAsia="Times New Roman" w:hAnsi="Calibri" w:cs="Times New Roman"/>
                <w:b/>
                <w:bCs/>
                <w:color w:val="000000"/>
                <w:sz w:val="20"/>
                <w:szCs w:val="20"/>
              </w:rPr>
              <w:t>Disaster Economic Benefits</w:t>
            </w:r>
          </w:p>
        </w:tc>
        <w:tc>
          <w:tcPr>
            <w:tcW w:w="1170" w:type="dxa"/>
            <w:tcBorders>
              <w:top w:val="nil"/>
              <w:left w:val="nil"/>
              <w:bottom w:val="single" w:sz="4" w:space="0" w:color="auto"/>
              <w:right w:val="single" w:sz="4" w:space="0" w:color="auto"/>
            </w:tcBorders>
            <w:shd w:val="clear" w:color="auto" w:fill="auto"/>
            <w:noWrap/>
            <w:vAlign w:val="bottom"/>
            <w:hideMark/>
          </w:tcPr>
          <w:p w14:paraId="64319D69"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27" w:type="dxa"/>
            <w:tcBorders>
              <w:top w:val="nil"/>
              <w:left w:val="nil"/>
              <w:bottom w:val="single" w:sz="4" w:space="0" w:color="auto"/>
              <w:right w:val="single" w:sz="4" w:space="0" w:color="auto"/>
            </w:tcBorders>
            <w:shd w:val="clear" w:color="auto" w:fill="auto"/>
            <w:noWrap/>
            <w:vAlign w:val="bottom"/>
            <w:hideMark/>
          </w:tcPr>
          <w:p w14:paraId="5E70B6CF"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66" w:type="dxa"/>
            <w:tcBorders>
              <w:top w:val="nil"/>
              <w:left w:val="nil"/>
              <w:bottom w:val="single" w:sz="4" w:space="0" w:color="auto"/>
              <w:right w:val="single" w:sz="4" w:space="0" w:color="auto"/>
            </w:tcBorders>
            <w:shd w:val="clear" w:color="auto" w:fill="auto"/>
            <w:noWrap/>
            <w:vAlign w:val="bottom"/>
            <w:hideMark/>
          </w:tcPr>
          <w:p w14:paraId="25221218"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271CF5F7"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70" w:type="dxa"/>
            <w:tcBorders>
              <w:top w:val="nil"/>
              <w:left w:val="nil"/>
              <w:bottom w:val="single" w:sz="4" w:space="0" w:color="auto"/>
              <w:right w:val="single" w:sz="4" w:space="0" w:color="auto"/>
            </w:tcBorders>
            <w:shd w:val="clear" w:color="auto" w:fill="auto"/>
            <w:noWrap/>
            <w:vAlign w:val="bottom"/>
            <w:hideMark/>
          </w:tcPr>
          <w:p w14:paraId="1D14D701"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27" w:type="dxa"/>
            <w:tcBorders>
              <w:top w:val="nil"/>
              <w:left w:val="nil"/>
              <w:bottom w:val="single" w:sz="4" w:space="0" w:color="auto"/>
              <w:right w:val="single" w:sz="4" w:space="0" w:color="auto"/>
            </w:tcBorders>
            <w:shd w:val="clear" w:color="auto" w:fill="auto"/>
            <w:noWrap/>
            <w:vAlign w:val="bottom"/>
            <w:hideMark/>
          </w:tcPr>
          <w:p w14:paraId="438905C6"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r>
      <w:tr w:rsidR="001B4EB1" w:rsidRPr="001B4EB1" w14:paraId="2F3B7BFE" w14:textId="77777777" w:rsidTr="00285359">
        <w:trPr>
          <w:gridAfter w:val="1"/>
          <w:wAfter w:w="18" w:type="dxa"/>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32B1FFF9" w14:textId="77777777" w:rsidR="001B4EB1" w:rsidRPr="001B4EB1" w:rsidRDefault="001B4EB1" w:rsidP="001B4EB1">
            <w:pPr>
              <w:spacing w:after="0" w:line="240" w:lineRule="auto"/>
              <w:ind w:firstLineChars="200" w:firstLine="400"/>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Response and Recovery Costs</w:t>
            </w:r>
          </w:p>
        </w:tc>
        <w:tc>
          <w:tcPr>
            <w:tcW w:w="1170" w:type="dxa"/>
            <w:tcBorders>
              <w:top w:val="nil"/>
              <w:left w:val="nil"/>
              <w:bottom w:val="single" w:sz="4" w:space="0" w:color="auto"/>
              <w:right w:val="single" w:sz="4" w:space="0" w:color="auto"/>
            </w:tcBorders>
            <w:shd w:val="clear" w:color="auto" w:fill="auto"/>
            <w:noWrap/>
            <w:vAlign w:val="bottom"/>
            <w:hideMark/>
          </w:tcPr>
          <w:p w14:paraId="71B5C9B2"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$451,706</w:t>
            </w:r>
          </w:p>
        </w:tc>
        <w:tc>
          <w:tcPr>
            <w:tcW w:w="1127" w:type="dxa"/>
            <w:tcBorders>
              <w:top w:val="nil"/>
              <w:left w:val="nil"/>
              <w:bottom w:val="single" w:sz="4" w:space="0" w:color="auto"/>
              <w:right w:val="single" w:sz="4" w:space="0" w:color="auto"/>
            </w:tcBorders>
            <w:shd w:val="clear" w:color="auto" w:fill="auto"/>
            <w:noWrap/>
            <w:vAlign w:val="bottom"/>
            <w:hideMark/>
          </w:tcPr>
          <w:p w14:paraId="6607B47D"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$182,601</w:t>
            </w:r>
          </w:p>
        </w:tc>
        <w:tc>
          <w:tcPr>
            <w:tcW w:w="1166" w:type="dxa"/>
            <w:tcBorders>
              <w:top w:val="nil"/>
              <w:left w:val="nil"/>
              <w:bottom w:val="single" w:sz="4" w:space="0" w:color="auto"/>
              <w:right w:val="single" w:sz="4" w:space="0" w:color="auto"/>
            </w:tcBorders>
            <w:shd w:val="clear" w:color="auto" w:fill="auto"/>
            <w:noWrap/>
            <w:vAlign w:val="bottom"/>
            <w:hideMark/>
          </w:tcPr>
          <w:p w14:paraId="50A3FEF1"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$706,807</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3E785418"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$752,843</w:t>
            </w:r>
          </w:p>
        </w:tc>
        <w:tc>
          <w:tcPr>
            <w:tcW w:w="1170" w:type="dxa"/>
            <w:tcBorders>
              <w:top w:val="nil"/>
              <w:left w:val="nil"/>
              <w:bottom w:val="single" w:sz="4" w:space="0" w:color="auto"/>
              <w:right w:val="single" w:sz="4" w:space="0" w:color="auto"/>
            </w:tcBorders>
            <w:shd w:val="clear" w:color="auto" w:fill="auto"/>
            <w:noWrap/>
            <w:vAlign w:val="bottom"/>
            <w:hideMark/>
          </w:tcPr>
          <w:p w14:paraId="293EEFD1"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$305,141</w:t>
            </w:r>
          </w:p>
        </w:tc>
        <w:tc>
          <w:tcPr>
            <w:tcW w:w="1127" w:type="dxa"/>
            <w:tcBorders>
              <w:top w:val="nil"/>
              <w:left w:val="nil"/>
              <w:bottom w:val="single" w:sz="4" w:space="0" w:color="auto"/>
              <w:right w:val="single" w:sz="4" w:space="0" w:color="auto"/>
            </w:tcBorders>
            <w:shd w:val="clear" w:color="auto" w:fill="auto"/>
            <w:noWrap/>
            <w:vAlign w:val="bottom"/>
            <w:hideMark/>
          </w:tcPr>
          <w:p w14:paraId="6E82E942"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$1,199,353</w:t>
            </w:r>
          </w:p>
        </w:tc>
      </w:tr>
      <w:tr w:rsidR="001B4EB1" w:rsidRPr="001B4EB1" w14:paraId="2C704A9A" w14:textId="77777777" w:rsidTr="00285359">
        <w:trPr>
          <w:gridAfter w:val="1"/>
          <w:wAfter w:w="18" w:type="dxa"/>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18109239" w14:textId="77777777" w:rsidR="001B4EB1" w:rsidRPr="001B4EB1" w:rsidRDefault="001B4EB1" w:rsidP="001B4EB1">
            <w:pPr>
              <w:spacing w:after="0" w:line="240" w:lineRule="auto"/>
              <w:ind w:firstLineChars="200" w:firstLine="400"/>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Direct Loss Reduction</w:t>
            </w:r>
          </w:p>
        </w:tc>
        <w:tc>
          <w:tcPr>
            <w:tcW w:w="1170" w:type="dxa"/>
            <w:tcBorders>
              <w:top w:val="nil"/>
              <w:left w:val="nil"/>
              <w:bottom w:val="single" w:sz="4" w:space="0" w:color="auto"/>
              <w:right w:val="single" w:sz="4" w:space="0" w:color="auto"/>
            </w:tcBorders>
            <w:shd w:val="clear" w:color="auto" w:fill="auto"/>
            <w:noWrap/>
            <w:vAlign w:val="bottom"/>
            <w:hideMark/>
          </w:tcPr>
          <w:p w14:paraId="4EC64B1B"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$195,739</w:t>
            </w:r>
          </w:p>
        </w:tc>
        <w:tc>
          <w:tcPr>
            <w:tcW w:w="1127" w:type="dxa"/>
            <w:tcBorders>
              <w:top w:val="nil"/>
              <w:left w:val="nil"/>
              <w:bottom w:val="single" w:sz="4" w:space="0" w:color="auto"/>
              <w:right w:val="single" w:sz="4" w:space="0" w:color="auto"/>
            </w:tcBorders>
            <w:shd w:val="clear" w:color="auto" w:fill="auto"/>
            <w:noWrap/>
            <w:vAlign w:val="bottom"/>
            <w:hideMark/>
          </w:tcPr>
          <w:p w14:paraId="283C1FB4"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$76,224</w:t>
            </w:r>
          </w:p>
        </w:tc>
        <w:tc>
          <w:tcPr>
            <w:tcW w:w="1166" w:type="dxa"/>
            <w:tcBorders>
              <w:top w:val="nil"/>
              <w:left w:val="nil"/>
              <w:bottom w:val="single" w:sz="4" w:space="0" w:color="auto"/>
              <w:right w:val="single" w:sz="4" w:space="0" w:color="auto"/>
            </w:tcBorders>
            <w:shd w:val="clear" w:color="auto" w:fill="auto"/>
            <w:noWrap/>
            <w:vAlign w:val="bottom"/>
            <w:hideMark/>
          </w:tcPr>
          <w:p w14:paraId="25990E84"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$315,020</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7BCE946C"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70" w:type="dxa"/>
            <w:tcBorders>
              <w:top w:val="nil"/>
              <w:left w:val="nil"/>
              <w:bottom w:val="single" w:sz="4" w:space="0" w:color="auto"/>
              <w:right w:val="single" w:sz="4" w:space="0" w:color="auto"/>
            </w:tcBorders>
            <w:shd w:val="clear" w:color="auto" w:fill="auto"/>
            <w:noWrap/>
            <w:vAlign w:val="bottom"/>
            <w:hideMark/>
          </w:tcPr>
          <w:p w14:paraId="3F20F576"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27" w:type="dxa"/>
            <w:tcBorders>
              <w:top w:val="nil"/>
              <w:left w:val="nil"/>
              <w:bottom w:val="single" w:sz="4" w:space="0" w:color="auto"/>
              <w:right w:val="single" w:sz="4" w:space="0" w:color="auto"/>
            </w:tcBorders>
            <w:shd w:val="clear" w:color="auto" w:fill="auto"/>
            <w:noWrap/>
            <w:vAlign w:val="bottom"/>
            <w:hideMark/>
          </w:tcPr>
          <w:p w14:paraId="6E757E04"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r>
      <w:tr w:rsidR="001B4EB1" w:rsidRPr="001B4EB1" w14:paraId="3A60EFF5" w14:textId="77777777" w:rsidTr="00285359">
        <w:trPr>
          <w:gridAfter w:val="1"/>
          <w:wAfter w:w="18" w:type="dxa"/>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6AEAC631" w14:textId="77777777" w:rsidR="001B4EB1" w:rsidRPr="001B4EB1" w:rsidRDefault="001B4EB1" w:rsidP="001B4EB1">
            <w:pPr>
              <w:spacing w:after="0" w:line="240" w:lineRule="auto"/>
              <w:ind w:firstLineChars="200" w:firstLine="400"/>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Indirect Losses</w:t>
            </w:r>
          </w:p>
        </w:tc>
        <w:tc>
          <w:tcPr>
            <w:tcW w:w="1170" w:type="dxa"/>
            <w:tcBorders>
              <w:top w:val="nil"/>
              <w:left w:val="nil"/>
              <w:bottom w:val="single" w:sz="4" w:space="0" w:color="auto"/>
              <w:right w:val="single" w:sz="4" w:space="0" w:color="auto"/>
            </w:tcBorders>
            <w:shd w:val="clear" w:color="auto" w:fill="auto"/>
            <w:noWrap/>
            <w:vAlign w:val="bottom"/>
            <w:hideMark/>
          </w:tcPr>
          <w:p w14:paraId="4BC2343F"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$1,505,687</w:t>
            </w:r>
          </w:p>
        </w:tc>
        <w:tc>
          <w:tcPr>
            <w:tcW w:w="1127" w:type="dxa"/>
            <w:tcBorders>
              <w:top w:val="nil"/>
              <w:left w:val="nil"/>
              <w:bottom w:val="single" w:sz="4" w:space="0" w:color="auto"/>
              <w:right w:val="single" w:sz="4" w:space="0" w:color="auto"/>
            </w:tcBorders>
            <w:shd w:val="clear" w:color="auto" w:fill="auto"/>
            <w:noWrap/>
            <w:vAlign w:val="bottom"/>
            <w:hideMark/>
          </w:tcPr>
          <w:p w14:paraId="745B24D5"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$601,450</w:t>
            </w:r>
          </w:p>
        </w:tc>
        <w:tc>
          <w:tcPr>
            <w:tcW w:w="1166" w:type="dxa"/>
            <w:tcBorders>
              <w:top w:val="nil"/>
              <w:left w:val="nil"/>
              <w:bottom w:val="single" w:sz="4" w:space="0" w:color="auto"/>
              <w:right w:val="single" w:sz="4" w:space="0" w:color="auto"/>
            </w:tcBorders>
            <w:shd w:val="clear" w:color="auto" w:fill="auto"/>
            <w:noWrap/>
            <w:vAlign w:val="bottom"/>
            <w:hideMark/>
          </w:tcPr>
          <w:p w14:paraId="67A0F850"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$2,407,985</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2562F57F"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$2,6</w:t>
            </w:r>
            <w:bookmarkStart w:id="6" w:name="_GoBack"/>
            <w:bookmarkEnd w:id="6"/>
            <w:r w:rsidRPr="001B4EB1">
              <w:rPr>
                <w:rFonts w:ascii="Calibri" w:eastAsia="Times New Roman" w:hAnsi="Calibri" w:cs="Times New Roman"/>
                <w:color w:val="000000"/>
                <w:sz w:val="20"/>
                <w:szCs w:val="20"/>
              </w:rPr>
              <w:t>34,951</w:t>
            </w:r>
          </w:p>
        </w:tc>
        <w:tc>
          <w:tcPr>
            <w:tcW w:w="1170" w:type="dxa"/>
            <w:tcBorders>
              <w:top w:val="nil"/>
              <w:left w:val="nil"/>
              <w:bottom w:val="single" w:sz="4" w:space="0" w:color="auto"/>
              <w:right w:val="single" w:sz="4" w:space="0" w:color="auto"/>
            </w:tcBorders>
            <w:shd w:val="clear" w:color="auto" w:fill="auto"/>
            <w:noWrap/>
            <w:vAlign w:val="bottom"/>
            <w:hideMark/>
          </w:tcPr>
          <w:p w14:paraId="6070DA35"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$1,094,259</w:t>
            </w:r>
          </w:p>
        </w:tc>
        <w:tc>
          <w:tcPr>
            <w:tcW w:w="1127" w:type="dxa"/>
            <w:tcBorders>
              <w:top w:val="nil"/>
              <w:left w:val="nil"/>
              <w:bottom w:val="single" w:sz="4" w:space="0" w:color="auto"/>
              <w:right w:val="single" w:sz="4" w:space="0" w:color="auto"/>
            </w:tcBorders>
            <w:shd w:val="clear" w:color="auto" w:fill="auto"/>
            <w:noWrap/>
            <w:vAlign w:val="bottom"/>
            <w:hideMark/>
          </w:tcPr>
          <w:p w14:paraId="6470119F"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$4,215,606</w:t>
            </w:r>
          </w:p>
        </w:tc>
      </w:tr>
      <w:tr w:rsidR="001B4EB1" w:rsidRPr="001B4EB1" w14:paraId="225C03A9" w14:textId="77777777" w:rsidTr="00285359">
        <w:trPr>
          <w:gridAfter w:val="1"/>
          <w:wAfter w:w="18" w:type="dxa"/>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33E252C3" w14:textId="77777777" w:rsidR="001B4EB1" w:rsidRPr="001B4EB1" w:rsidRDefault="001B4EB1" w:rsidP="001B4EB1">
            <w:pPr>
              <w:spacing w:after="0" w:line="240" w:lineRule="auto"/>
              <w:rPr>
                <w:rFonts w:ascii="Calibri" w:eastAsia="Times New Roman" w:hAnsi="Calibri" w:cs="Times New Roman"/>
                <w:b/>
                <w:bCs/>
                <w:color w:val="000000"/>
                <w:sz w:val="20"/>
                <w:szCs w:val="20"/>
              </w:rPr>
            </w:pPr>
            <w:r w:rsidRPr="001B4EB1">
              <w:rPr>
                <w:rFonts w:ascii="Calibri" w:eastAsia="Times New Roman" w:hAnsi="Calibri" w:cs="Times New Roman"/>
                <w:b/>
                <w:bCs/>
                <w:color w:val="000000"/>
                <w:sz w:val="20"/>
                <w:szCs w:val="20"/>
              </w:rPr>
              <w:t>Disaster Non-Market Benefits</w:t>
            </w:r>
          </w:p>
        </w:tc>
        <w:tc>
          <w:tcPr>
            <w:tcW w:w="1170" w:type="dxa"/>
            <w:tcBorders>
              <w:top w:val="nil"/>
              <w:left w:val="nil"/>
              <w:bottom w:val="single" w:sz="4" w:space="0" w:color="auto"/>
              <w:right w:val="single" w:sz="4" w:space="0" w:color="auto"/>
            </w:tcBorders>
            <w:shd w:val="clear" w:color="auto" w:fill="auto"/>
            <w:noWrap/>
            <w:vAlign w:val="bottom"/>
            <w:hideMark/>
          </w:tcPr>
          <w:p w14:paraId="0C8DC4A1"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27" w:type="dxa"/>
            <w:tcBorders>
              <w:top w:val="nil"/>
              <w:left w:val="nil"/>
              <w:bottom w:val="single" w:sz="4" w:space="0" w:color="auto"/>
              <w:right w:val="single" w:sz="4" w:space="0" w:color="auto"/>
            </w:tcBorders>
            <w:shd w:val="clear" w:color="auto" w:fill="auto"/>
            <w:noWrap/>
            <w:vAlign w:val="bottom"/>
            <w:hideMark/>
          </w:tcPr>
          <w:p w14:paraId="35BD1A66"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66" w:type="dxa"/>
            <w:tcBorders>
              <w:top w:val="nil"/>
              <w:left w:val="nil"/>
              <w:bottom w:val="single" w:sz="4" w:space="0" w:color="auto"/>
              <w:right w:val="single" w:sz="4" w:space="0" w:color="auto"/>
            </w:tcBorders>
            <w:shd w:val="clear" w:color="auto" w:fill="auto"/>
            <w:noWrap/>
            <w:vAlign w:val="bottom"/>
            <w:hideMark/>
          </w:tcPr>
          <w:p w14:paraId="32AA8097"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5213E9E9"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70" w:type="dxa"/>
            <w:tcBorders>
              <w:top w:val="nil"/>
              <w:left w:val="nil"/>
              <w:bottom w:val="single" w:sz="4" w:space="0" w:color="auto"/>
              <w:right w:val="single" w:sz="4" w:space="0" w:color="auto"/>
            </w:tcBorders>
            <w:shd w:val="clear" w:color="auto" w:fill="auto"/>
            <w:noWrap/>
            <w:vAlign w:val="bottom"/>
            <w:hideMark/>
          </w:tcPr>
          <w:p w14:paraId="61016D4E"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27" w:type="dxa"/>
            <w:tcBorders>
              <w:top w:val="nil"/>
              <w:left w:val="nil"/>
              <w:bottom w:val="single" w:sz="4" w:space="0" w:color="auto"/>
              <w:right w:val="single" w:sz="4" w:space="0" w:color="auto"/>
            </w:tcBorders>
            <w:shd w:val="clear" w:color="auto" w:fill="auto"/>
            <w:noWrap/>
            <w:vAlign w:val="bottom"/>
            <w:hideMark/>
          </w:tcPr>
          <w:p w14:paraId="0ECB2520"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r>
      <w:tr w:rsidR="001B4EB1" w:rsidRPr="001B4EB1" w14:paraId="007967E7" w14:textId="77777777" w:rsidTr="00285359">
        <w:trPr>
          <w:gridAfter w:val="1"/>
          <w:wAfter w:w="18" w:type="dxa"/>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3F05255D" w14:textId="77777777" w:rsidR="001B4EB1" w:rsidRPr="001B4EB1" w:rsidRDefault="001B4EB1" w:rsidP="00B43067">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Value of Statistical Lives Saved</w:t>
            </w:r>
          </w:p>
        </w:tc>
        <w:tc>
          <w:tcPr>
            <w:tcW w:w="1170" w:type="dxa"/>
            <w:tcBorders>
              <w:top w:val="nil"/>
              <w:left w:val="nil"/>
              <w:bottom w:val="single" w:sz="4" w:space="0" w:color="auto"/>
              <w:right w:val="single" w:sz="4" w:space="0" w:color="auto"/>
            </w:tcBorders>
            <w:shd w:val="clear" w:color="auto" w:fill="auto"/>
            <w:noWrap/>
            <w:vAlign w:val="bottom"/>
            <w:hideMark/>
          </w:tcPr>
          <w:p w14:paraId="437738C0"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$564,632</w:t>
            </w:r>
          </w:p>
        </w:tc>
        <w:tc>
          <w:tcPr>
            <w:tcW w:w="1127" w:type="dxa"/>
            <w:tcBorders>
              <w:top w:val="nil"/>
              <w:left w:val="nil"/>
              <w:bottom w:val="single" w:sz="4" w:space="0" w:color="auto"/>
              <w:right w:val="single" w:sz="4" w:space="0" w:color="auto"/>
            </w:tcBorders>
            <w:shd w:val="clear" w:color="auto" w:fill="auto"/>
            <w:noWrap/>
            <w:vAlign w:val="bottom"/>
            <w:hideMark/>
          </w:tcPr>
          <w:p w14:paraId="4FC90108"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$564,632</w:t>
            </w:r>
          </w:p>
        </w:tc>
        <w:tc>
          <w:tcPr>
            <w:tcW w:w="1166" w:type="dxa"/>
            <w:tcBorders>
              <w:top w:val="nil"/>
              <w:left w:val="nil"/>
              <w:bottom w:val="single" w:sz="4" w:space="0" w:color="auto"/>
              <w:right w:val="single" w:sz="4" w:space="0" w:color="auto"/>
            </w:tcBorders>
            <w:shd w:val="clear" w:color="auto" w:fill="auto"/>
            <w:noWrap/>
            <w:vAlign w:val="bottom"/>
            <w:hideMark/>
          </w:tcPr>
          <w:p w14:paraId="6D395D3B"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$564,632</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4CBA8BA8"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$1,129,265</w:t>
            </w:r>
          </w:p>
        </w:tc>
        <w:tc>
          <w:tcPr>
            <w:tcW w:w="1170" w:type="dxa"/>
            <w:tcBorders>
              <w:top w:val="nil"/>
              <w:left w:val="nil"/>
              <w:bottom w:val="single" w:sz="4" w:space="0" w:color="auto"/>
              <w:right w:val="single" w:sz="4" w:space="0" w:color="auto"/>
            </w:tcBorders>
            <w:shd w:val="clear" w:color="auto" w:fill="auto"/>
            <w:noWrap/>
            <w:vAlign w:val="bottom"/>
            <w:hideMark/>
          </w:tcPr>
          <w:p w14:paraId="2B8C832D"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$1,129,265</w:t>
            </w:r>
          </w:p>
        </w:tc>
        <w:tc>
          <w:tcPr>
            <w:tcW w:w="1127" w:type="dxa"/>
            <w:tcBorders>
              <w:top w:val="nil"/>
              <w:left w:val="nil"/>
              <w:bottom w:val="single" w:sz="4" w:space="0" w:color="auto"/>
              <w:right w:val="single" w:sz="4" w:space="0" w:color="auto"/>
            </w:tcBorders>
            <w:shd w:val="clear" w:color="auto" w:fill="auto"/>
            <w:noWrap/>
            <w:vAlign w:val="bottom"/>
            <w:hideMark/>
          </w:tcPr>
          <w:p w14:paraId="48911257"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$1,129,265</w:t>
            </w:r>
          </w:p>
        </w:tc>
      </w:tr>
      <w:tr w:rsidR="001B4EB1" w:rsidRPr="001B4EB1" w14:paraId="43A658D7" w14:textId="77777777" w:rsidTr="00285359">
        <w:trPr>
          <w:gridAfter w:val="1"/>
          <w:wAfter w:w="18" w:type="dxa"/>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4C93C9A8" w14:textId="77777777" w:rsidR="001B4EB1" w:rsidRPr="001B4EB1" w:rsidRDefault="001B4EB1" w:rsidP="00B43067">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Number of Statistical Lives Saved</w:t>
            </w:r>
          </w:p>
        </w:tc>
        <w:tc>
          <w:tcPr>
            <w:tcW w:w="1170" w:type="dxa"/>
            <w:tcBorders>
              <w:top w:val="nil"/>
              <w:left w:val="nil"/>
              <w:bottom w:val="single" w:sz="4" w:space="0" w:color="auto"/>
              <w:right w:val="single" w:sz="4" w:space="0" w:color="auto"/>
            </w:tcBorders>
            <w:shd w:val="clear" w:color="auto" w:fill="auto"/>
            <w:noWrap/>
            <w:vAlign w:val="bottom"/>
            <w:hideMark/>
          </w:tcPr>
          <w:p w14:paraId="5CAC0979"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0.2</w:t>
            </w:r>
          </w:p>
        </w:tc>
        <w:tc>
          <w:tcPr>
            <w:tcW w:w="1127" w:type="dxa"/>
            <w:tcBorders>
              <w:top w:val="nil"/>
              <w:left w:val="nil"/>
              <w:bottom w:val="single" w:sz="4" w:space="0" w:color="auto"/>
              <w:right w:val="single" w:sz="4" w:space="0" w:color="auto"/>
            </w:tcBorders>
            <w:shd w:val="clear" w:color="auto" w:fill="auto"/>
            <w:noWrap/>
            <w:vAlign w:val="bottom"/>
            <w:hideMark/>
          </w:tcPr>
          <w:p w14:paraId="4EF44B49"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0.2</w:t>
            </w:r>
          </w:p>
        </w:tc>
        <w:tc>
          <w:tcPr>
            <w:tcW w:w="1166" w:type="dxa"/>
            <w:tcBorders>
              <w:top w:val="nil"/>
              <w:left w:val="nil"/>
              <w:bottom w:val="single" w:sz="4" w:space="0" w:color="auto"/>
              <w:right w:val="single" w:sz="4" w:space="0" w:color="auto"/>
            </w:tcBorders>
            <w:shd w:val="clear" w:color="auto" w:fill="auto"/>
            <w:noWrap/>
            <w:vAlign w:val="bottom"/>
            <w:hideMark/>
          </w:tcPr>
          <w:p w14:paraId="0CF911AE"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0.2</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4A27F1BD"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0.4</w:t>
            </w:r>
          </w:p>
        </w:tc>
        <w:tc>
          <w:tcPr>
            <w:tcW w:w="1170" w:type="dxa"/>
            <w:tcBorders>
              <w:top w:val="nil"/>
              <w:left w:val="nil"/>
              <w:bottom w:val="single" w:sz="4" w:space="0" w:color="auto"/>
              <w:right w:val="single" w:sz="4" w:space="0" w:color="auto"/>
            </w:tcBorders>
            <w:shd w:val="clear" w:color="auto" w:fill="auto"/>
            <w:noWrap/>
            <w:vAlign w:val="bottom"/>
            <w:hideMark/>
          </w:tcPr>
          <w:p w14:paraId="7971BBF8"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0.4</w:t>
            </w:r>
          </w:p>
        </w:tc>
        <w:tc>
          <w:tcPr>
            <w:tcW w:w="1127" w:type="dxa"/>
            <w:tcBorders>
              <w:top w:val="nil"/>
              <w:left w:val="nil"/>
              <w:bottom w:val="single" w:sz="4" w:space="0" w:color="auto"/>
              <w:right w:val="single" w:sz="4" w:space="0" w:color="auto"/>
            </w:tcBorders>
            <w:shd w:val="clear" w:color="auto" w:fill="auto"/>
            <w:noWrap/>
            <w:vAlign w:val="bottom"/>
            <w:hideMark/>
          </w:tcPr>
          <w:p w14:paraId="1B4510E8"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0.4</w:t>
            </w:r>
          </w:p>
        </w:tc>
      </w:tr>
      <w:tr w:rsidR="001B4EB1" w:rsidRPr="001B4EB1" w14:paraId="69583F56" w14:textId="77777777" w:rsidTr="00285359">
        <w:trPr>
          <w:gridAfter w:val="1"/>
          <w:wAfter w:w="18" w:type="dxa"/>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5FAB11A9" w14:textId="77777777" w:rsidR="001B4EB1" w:rsidRPr="001B4EB1" w:rsidRDefault="001B4EB1" w:rsidP="001B4EB1">
            <w:pPr>
              <w:spacing w:after="0" w:line="240" w:lineRule="auto"/>
              <w:rPr>
                <w:rFonts w:ascii="Calibri" w:eastAsia="Times New Roman" w:hAnsi="Calibri" w:cs="Times New Roman"/>
                <w:b/>
                <w:bCs/>
                <w:color w:val="000000"/>
                <w:sz w:val="20"/>
                <w:szCs w:val="20"/>
              </w:rPr>
            </w:pPr>
            <w:r w:rsidRPr="001B4EB1">
              <w:rPr>
                <w:rFonts w:ascii="Calibri" w:eastAsia="Times New Roman" w:hAnsi="Calibri" w:cs="Times New Roman"/>
                <w:b/>
                <w:bCs/>
                <w:color w:val="000000"/>
                <w:sz w:val="20"/>
                <w:szCs w:val="20"/>
              </w:rPr>
              <w:t>Non-disaster Related Benefits</w:t>
            </w:r>
          </w:p>
        </w:tc>
        <w:tc>
          <w:tcPr>
            <w:tcW w:w="1170" w:type="dxa"/>
            <w:tcBorders>
              <w:top w:val="nil"/>
              <w:left w:val="nil"/>
              <w:bottom w:val="single" w:sz="4" w:space="0" w:color="auto"/>
              <w:right w:val="single" w:sz="4" w:space="0" w:color="auto"/>
            </w:tcBorders>
            <w:shd w:val="clear" w:color="auto" w:fill="auto"/>
            <w:noWrap/>
            <w:vAlign w:val="bottom"/>
            <w:hideMark/>
          </w:tcPr>
          <w:p w14:paraId="40D16D44"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27" w:type="dxa"/>
            <w:tcBorders>
              <w:top w:val="nil"/>
              <w:left w:val="nil"/>
              <w:bottom w:val="single" w:sz="4" w:space="0" w:color="auto"/>
              <w:right w:val="single" w:sz="4" w:space="0" w:color="auto"/>
            </w:tcBorders>
            <w:shd w:val="clear" w:color="auto" w:fill="auto"/>
            <w:noWrap/>
            <w:vAlign w:val="bottom"/>
            <w:hideMark/>
          </w:tcPr>
          <w:p w14:paraId="3D59A09F"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66" w:type="dxa"/>
            <w:tcBorders>
              <w:top w:val="nil"/>
              <w:left w:val="nil"/>
              <w:bottom w:val="single" w:sz="4" w:space="0" w:color="auto"/>
              <w:right w:val="single" w:sz="4" w:space="0" w:color="auto"/>
            </w:tcBorders>
            <w:shd w:val="clear" w:color="auto" w:fill="auto"/>
            <w:noWrap/>
            <w:vAlign w:val="bottom"/>
            <w:hideMark/>
          </w:tcPr>
          <w:p w14:paraId="3273C236"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1DEE7247"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70" w:type="dxa"/>
            <w:tcBorders>
              <w:top w:val="nil"/>
              <w:left w:val="nil"/>
              <w:bottom w:val="single" w:sz="4" w:space="0" w:color="auto"/>
              <w:right w:val="single" w:sz="4" w:space="0" w:color="auto"/>
            </w:tcBorders>
            <w:shd w:val="clear" w:color="auto" w:fill="auto"/>
            <w:noWrap/>
            <w:vAlign w:val="bottom"/>
            <w:hideMark/>
          </w:tcPr>
          <w:p w14:paraId="5FA2CD68"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27" w:type="dxa"/>
            <w:tcBorders>
              <w:top w:val="nil"/>
              <w:left w:val="nil"/>
              <w:bottom w:val="single" w:sz="4" w:space="0" w:color="auto"/>
              <w:right w:val="single" w:sz="4" w:space="0" w:color="auto"/>
            </w:tcBorders>
            <w:shd w:val="clear" w:color="auto" w:fill="auto"/>
            <w:noWrap/>
            <w:vAlign w:val="bottom"/>
            <w:hideMark/>
          </w:tcPr>
          <w:p w14:paraId="03AEF0CB"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r>
      <w:tr w:rsidR="001B4EB1" w:rsidRPr="001B4EB1" w14:paraId="3EB5A50A" w14:textId="77777777" w:rsidTr="00285359">
        <w:trPr>
          <w:gridAfter w:val="1"/>
          <w:wAfter w:w="18" w:type="dxa"/>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982AACB" w14:textId="77777777" w:rsidR="001B4EB1" w:rsidRPr="001B4EB1" w:rsidRDefault="001B4EB1" w:rsidP="001B4EB1">
            <w:pPr>
              <w:spacing w:after="0" w:line="240" w:lineRule="auto"/>
              <w:ind w:firstLineChars="200" w:firstLine="400"/>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One-Time</w:t>
            </w:r>
          </w:p>
        </w:tc>
        <w:tc>
          <w:tcPr>
            <w:tcW w:w="1170" w:type="dxa"/>
            <w:tcBorders>
              <w:top w:val="nil"/>
              <w:left w:val="nil"/>
              <w:bottom w:val="single" w:sz="4" w:space="0" w:color="auto"/>
              <w:right w:val="single" w:sz="4" w:space="0" w:color="auto"/>
            </w:tcBorders>
            <w:shd w:val="clear" w:color="auto" w:fill="auto"/>
            <w:noWrap/>
            <w:vAlign w:val="bottom"/>
            <w:hideMark/>
          </w:tcPr>
          <w:p w14:paraId="24DF24CF"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27" w:type="dxa"/>
            <w:tcBorders>
              <w:top w:val="nil"/>
              <w:left w:val="nil"/>
              <w:bottom w:val="single" w:sz="4" w:space="0" w:color="auto"/>
              <w:right w:val="single" w:sz="4" w:space="0" w:color="auto"/>
            </w:tcBorders>
            <w:shd w:val="clear" w:color="auto" w:fill="auto"/>
            <w:noWrap/>
            <w:vAlign w:val="bottom"/>
            <w:hideMark/>
          </w:tcPr>
          <w:p w14:paraId="1F93E4CE"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66" w:type="dxa"/>
            <w:tcBorders>
              <w:top w:val="nil"/>
              <w:left w:val="nil"/>
              <w:bottom w:val="single" w:sz="4" w:space="0" w:color="auto"/>
              <w:right w:val="single" w:sz="4" w:space="0" w:color="auto"/>
            </w:tcBorders>
            <w:shd w:val="clear" w:color="auto" w:fill="auto"/>
            <w:noWrap/>
            <w:vAlign w:val="bottom"/>
            <w:hideMark/>
          </w:tcPr>
          <w:p w14:paraId="07BD70E1"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09A02A81"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70" w:type="dxa"/>
            <w:tcBorders>
              <w:top w:val="nil"/>
              <w:left w:val="nil"/>
              <w:bottom w:val="single" w:sz="4" w:space="0" w:color="auto"/>
              <w:right w:val="single" w:sz="4" w:space="0" w:color="auto"/>
            </w:tcBorders>
            <w:shd w:val="clear" w:color="auto" w:fill="auto"/>
            <w:noWrap/>
            <w:vAlign w:val="bottom"/>
            <w:hideMark/>
          </w:tcPr>
          <w:p w14:paraId="608B4445"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27" w:type="dxa"/>
            <w:tcBorders>
              <w:top w:val="nil"/>
              <w:left w:val="nil"/>
              <w:bottom w:val="single" w:sz="4" w:space="0" w:color="auto"/>
              <w:right w:val="single" w:sz="4" w:space="0" w:color="auto"/>
            </w:tcBorders>
            <w:shd w:val="clear" w:color="auto" w:fill="auto"/>
            <w:noWrap/>
            <w:vAlign w:val="bottom"/>
            <w:hideMark/>
          </w:tcPr>
          <w:p w14:paraId="59C6E7C0"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r>
      <w:tr w:rsidR="001B4EB1" w:rsidRPr="001B4EB1" w14:paraId="0F426246" w14:textId="77777777" w:rsidTr="00285359">
        <w:trPr>
          <w:gridAfter w:val="1"/>
          <w:wAfter w:w="18" w:type="dxa"/>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598946E0" w14:textId="77777777" w:rsidR="001B4EB1" w:rsidRPr="001B4EB1" w:rsidRDefault="001B4EB1" w:rsidP="001B4EB1">
            <w:pPr>
              <w:spacing w:after="0" w:line="240" w:lineRule="auto"/>
              <w:ind w:firstLineChars="200" w:firstLine="400"/>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Recurring</w:t>
            </w:r>
          </w:p>
        </w:tc>
        <w:tc>
          <w:tcPr>
            <w:tcW w:w="1170" w:type="dxa"/>
            <w:tcBorders>
              <w:top w:val="nil"/>
              <w:left w:val="nil"/>
              <w:bottom w:val="single" w:sz="4" w:space="0" w:color="auto"/>
              <w:right w:val="single" w:sz="4" w:space="0" w:color="auto"/>
            </w:tcBorders>
            <w:shd w:val="clear" w:color="auto" w:fill="auto"/>
            <w:noWrap/>
            <w:vAlign w:val="bottom"/>
            <w:hideMark/>
          </w:tcPr>
          <w:p w14:paraId="0270DBD7"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27" w:type="dxa"/>
            <w:tcBorders>
              <w:top w:val="nil"/>
              <w:left w:val="nil"/>
              <w:bottom w:val="single" w:sz="4" w:space="0" w:color="auto"/>
              <w:right w:val="single" w:sz="4" w:space="0" w:color="auto"/>
            </w:tcBorders>
            <w:shd w:val="clear" w:color="auto" w:fill="auto"/>
            <w:noWrap/>
            <w:vAlign w:val="bottom"/>
            <w:hideMark/>
          </w:tcPr>
          <w:p w14:paraId="3EAE8020"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66" w:type="dxa"/>
            <w:tcBorders>
              <w:top w:val="nil"/>
              <w:left w:val="nil"/>
              <w:bottom w:val="single" w:sz="4" w:space="0" w:color="auto"/>
              <w:right w:val="single" w:sz="4" w:space="0" w:color="auto"/>
            </w:tcBorders>
            <w:shd w:val="clear" w:color="auto" w:fill="auto"/>
            <w:noWrap/>
            <w:vAlign w:val="bottom"/>
            <w:hideMark/>
          </w:tcPr>
          <w:p w14:paraId="47762E3C"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1BD87FC7"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$1,790,317</w:t>
            </w:r>
          </w:p>
        </w:tc>
        <w:tc>
          <w:tcPr>
            <w:tcW w:w="1170" w:type="dxa"/>
            <w:tcBorders>
              <w:top w:val="nil"/>
              <w:left w:val="nil"/>
              <w:bottom w:val="single" w:sz="4" w:space="0" w:color="auto"/>
              <w:right w:val="single" w:sz="4" w:space="0" w:color="auto"/>
            </w:tcBorders>
            <w:shd w:val="clear" w:color="auto" w:fill="auto"/>
            <w:noWrap/>
            <w:vAlign w:val="bottom"/>
            <w:hideMark/>
          </w:tcPr>
          <w:p w14:paraId="5BAAAFD0"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$1,361,010</w:t>
            </w:r>
          </w:p>
        </w:tc>
        <w:tc>
          <w:tcPr>
            <w:tcW w:w="1127" w:type="dxa"/>
            <w:tcBorders>
              <w:top w:val="nil"/>
              <w:left w:val="nil"/>
              <w:bottom w:val="single" w:sz="4" w:space="0" w:color="auto"/>
              <w:right w:val="single" w:sz="4" w:space="0" w:color="auto"/>
            </w:tcBorders>
            <w:shd w:val="clear" w:color="auto" w:fill="auto"/>
            <w:noWrap/>
            <w:vAlign w:val="bottom"/>
            <w:hideMark/>
          </w:tcPr>
          <w:p w14:paraId="3E279315"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$1,982,572</w:t>
            </w:r>
          </w:p>
        </w:tc>
      </w:tr>
      <w:tr w:rsidR="001B4EB1" w:rsidRPr="001B4EB1" w14:paraId="273B4E36" w14:textId="77777777" w:rsidTr="00285359">
        <w:trPr>
          <w:gridAfter w:val="1"/>
          <w:wAfter w:w="18" w:type="dxa"/>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00C0E283" w14:textId="77777777" w:rsidR="001B4EB1" w:rsidRPr="001B4EB1" w:rsidRDefault="001B4EB1" w:rsidP="001B4EB1">
            <w:pPr>
              <w:spacing w:after="0" w:line="240" w:lineRule="auto"/>
              <w:rPr>
                <w:rFonts w:ascii="Calibri" w:eastAsia="Times New Roman" w:hAnsi="Calibri" w:cs="Times New Roman"/>
                <w:b/>
                <w:bCs/>
                <w:color w:val="000000"/>
                <w:sz w:val="20"/>
                <w:szCs w:val="20"/>
              </w:rPr>
            </w:pPr>
            <w:r w:rsidRPr="001B4EB1">
              <w:rPr>
                <w:rFonts w:ascii="Calibri" w:eastAsia="Times New Roman" w:hAnsi="Calibri" w:cs="Times New Roman"/>
                <w:b/>
                <w:bCs/>
                <w:color w:val="000000"/>
                <w:sz w:val="20"/>
                <w:szCs w:val="20"/>
              </w:rPr>
              <w:t>Costs</w:t>
            </w:r>
          </w:p>
        </w:tc>
        <w:tc>
          <w:tcPr>
            <w:tcW w:w="1170" w:type="dxa"/>
            <w:tcBorders>
              <w:top w:val="nil"/>
              <w:left w:val="nil"/>
              <w:bottom w:val="single" w:sz="4" w:space="0" w:color="auto"/>
              <w:right w:val="single" w:sz="4" w:space="0" w:color="auto"/>
            </w:tcBorders>
            <w:shd w:val="clear" w:color="auto" w:fill="auto"/>
            <w:noWrap/>
            <w:vAlign w:val="bottom"/>
            <w:hideMark/>
          </w:tcPr>
          <w:p w14:paraId="02BE6F38"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27" w:type="dxa"/>
            <w:tcBorders>
              <w:top w:val="nil"/>
              <w:left w:val="nil"/>
              <w:bottom w:val="single" w:sz="4" w:space="0" w:color="auto"/>
              <w:right w:val="single" w:sz="4" w:space="0" w:color="auto"/>
            </w:tcBorders>
            <w:shd w:val="clear" w:color="auto" w:fill="auto"/>
            <w:noWrap/>
            <w:vAlign w:val="bottom"/>
            <w:hideMark/>
          </w:tcPr>
          <w:p w14:paraId="5EBD7097"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66" w:type="dxa"/>
            <w:tcBorders>
              <w:top w:val="nil"/>
              <w:left w:val="nil"/>
              <w:bottom w:val="single" w:sz="4" w:space="0" w:color="auto"/>
              <w:right w:val="single" w:sz="4" w:space="0" w:color="auto"/>
            </w:tcBorders>
            <w:shd w:val="clear" w:color="auto" w:fill="auto"/>
            <w:noWrap/>
            <w:vAlign w:val="bottom"/>
            <w:hideMark/>
          </w:tcPr>
          <w:p w14:paraId="24952D81"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09FF7486"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70" w:type="dxa"/>
            <w:tcBorders>
              <w:top w:val="nil"/>
              <w:left w:val="nil"/>
              <w:bottom w:val="single" w:sz="4" w:space="0" w:color="auto"/>
              <w:right w:val="single" w:sz="4" w:space="0" w:color="auto"/>
            </w:tcBorders>
            <w:shd w:val="clear" w:color="auto" w:fill="auto"/>
            <w:noWrap/>
            <w:vAlign w:val="bottom"/>
            <w:hideMark/>
          </w:tcPr>
          <w:p w14:paraId="2825F72C"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27" w:type="dxa"/>
            <w:tcBorders>
              <w:top w:val="nil"/>
              <w:left w:val="nil"/>
              <w:bottom w:val="single" w:sz="4" w:space="0" w:color="auto"/>
              <w:right w:val="single" w:sz="4" w:space="0" w:color="auto"/>
            </w:tcBorders>
            <w:shd w:val="clear" w:color="auto" w:fill="auto"/>
            <w:noWrap/>
            <w:vAlign w:val="bottom"/>
            <w:hideMark/>
          </w:tcPr>
          <w:p w14:paraId="53881931"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r>
      <w:tr w:rsidR="001B4EB1" w:rsidRPr="001B4EB1" w14:paraId="259CFAE4" w14:textId="77777777" w:rsidTr="00285359">
        <w:trPr>
          <w:gridAfter w:val="1"/>
          <w:wAfter w:w="18" w:type="dxa"/>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29342631" w14:textId="77777777" w:rsidR="001B4EB1" w:rsidRPr="001B4EB1" w:rsidRDefault="001B4EB1" w:rsidP="001B4EB1">
            <w:pPr>
              <w:spacing w:after="0" w:line="240" w:lineRule="auto"/>
              <w:ind w:firstLineChars="200" w:firstLine="400"/>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Direct Costs</w:t>
            </w:r>
          </w:p>
        </w:tc>
        <w:tc>
          <w:tcPr>
            <w:tcW w:w="1170" w:type="dxa"/>
            <w:tcBorders>
              <w:top w:val="nil"/>
              <w:left w:val="nil"/>
              <w:bottom w:val="single" w:sz="4" w:space="0" w:color="auto"/>
              <w:right w:val="single" w:sz="4" w:space="0" w:color="auto"/>
            </w:tcBorders>
            <w:shd w:val="clear" w:color="auto" w:fill="auto"/>
            <w:noWrap/>
            <w:vAlign w:val="bottom"/>
            <w:hideMark/>
          </w:tcPr>
          <w:p w14:paraId="50A9DE99"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$3,000,000</w:t>
            </w:r>
          </w:p>
        </w:tc>
        <w:tc>
          <w:tcPr>
            <w:tcW w:w="1127" w:type="dxa"/>
            <w:tcBorders>
              <w:top w:val="nil"/>
              <w:left w:val="nil"/>
              <w:bottom w:val="single" w:sz="4" w:space="0" w:color="auto"/>
              <w:right w:val="single" w:sz="4" w:space="0" w:color="auto"/>
            </w:tcBorders>
            <w:shd w:val="clear" w:color="auto" w:fill="auto"/>
            <w:noWrap/>
            <w:vAlign w:val="bottom"/>
            <w:hideMark/>
          </w:tcPr>
          <w:p w14:paraId="1FCD6149"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$2,914,971</w:t>
            </w:r>
          </w:p>
        </w:tc>
        <w:tc>
          <w:tcPr>
            <w:tcW w:w="1166" w:type="dxa"/>
            <w:tcBorders>
              <w:top w:val="nil"/>
              <w:left w:val="nil"/>
              <w:bottom w:val="single" w:sz="4" w:space="0" w:color="auto"/>
              <w:right w:val="single" w:sz="4" w:space="0" w:color="auto"/>
            </w:tcBorders>
            <w:shd w:val="clear" w:color="auto" w:fill="auto"/>
            <w:noWrap/>
            <w:vAlign w:val="bottom"/>
            <w:hideMark/>
          </w:tcPr>
          <w:p w14:paraId="2519EEDC"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$3,702,992</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6EED3061"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$6,750,000</w:t>
            </w:r>
          </w:p>
        </w:tc>
        <w:tc>
          <w:tcPr>
            <w:tcW w:w="1170" w:type="dxa"/>
            <w:tcBorders>
              <w:top w:val="nil"/>
              <w:left w:val="nil"/>
              <w:bottom w:val="single" w:sz="4" w:space="0" w:color="auto"/>
              <w:right w:val="single" w:sz="4" w:space="0" w:color="auto"/>
            </w:tcBorders>
            <w:shd w:val="clear" w:color="auto" w:fill="auto"/>
            <w:noWrap/>
            <w:vAlign w:val="bottom"/>
            <w:hideMark/>
          </w:tcPr>
          <w:p w14:paraId="1C65FDDD"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$6,661,267</w:t>
            </w:r>
          </w:p>
        </w:tc>
        <w:tc>
          <w:tcPr>
            <w:tcW w:w="1127" w:type="dxa"/>
            <w:tcBorders>
              <w:top w:val="nil"/>
              <w:left w:val="nil"/>
              <w:bottom w:val="single" w:sz="4" w:space="0" w:color="auto"/>
              <w:right w:val="single" w:sz="4" w:space="0" w:color="auto"/>
            </w:tcBorders>
            <w:shd w:val="clear" w:color="auto" w:fill="auto"/>
            <w:noWrap/>
            <w:vAlign w:val="bottom"/>
            <w:hideMark/>
          </w:tcPr>
          <w:p w14:paraId="0FC8CE3F"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$7,906,390</w:t>
            </w:r>
          </w:p>
        </w:tc>
      </w:tr>
      <w:tr w:rsidR="001B4EB1" w:rsidRPr="001B4EB1" w14:paraId="00E1F994" w14:textId="77777777" w:rsidTr="00285359">
        <w:trPr>
          <w:gridAfter w:val="1"/>
          <w:wAfter w:w="18" w:type="dxa"/>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1251B28E" w14:textId="77777777" w:rsidR="001B4EB1" w:rsidRPr="001B4EB1" w:rsidRDefault="001B4EB1" w:rsidP="001B4EB1">
            <w:pPr>
              <w:spacing w:after="0" w:line="240" w:lineRule="auto"/>
              <w:ind w:firstLineChars="200" w:firstLine="400"/>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Indirect Costs</w:t>
            </w:r>
          </w:p>
        </w:tc>
        <w:tc>
          <w:tcPr>
            <w:tcW w:w="1170" w:type="dxa"/>
            <w:tcBorders>
              <w:top w:val="nil"/>
              <w:left w:val="nil"/>
              <w:bottom w:val="single" w:sz="4" w:space="0" w:color="auto"/>
              <w:right w:val="single" w:sz="4" w:space="0" w:color="auto"/>
            </w:tcBorders>
            <w:shd w:val="clear" w:color="auto" w:fill="auto"/>
            <w:noWrap/>
            <w:vAlign w:val="bottom"/>
            <w:hideMark/>
          </w:tcPr>
          <w:p w14:paraId="633BAE20"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$500,000</w:t>
            </w:r>
          </w:p>
        </w:tc>
        <w:tc>
          <w:tcPr>
            <w:tcW w:w="1127" w:type="dxa"/>
            <w:tcBorders>
              <w:top w:val="nil"/>
              <w:left w:val="nil"/>
              <w:bottom w:val="single" w:sz="4" w:space="0" w:color="auto"/>
              <w:right w:val="single" w:sz="4" w:space="0" w:color="auto"/>
            </w:tcBorders>
            <w:shd w:val="clear" w:color="auto" w:fill="auto"/>
            <w:noWrap/>
            <w:vAlign w:val="bottom"/>
            <w:hideMark/>
          </w:tcPr>
          <w:p w14:paraId="0393F8D7"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$487,844</w:t>
            </w:r>
          </w:p>
        </w:tc>
        <w:tc>
          <w:tcPr>
            <w:tcW w:w="1166" w:type="dxa"/>
            <w:tcBorders>
              <w:top w:val="nil"/>
              <w:left w:val="nil"/>
              <w:bottom w:val="single" w:sz="4" w:space="0" w:color="auto"/>
              <w:right w:val="single" w:sz="4" w:space="0" w:color="auto"/>
            </w:tcBorders>
            <w:shd w:val="clear" w:color="auto" w:fill="auto"/>
            <w:noWrap/>
            <w:vAlign w:val="bottom"/>
            <w:hideMark/>
          </w:tcPr>
          <w:p w14:paraId="5EBE0334"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$708,976</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3A8DDD73"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$295,000</w:t>
            </w:r>
          </w:p>
        </w:tc>
        <w:tc>
          <w:tcPr>
            <w:tcW w:w="1170" w:type="dxa"/>
            <w:tcBorders>
              <w:top w:val="nil"/>
              <w:left w:val="nil"/>
              <w:bottom w:val="single" w:sz="4" w:space="0" w:color="auto"/>
              <w:right w:val="single" w:sz="4" w:space="0" w:color="auto"/>
            </w:tcBorders>
            <w:shd w:val="clear" w:color="auto" w:fill="auto"/>
            <w:noWrap/>
            <w:vAlign w:val="bottom"/>
            <w:hideMark/>
          </w:tcPr>
          <w:p w14:paraId="6F754C68"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$291,392</w:t>
            </w:r>
          </w:p>
        </w:tc>
        <w:tc>
          <w:tcPr>
            <w:tcW w:w="1127" w:type="dxa"/>
            <w:tcBorders>
              <w:top w:val="nil"/>
              <w:left w:val="nil"/>
              <w:bottom w:val="single" w:sz="4" w:space="0" w:color="auto"/>
              <w:right w:val="single" w:sz="4" w:space="0" w:color="auto"/>
            </w:tcBorders>
            <w:shd w:val="clear" w:color="auto" w:fill="auto"/>
            <w:noWrap/>
            <w:vAlign w:val="bottom"/>
            <w:hideMark/>
          </w:tcPr>
          <w:p w14:paraId="02012480"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$344,483</w:t>
            </w:r>
          </w:p>
        </w:tc>
      </w:tr>
      <w:tr w:rsidR="001B4EB1" w:rsidRPr="001B4EB1" w14:paraId="00D9E1AF" w14:textId="77777777" w:rsidTr="00285359">
        <w:trPr>
          <w:gridAfter w:val="1"/>
          <w:wAfter w:w="18" w:type="dxa"/>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8304349" w14:textId="77777777" w:rsidR="001B4EB1" w:rsidRPr="001B4EB1" w:rsidRDefault="001B4EB1" w:rsidP="001B4EB1">
            <w:pPr>
              <w:spacing w:after="0" w:line="240" w:lineRule="auto"/>
              <w:ind w:firstLineChars="200" w:firstLine="402"/>
              <w:rPr>
                <w:rFonts w:ascii="Calibri" w:eastAsia="Times New Roman" w:hAnsi="Calibri" w:cs="Times New Roman"/>
                <w:b/>
                <w:bCs/>
                <w:color w:val="000000"/>
                <w:sz w:val="20"/>
                <w:szCs w:val="20"/>
              </w:rPr>
            </w:pPr>
            <w:r w:rsidRPr="001B4EB1">
              <w:rPr>
                <w:rFonts w:ascii="Calibri" w:eastAsia="Times New Roman" w:hAnsi="Calibri" w:cs="Times New Roman"/>
                <w:b/>
                <w:bCs/>
                <w:color w:val="000000"/>
                <w:sz w:val="20"/>
                <w:szCs w:val="20"/>
              </w:rPr>
              <w:t>OMR</w:t>
            </w:r>
          </w:p>
        </w:tc>
        <w:tc>
          <w:tcPr>
            <w:tcW w:w="1170" w:type="dxa"/>
            <w:tcBorders>
              <w:top w:val="nil"/>
              <w:left w:val="nil"/>
              <w:bottom w:val="single" w:sz="4" w:space="0" w:color="auto"/>
              <w:right w:val="single" w:sz="4" w:space="0" w:color="auto"/>
            </w:tcBorders>
            <w:shd w:val="clear" w:color="auto" w:fill="auto"/>
            <w:noWrap/>
            <w:vAlign w:val="bottom"/>
            <w:hideMark/>
          </w:tcPr>
          <w:p w14:paraId="6E9231E9"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27" w:type="dxa"/>
            <w:tcBorders>
              <w:top w:val="nil"/>
              <w:left w:val="nil"/>
              <w:bottom w:val="single" w:sz="4" w:space="0" w:color="auto"/>
              <w:right w:val="single" w:sz="4" w:space="0" w:color="auto"/>
            </w:tcBorders>
            <w:shd w:val="clear" w:color="auto" w:fill="auto"/>
            <w:noWrap/>
            <w:vAlign w:val="bottom"/>
            <w:hideMark/>
          </w:tcPr>
          <w:p w14:paraId="7991A21D"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66" w:type="dxa"/>
            <w:tcBorders>
              <w:top w:val="nil"/>
              <w:left w:val="nil"/>
              <w:bottom w:val="single" w:sz="4" w:space="0" w:color="auto"/>
              <w:right w:val="single" w:sz="4" w:space="0" w:color="auto"/>
            </w:tcBorders>
            <w:shd w:val="clear" w:color="auto" w:fill="auto"/>
            <w:noWrap/>
            <w:vAlign w:val="bottom"/>
            <w:hideMark/>
          </w:tcPr>
          <w:p w14:paraId="63053715"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5A1F06E8"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70" w:type="dxa"/>
            <w:tcBorders>
              <w:top w:val="nil"/>
              <w:left w:val="nil"/>
              <w:bottom w:val="single" w:sz="4" w:space="0" w:color="auto"/>
              <w:right w:val="single" w:sz="4" w:space="0" w:color="auto"/>
            </w:tcBorders>
            <w:shd w:val="clear" w:color="auto" w:fill="auto"/>
            <w:noWrap/>
            <w:vAlign w:val="bottom"/>
            <w:hideMark/>
          </w:tcPr>
          <w:p w14:paraId="7358C9CB"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27" w:type="dxa"/>
            <w:tcBorders>
              <w:top w:val="nil"/>
              <w:left w:val="nil"/>
              <w:bottom w:val="single" w:sz="4" w:space="0" w:color="auto"/>
              <w:right w:val="single" w:sz="4" w:space="0" w:color="auto"/>
            </w:tcBorders>
            <w:shd w:val="clear" w:color="auto" w:fill="auto"/>
            <w:noWrap/>
            <w:vAlign w:val="bottom"/>
            <w:hideMark/>
          </w:tcPr>
          <w:p w14:paraId="304276F2"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r>
      <w:tr w:rsidR="001B4EB1" w:rsidRPr="001B4EB1" w14:paraId="5DC1F5BC" w14:textId="77777777" w:rsidTr="00285359">
        <w:trPr>
          <w:gridAfter w:val="1"/>
          <w:wAfter w:w="18" w:type="dxa"/>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41B399CA" w14:textId="77777777" w:rsidR="001B4EB1" w:rsidRPr="001B4EB1" w:rsidRDefault="001B4EB1" w:rsidP="001B4EB1">
            <w:pPr>
              <w:spacing w:after="0" w:line="240" w:lineRule="auto"/>
              <w:ind w:firstLineChars="400" w:firstLine="800"/>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One-Time</w:t>
            </w:r>
          </w:p>
        </w:tc>
        <w:tc>
          <w:tcPr>
            <w:tcW w:w="1170" w:type="dxa"/>
            <w:tcBorders>
              <w:top w:val="nil"/>
              <w:left w:val="nil"/>
              <w:bottom w:val="single" w:sz="4" w:space="0" w:color="auto"/>
              <w:right w:val="single" w:sz="4" w:space="0" w:color="auto"/>
            </w:tcBorders>
            <w:shd w:val="clear" w:color="auto" w:fill="auto"/>
            <w:noWrap/>
            <w:vAlign w:val="bottom"/>
            <w:hideMark/>
          </w:tcPr>
          <w:p w14:paraId="221FC276"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27" w:type="dxa"/>
            <w:tcBorders>
              <w:top w:val="nil"/>
              <w:left w:val="nil"/>
              <w:bottom w:val="single" w:sz="4" w:space="0" w:color="auto"/>
              <w:right w:val="single" w:sz="4" w:space="0" w:color="auto"/>
            </w:tcBorders>
            <w:shd w:val="clear" w:color="auto" w:fill="auto"/>
            <w:noWrap/>
            <w:vAlign w:val="bottom"/>
            <w:hideMark/>
          </w:tcPr>
          <w:p w14:paraId="3773F346"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66" w:type="dxa"/>
            <w:tcBorders>
              <w:top w:val="nil"/>
              <w:left w:val="nil"/>
              <w:bottom w:val="single" w:sz="4" w:space="0" w:color="auto"/>
              <w:right w:val="single" w:sz="4" w:space="0" w:color="auto"/>
            </w:tcBorders>
            <w:shd w:val="clear" w:color="auto" w:fill="auto"/>
            <w:noWrap/>
            <w:vAlign w:val="bottom"/>
            <w:hideMark/>
          </w:tcPr>
          <w:p w14:paraId="76488610"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574C1882"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70" w:type="dxa"/>
            <w:tcBorders>
              <w:top w:val="nil"/>
              <w:left w:val="nil"/>
              <w:bottom w:val="single" w:sz="4" w:space="0" w:color="auto"/>
              <w:right w:val="single" w:sz="4" w:space="0" w:color="auto"/>
            </w:tcBorders>
            <w:shd w:val="clear" w:color="auto" w:fill="auto"/>
            <w:noWrap/>
            <w:vAlign w:val="bottom"/>
            <w:hideMark/>
          </w:tcPr>
          <w:p w14:paraId="1D552771"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27" w:type="dxa"/>
            <w:tcBorders>
              <w:top w:val="nil"/>
              <w:left w:val="nil"/>
              <w:bottom w:val="single" w:sz="4" w:space="0" w:color="auto"/>
              <w:right w:val="single" w:sz="4" w:space="0" w:color="auto"/>
            </w:tcBorders>
            <w:shd w:val="clear" w:color="auto" w:fill="auto"/>
            <w:noWrap/>
            <w:vAlign w:val="bottom"/>
            <w:hideMark/>
          </w:tcPr>
          <w:p w14:paraId="66D6E953"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r>
      <w:tr w:rsidR="001B4EB1" w:rsidRPr="001B4EB1" w14:paraId="38056EE1" w14:textId="77777777" w:rsidTr="00285359">
        <w:trPr>
          <w:gridAfter w:val="1"/>
          <w:wAfter w:w="18" w:type="dxa"/>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4FD0C4E" w14:textId="77777777" w:rsidR="001B4EB1" w:rsidRPr="001B4EB1" w:rsidRDefault="001B4EB1" w:rsidP="001B4EB1">
            <w:pPr>
              <w:spacing w:after="0" w:line="240" w:lineRule="auto"/>
              <w:ind w:firstLineChars="400" w:firstLine="800"/>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Recurring</w:t>
            </w:r>
          </w:p>
        </w:tc>
        <w:tc>
          <w:tcPr>
            <w:tcW w:w="1170" w:type="dxa"/>
            <w:tcBorders>
              <w:top w:val="nil"/>
              <w:left w:val="nil"/>
              <w:bottom w:val="single" w:sz="4" w:space="0" w:color="auto"/>
              <w:right w:val="single" w:sz="4" w:space="0" w:color="auto"/>
            </w:tcBorders>
            <w:shd w:val="clear" w:color="auto" w:fill="auto"/>
            <w:noWrap/>
            <w:vAlign w:val="bottom"/>
            <w:hideMark/>
          </w:tcPr>
          <w:p w14:paraId="2ACDF277"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27" w:type="dxa"/>
            <w:tcBorders>
              <w:top w:val="nil"/>
              <w:left w:val="nil"/>
              <w:bottom w:val="single" w:sz="4" w:space="0" w:color="auto"/>
              <w:right w:val="single" w:sz="4" w:space="0" w:color="auto"/>
            </w:tcBorders>
            <w:shd w:val="clear" w:color="auto" w:fill="auto"/>
            <w:noWrap/>
            <w:vAlign w:val="bottom"/>
            <w:hideMark/>
          </w:tcPr>
          <w:p w14:paraId="39DB88E3"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66" w:type="dxa"/>
            <w:tcBorders>
              <w:top w:val="nil"/>
              <w:left w:val="nil"/>
              <w:bottom w:val="single" w:sz="4" w:space="0" w:color="auto"/>
              <w:right w:val="single" w:sz="4" w:space="0" w:color="auto"/>
            </w:tcBorders>
            <w:shd w:val="clear" w:color="auto" w:fill="auto"/>
            <w:noWrap/>
            <w:vAlign w:val="bottom"/>
            <w:hideMark/>
          </w:tcPr>
          <w:p w14:paraId="361F3525"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6646AD9F"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$514,000</w:t>
            </w:r>
          </w:p>
        </w:tc>
        <w:tc>
          <w:tcPr>
            <w:tcW w:w="1170" w:type="dxa"/>
            <w:tcBorders>
              <w:top w:val="nil"/>
              <w:left w:val="nil"/>
              <w:bottom w:val="single" w:sz="4" w:space="0" w:color="auto"/>
              <w:right w:val="single" w:sz="4" w:space="0" w:color="auto"/>
            </w:tcBorders>
            <w:shd w:val="clear" w:color="auto" w:fill="auto"/>
            <w:noWrap/>
            <w:vAlign w:val="bottom"/>
            <w:hideMark/>
          </w:tcPr>
          <w:p w14:paraId="407F9D28"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$455,560</w:t>
            </w:r>
          </w:p>
        </w:tc>
        <w:tc>
          <w:tcPr>
            <w:tcW w:w="1127" w:type="dxa"/>
            <w:tcBorders>
              <w:top w:val="nil"/>
              <w:left w:val="nil"/>
              <w:bottom w:val="single" w:sz="4" w:space="0" w:color="auto"/>
              <w:right w:val="single" w:sz="4" w:space="0" w:color="auto"/>
            </w:tcBorders>
            <w:shd w:val="clear" w:color="auto" w:fill="auto"/>
            <w:noWrap/>
            <w:vAlign w:val="bottom"/>
            <w:hideMark/>
          </w:tcPr>
          <w:p w14:paraId="7ABCCCB0"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$602,941</w:t>
            </w:r>
          </w:p>
        </w:tc>
      </w:tr>
      <w:tr w:rsidR="001B4EB1" w:rsidRPr="001B4EB1" w14:paraId="13458611" w14:textId="77777777" w:rsidTr="00285359">
        <w:trPr>
          <w:gridAfter w:val="1"/>
          <w:wAfter w:w="18" w:type="dxa"/>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437B79CA" w14:textId="77777777" w:rsidR="001B4EB1" w:rsidRPr="001B4EB1" w:rsidRDefault="001B4EB1" w:rsidP="001B4EB1">
            <w:pPr>
              <w:spacing w:after="0" w:line="240" w:lineRule="auto"/>
              <w:rPr>
                <w:rFonts w:ascii="Calibri" w:eastAsia="Times New Roman" w:hAnsi="Calibri" w:cs="Times New Roman"/>
                <w:b/>
                <w:bCs/>
                <w:color w:val="000000"/>
                <w:sz w:val="20"/>
                <w:szCs w:val="20"/>
              </w:rPr>
            </w:pPr>
            <w:r w:rsidRPr="001B4EB1">
              <w:rPr>
                <w:rFonts w:ascii="Calibri" w:eastAsia="Times New Roman" w:hAnsi="Calibri" w:cs="Times New Roman"/>
                <w:b/>
                <w:bCs/>
                <w:color w:val="000000"/>
                <w:sz w:val="20"/>
                <w:szCs w:val="20"/>
              </w:rPr>
              <w:t>Externalities</w:t>
            </w:r>
          </w:p>
        </w:tc>
        <w:tc>
          <w:tcPr>
            <w:tcW w:w="1170" w:type="dxa"/>
            <w:tcBorders>
              <w:top w:val="nil"/>
              <w:left w:val="nil"/>
              <w:bottom w:val="single" w:sz="4" w:space="0" w:color="auto"/>
              <w:right w:val="single" w:sz="4" w:space="0" w:color="auto"/>
            </w:tcBorders>
            <w:shd w:val="clear" w:color="auto" w:fill="auto"/>
            <w:noWrap/>
            <w:vAlign w:val="bottom"/>
            <w:hideMark/>
          </w:tcPr>
          <w:p w14:paraId="72FC223B"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27" w:type="dxa"/>
            <w:tcBorders>
              <w:top w:val="nil"/>
              <w:left w:val="nil"/>
              <w:bottom w:val="single" w:sz="4" w:space="0" w:color="auto"/>
              <w:right w:val="single" w:sz="4" w:space="0" w:color="auto"/>
            </w:tcBorders>
            <w:shd w:val="clear" w:color="auto" w:fill="auto"/>
            <w:noWrap/>
            <w:vAlign w:val="bottom"/>
            <w:hideMark/>
          </w:tcPr>
          <w:p w14:paraId="4DBA2832"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66" w:type="dxa"/>
            <w:tcBorders>
              <w:top w:val="nil"/>
              <w:left w:val="nil"/>
              <w:bottom w:val="single" w:sz="4" w:space="0" w:color="auto"/>
              <w:right w:val="single" w:sz="4" w:space="0" w:color="auto"/>
            </w:tcBorders>
            <w:shd w:val="clear" w:color="auto" w:fill="auto"/>
            <w:noWrap/>
            <w:vAlign w:val="bottom"/>
            <w:hideMark/>
          </w:tcPr>
          <w:p w14:paraId="79A4DC41"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44A29E80"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70" w:type="dxa"/>
            <w:tcBorders>
              <w:top w:val="nil"/>
              <w:left w:val="nil"/>
              <w:bottom w:val="single" w:sz="4" w:space="0" w:color="auto"/>
              <w:right w:val="single" w:sz="4" w:space="0" w:color="auto"/>
            </w:tcBorders>
            <w:shd w:val="clear" w:color="auto" w:fill="auto"/>
            <w:noWrap/>
            <w:vAlign w:val="bottom"/>
            <w:hideMark/>
          </w:tcPr>
          <w:p w14:paraId="2DA77C21"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27" w:type="dxa"/>
            <w:tcBorders>
              <w:top w:val="nil"/>
              <w:left w:val="nil"/>
              <w:bottom w:val="single" w:sz="4" w:space="0" w:color="auto"/>
              <w:right w:val="single" w:sz="4" w:space="0" w:color="auto"/>
            </w:tcBorders>
            <w:shd w:val="clear" w:color="auto" w:fill="auto"/>
            <w:noWrap/>
            <w:vAlign w:val="bottom"/>
            <w:hideMark/>
          </w:tcPr>
          <w:p w14:paraId="0D51B97C"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r>
      <w:tr w:rsidR="001B4EB1" w:rsidRPr="001B4EB1" w14:paraId="2E025D8F" w14:textId="77777777" w:rsidTr="00285359">
        <w:trPr>
          <w:gridAfter w:val="1"/>
          <w:wAfter w:w="18" w:type="dxa"/>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6D35009B" w14:textId="77777777" w:rsidR="001B4EB1" w:rsidRPr="001B4EB1" w:rsidRDefault="001B4EB1" w:rsidP="001B4EB1">
            <w:pPr>
              <w:spacing w:after="0" w:line="240" w:lineRule="auto"/>
              <w:ind w:firstLineChars="200" w:firstLine="402"/>
              <w:rPr>
                <w:rFonts w:ascii="Calibri" w:eastAsia="Times New Roman" w:hAnsi="Calibri" w:cs="Times New Roman"/>
                <w:b/>
                <w:bCs/>
                <w:color w:val="000000"/>
                <w:sz w:val="20"/>
                <w:szCs w:val="20"/>
              </w:rPr>
            </w:pPr>
            <w:r w:rsidRPr="001B4EB1">
              <w:rPr>
                <w:rFonts w:ascii="Calibri" w:eastAsia="Times New Roman" w:hAnsi="Calibri" w:cs="Times New Roman"/>
                <w:b/>
                <w:bCs/>
                <w:color w:val="000000"/>
                <w:sz w:val="20"/>
                <w:szCs w:val="20"/>
              </w:rPr>
              <w:t>Positive</w:t>
            </w:r>
          </w:p>
        </w:tc>
        <w:tc>
          <w:tcPr>
            <w:tcW w:w="1170" w:type="dxa"/>
            <w:tcBorders>
              <w:top w:val="nil"/>
              <w:left w:val="nil"/>
              <w:bottom w:val="single" w:sz="4" w:space="0" w:color="auto"/>
              <w:right w:val="single" w:sz="4" w:space="0" w:color="auto"/>
            </w:tcBorders>
            <w:shd w:val="clear" w:color="auto" w:fill="auto"/>
            <w:noWrap/>
            <w:vAlign w:val="bottom"/>
            <w:hideMark/>
          </w:tcPr>
          <w:p w14:paraId="2565309F"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27" w:type="dxa"/>
            <w:tcBorders>
              <w:top w:val="nil"/>
              <w:left w:val="nil"/>
              <w:bottom w:val="single" w:sz="4" w:space="0" w:color="auto"/>
              <w:right w:val="single" w:sz="4" w:space="0" w:color="auto"/>
            </w:tcBorders>
            <w:shd w:val="clear" w:color="auto" w:fill="auto"/>
            <w:noWrap/>
            <w:vAlign w:val="bottom"/>
            <w:hideMark/>
          </w:tcPr>
          <w:p w14:paraId="36071669"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66" w:type="dxa"/>
            <w:tcBorders>
              <w:top w:val="nil"/>
              <w:left w:val="nil"/>
              <w:bottom w:val="single" w:sz="4" w:space="0" w:color="auto"/>
              <w:right w:val="single" w:sz="4" w:space="0" w:color="auto"/>
            </w:tcBorders>
            <w:shd w:val="clear" w:color="auto" w:fill="auto"/>
            <w:noWrap/>
            <w:vAlign w:val="bottom"/>
            <w:hideMark/>
          </w:tcPr>
          <w:p w14:paraId="48F37B08"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3FC3C749"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70" w:type="dxa"/>
            <w:tcBorders>
              <w:top w:val="nil"/>
              <w:left w:val="nil"/>
              <w:bottom w:val="single" w:sz="4" w:space="0" w:color="auto"/>
              <w:right w:val="single" w:sz="4" w:space="0" w:color="auto"/>
            </w:tcBorders>
            <w:shd w:val="clear" w:color="auto" w:fill="auto"/>
            <w:noWrap/>
            <w:vAlign w:val="bottom"/>
            <w:hideMark/>
          </w:tcPr>
          <w:p w14:paraId="54C10C24"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27" w:type="dxa"/>
            <w:tcBorders>
              <w:top w:val="nil"/>
              <w:left w:val="nil"/>
              <w:bottom w:val="single" w:sz="4" w:space="0" w:color="auto"/>
              <w:right w:val="single" w:sz="4" w:space="0" w:color="auto"/>
            </w:tcBorders>
            <w:shd w:val="clear" w:color="auto" w:fill="auto"/>
            <w:noWrap/>
            <w:vAlign w:val="bottom"/>
            <w:hideMark/>
          </w:tcPr>
          <w:p w14:paraId="0CFBAC01"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r>
      <w:tr w:rsidR="001B4EB1" w:rsidRPr="001B4EB1" w14:paraId="040F9DD2" w14:textId="77777777" w:rsidTr="00285359">
        <w:trPr>
          <w:gridAfter w:val="1"/>
          <w:wAfter w:w="18" w:type="dxa"/>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2BCBFD75" w14:textId="77777777" w:rsidR="001B4EB1" w:rsidRPr="001B4EB1" w:rsidRDefault="001B4EB1" w:rsidP="001B4EB1">
            <w:pPr>
              <w:spacing w:after="0" w:line="240" w:lineRule="auto"/>
              <w:ind w:firstLineChars="400" w:firstLine="800"/>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One-Time</w:t>
            </w:r>
          </w:p>
        </w:tc>
        <w:tc>
          <w:tcPr>
            <w:tcW w:w="1170" w:type="dxa"/>
            <w:tcBorders>
              <w:top w:val="nil"/>
              <w:left w:val="nil"/>
              <w:bottom w:val="single" w:sz="4" w:space="0" w:color="auto"/>
              <w:right w:val="single" w:sz="4" w:space="0" w:color="auto"/>
            </w:tcBorders>
            <w:shd w:val="clear" w:color="auto" w:fill="auto"/>
            <w:noWrap/>
            <w:vAlign w:val="bottom"/>
            <w:hideMark/>
          </w:tcPr>
          <w:p w14:paraId="4BC7486C"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27" w:type="dxa"/>
            <w:tcBorders>
              <w:top w:val="nil"/>
              <w:left w:val="nil"/>
              <w:bottom w:val="single" w:sz="4" w:space="0" w:color="auto"/>
              <w:right w:val="single" w:sz="4" w:space="0" w:color="auto"/>
            </w:tcBorders>
            <w:shd w:val="clear" w:color="auto" w:fill="auto"/>
            <w:noWrap/>
            <w:vAlign w:val="bottom"/>
            <w:hideMark/>
          </w:tcPr>
          <w:p w14:paraId="373225AF"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66" w:type="dxa"/>
            <w:tcBorders>
              <w:top w:val="nil"/>
              <w:left w:val="nil"/>
              <w:bottom w:val="single" w:sz="4" w:space="0" w:color="auto"/>
              <w:right w:val="single" w:sz="4" w:space="0" w:color="auto"/>
            </w:tcBorders>
            <w:shd w:val="clear" w:color="auto" w:fill="auto"/>
            <w:noWrap/>
            <w:vAlign w:val="bottom"/>
            <w:hideMark/>
          </w:tcPr>
          <w:p w14:paraId="19DC8B3C"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3CD63C69"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70" w:type="dxa"/>
            <w:tcBorders>
              <w:top w:val="nil"/>
              <w:left w:val="nil"/>
              <w:bottom w:val="single" w:sz="4" w:space="0" w:color="auto"/>
              <w:right w:val="single" w:sz="4" w:space="0" w:color="auto"/>
            </w:tcBorders>
            <w:shd w:val="clear" w:color="auto" w:fill="auto"/>
            <w:noWrap/>
            <w:vAlign w:val="bottom"/>
            <w:hideMark/>
          </w:tcPr>
          <w:p w14:paraId="01D86A28"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27" w:type="dxa"/>
            <w:tcBorders>
              <w:top w:val="nil"/>
              <w:left w:val="nil"/>
              <w:bottom w:val="single" w:sz="4" w:space="0" w:color="auto"/>
              <w:right w:val="single" w:sz="4" w:space="0" w:color="auto"/>
            </w:tcBorders>
            <w:shd w:val="clear" w:color="auto" w:fill="auto"/>
            <w:noWrap/>
            <w:vAlign w:val="bottom"/>
            <w:hideMark/>
          </w:tcPr>
          <w:p w14:paraId="666D241F"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r>
      <w:tr w:rsidR="001B4EB1" w:rsidRPr="001B4EB1" w14:paraId="09AEF469" w14:textId="77777777" w:rsidTr="00285359">
        <w:trPr>
          <w:gridAfter w:val="1"/>
          <w:wAfter w:w="18" w:type="dxa"/>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662642A0" w14:textId="77777777" w:rsidR="001B4EB1" w:rsidRPr="001B4EB1" w:rsidRDefault="001B4EB1" w:rsidP="001B4EB1">
            <w:pPr>
              <w:spacing w:after="0" w:line="240" w:lineRule="auto"/>
              <w:ind w:firstLineChars="400" w:firstLine="800"/>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Recurring</w:t>
            </w:r>
          </w:p>
        </w:tc>
        <w:tc>
          <w:tcPr>
            <w:tcW w:w="1170" w:type="dxa"/>
            <w:tcBorders>
              <w:top w:val="nil"/>
              <w:left w:val="nil"/>
              <w:bottom w:val="single" w:sz="4" w:space="0" w:color="auto"/>
              <w:right w:val="single" w:sz="4" w:space="0" w:color="auto"/>
            </w:tcBorders>
            <w:shd w:val="clear" w:color="auto" w:fill="auto"/>
            <w:noWrap/>
            <w:vAlign w:val="bottom"/>
            <w:hideMark/>
          </w:tcPr>
          <w:p w14:paraId="64D6DCF3"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27" w:type="dxa"/>
            <w:tcBorders>
              <w:top w:val="nil"/>
              <w:left w:val="nil"/>
              <w:bottom w:val="single" w:sz="4" w:space="0" w:color="auto"/>
              <w:right w:val="single" w:sz="4" w:space="0" w:color="auto"/>
            </w:tcBorders>
            <w:shd w:val="clear" w:color="auto" w:fill="auto"/>
            <w:noWrap/>
            <w:vAlign w:val="bottom"/>
            <w:hideMark/>
          </w:tcPr>
          <w:p w14:paraId="21E7348A"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66" w:type="dxa"/>
            <w:tcBorders>
              <w:top w:val="nil"/>
              <w:left w:val="nil"/>
              <w:bottom w:val="single" w:sz="4" w:space="0" w:color="auto"/>
              <w:right w:val="single" w:sz="4" w:space="0" w:color="auto"/>
            </w:tcBorders>
            <w:shd w:val="clear" w:color="auto" w:fill="auto"/>
            <w:noWrap/>
            <w:vAlign w:val="bottom"/>
            <w:hideMark/>
          </w:tcPr>
          <w:p w14:paraId="3DD758F1"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097BE1FB"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$2,796,636</w:t>
            </w:r>
          </w:p>
        </w:tc>
        <w:tc>
          <w:tcPr>
            <w:tcW w:w="1170" w:type="dxa"/>
            <w:tcBorders>
              <w:top w:val="nil"/>
              <w:left w:val="nil"/>
              <w:bottom w:val="single" w:sz="4" w:space="0" w:color="auto"/>
              <w:right w:val="single" w:sz="4" w:space="0" w:color="auto"/>
            </w:tcBorders>
            <w:shd w:val="clear" w:color="auto" w:fill="auto"/>
            <w:noWrap/>
            <w:vAlign w:val="bottom"/>
            <w:hideMark/>
          </w:tcPr>
          <w:p w14:paraId="70991826"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$2,214,013</w:t>
            </w:r>
          </w:p>
        </w:tc>
        <w:tc>
          <w:tcPr>
            <w:tcW w:w="1127" w:type="dxa"/>
            <w:tcBorders>
              <w:top w:val="nil"/>
              <w:left w:val="nil"/>
              <w:bottom w:val="single" w:sz="4" w:space="0" w:color="auto"/>
              <w:right w:val="single" w:sz="4" w:space="0" w:color="auto"/>
            </w:tcBorders>
            <w:shd w:val="clear" w:color="auto" w:fill="auto"/>
            <w:noWrap/>
            <w:vAlign w:val="bottom"/>
            <w:hideMark/>
          </w:tcPr>
          <w:p w14:paraId="3C404BF6"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$3,346,120</w:t>
            </w:r>
          </w:p>
        </w:tc>
      </w:tr>
      <w:tr w:rsidR="001B4EB1" w:rsidRPr="001B4EB1" w14:paraId="5F87C89B" w14:textId="77777777" w:rsidTr="00285359">
        <w:trPr>
          <w:gridAfter w:val="1"/>
          <w:wAfter w:w="18" w:type="dxa"/>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17E32408" w14:textId="77777777" w:rsidR="001B4EB1" w:rsidRPr="001B4EB1" w:rsidRDefault="001B4EB1" w:rsidP="001B4EB1">
            <w:pPr>
              <w:spacing w:after="0" w:line="240" w:lineRule="auto"/>
              <w:ind w:firstLineChars="200" w:firstLine="402"/>
              <w:rPr>
                <w:rFonts w:ascii="Calibri" w:eastAsia="Times New Roman" w:hAnsi="Calibri" w:cs="Times New Roman"/>
                <w:b/>
                <w:bCs/>
                <w:color w:val="000000"/>
                <w:sz w:val="20"/>
                <w:szCs w:val="20"/>
              </w:rPr>
            </w:pPr>
            <w:r w:rsidRPr="001B4EB1">
              <w:rPr>
                <w:rFonts w:ascii="Calibri" w:eastAsia="Times New Roman" w:hAnsi="Calibri" w:cs="Times New Roman"/>
                <w:b/>
                <w:bCs/>
                <w:color w:val="000000"/>
                <w:sz w:val="20"/>
                <w:szCs w:val="20"/>
              </w:rPr>
              <w:t>Negative</w:t>
            </w:r>
          </w:p>
        </w:tc>
        <w:tc>
          <w:tcPr>
            <w:tcW w:w="1170" w:type="dxa"/>
            <w:tcBorders>
              <w:top w:val="nil"/>
              <w:left w:val="nil"/>
              <w:bottom w:val="single" w:sz="4" w:space="0" w:color="auto"/>
              <w:right w:val="single" w:sz="4" w:space="0" w:color="auto"/>
            </w:tcBorders>
            <w:shd w:val="clear" w:color="auto" w:fill="auto"/>
            <w:noWrap/>
            <w:vAlign w:val="bottom"/>
            <w:hideMark/>
          </w:tcPr>
          <w:p w14:paraId="7FEA101C"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27" w:type="dxa"/>
            <w:tcBorders>
              <w:top w:val="nil"/>
              <w:left w:val="nil"/>
              <w:bottom w:val="single" w:sz="4" w:space="0" w:color="auto"/>
              <w:right w:val="single" w:sz="4" w:space="0" w:color="auto"/>
            </w:tcBorders>
            <w:shd w:val="clear" w:color="auto" w:fill="auto"/>
            <w:noWrap/>
            <w:vAlign w:val="bottom"/>
            <w:hideMark/>
          </w:tcPr>
          <w:p w14:paraId="5178EDC5"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66" w:type="dxa"/>
            <w:tcBorders>
              <w:top w:val="nil"/>
              <w:left w:val="nil"/>
              <w:bottom w:val="single" w:sz="4" w:space="0" w:color="auto"/>
              <w:right w:val="single" w:sz="4" w:space="0" w:color="auto"/>
            </w:tcBorders>
            <w:shd w:val="clear" w:color="auto" w:fill="auto"/>
            <w:noWrap/>
            <w:vAlign w:val="bottom"/>
            <w:hideMark/>
          </w:tcPr>
          <w:p w14:paraId="2746721D"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54948A51"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70" w:type="dxa"/>
            <w:tcBorders>
              <w:top w:val="nil"/>
              <w:left w:val="nil"/>
              <w:bottom w:val="single" w:sz="4" w:space="0" w:color="auto"/>
              <w:right w:val="single" w:sz="4" w:space="0" w:color="auto"/>
            </w:tcBorders>
            <w:shd w:val="clear" w:color="auto" w:fill="auto"/>
            <w:noWrap/>
            <w:vAlign w:val="bottom"/>
            <w:hideMark/>
          </w:tcPr>
          <w:p w14:paraId="618B1FB6"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27" w:type="dxa"/>
            <w:tcBorders>
              <w:top w:val="nil"/>
              <w:left w:val="nil"/>
              <w:bottom w:val="single" w:sz="4" w:space="0" w:color="auto"/>
              <w:right w:val="single" w:sz="4" w:space="0" w:color="auto"/>
            </w:tcBorders>
            <w:shd w:val="clear" w:color="auto" w:fill="auto"/>
            <w:noWrap/>
            <w:vAlign w:val="bottom"/>
            <w:hideMark/>
          </w:tcPr>
          <w:p w14:paraId="314C849A"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r>
      <w:tr w:rsidR="001B4EB1" w:rsidRPr="001B4EB1" w14:paraId="4D60C269" w14:textId="77777777" w:rsidTr="00285359">
        <w:trPr>
          <w:gridAfter w:val="1"/>
          <w:wAfter w:w="18" w:type="dxa"/>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727D924" w14:textId="77777777" w:rsidR="001B4EB1" w:rsidRPr="001B4EB1" w:rsidRDefault="001B4EB1" w:rsidP="001B4EB1">
            <w:pPr>
              <w:spacing w:after="0" w:line="240" w:lineRule="auto"/>
              <w:ind w:firstLineChars="400" w:firstLine="800"/>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One-Time</w:t>
            </w:r>
          </w:p>
        </w:tc>
        <w:tc>
          <w:tcPr>
            <w:tcW w:w="1170" w:type="dxa"/>
            <w:tcBorders>
              <w:top w:val="nil"/>
              <w:left w:val="nil"/>
              <w:bottom w:val="single" w:sz="4" w:space="0" w:color="auto"/>
              <w:right w:val="single" w:sz="4" w:space="0" w:color="auto"/>
            </w:tcBorders>
            <w:shd w:val="clear" w:color="auto" w:fill="auto"/>
            <w:noWrap/>
            <w:vAlign w:val="bottom"/>
            <w:hideMark/>
          </w:tcPr>
          <w:p w14:paraId="4EC23D6D"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27" w:type="dxa"/>
            <w:tcBorders>
              <w:top w:val="nil"/>
              <w:left w:val="nil"/>
              <w:bottom w:val="single" w:sz="4" w:space="0" w:color="auto"/>
              <w:right w:val="single" w:sz="4" w:space="0" w:color="auto"/>
            </w:tcBorders>
            <w:shd w:val="clear" w:color="auto" w:fill="auto"/>
            <w:noWrap/>
            <w:vAlign w:val="bottom"/>
            <w:hideMark/>
          </w:tcPr>
          <w:p w14:paraId="0CBB687A"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66" w:type="dxa"/>
            <w:tcBorders>
              <w:top w:val="nil"/>
              <w:left w:val="nil"/>
              <w:bottom w:val="single" w:sz="4" w:space="0" w:color="auto"/>
              <w:right w:val="single" w:sz="4" w:space="0" w:color="auto"/>
            </w:tcBorders>
            <w:shd w:val="clear" w:color="auto" w:fill="auto"/>
            <w:noWrap/>
            <w:vAlign w:val="bottom"/>
            <w:hideMark/>
          </w:tcPr>
          <w:p w14:paraId="0CA3B6B0"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7FA43169"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70" w:type="dxa"/>
            <w:tcBorders>
              <w:top w:val="nil"/>
              <w:left w:val="nil"/>
              <w:bottom w:val="single" w:sz="4" w:space="0" w:color="auto"/>
              <w:right w:val="single" w:sz="4" w:space="0" w:color="auto"/>
            </w:tcBorders>
            <w:shd w:val="clear" w:color="auto" w:fill="auto"/>
            <w:noWrap/>
            <w:vAlign w:val="bottom"/>
            <w:hideMark/>
          </w:tcPr>
          <w:p w14:paraId="5908812E"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27" w:type="dxa"/>
            <w:tcBorders>
              <w:top w:val="nil"/>
              <w:left w:val="nil"/>
              <w:bottom w:val="single" w:sz="4" w:space="0" w:color="auto"/>
              <w:right w:val="single" w:sz="4" w:space="0" w:color="auto"/>
            </w:tcBorders>
            <w:shd w:val="clear" w:color="auto" w:fill="auto"/>
            <w:noWrap/>
            <w:vAlign w:val="bottom"/>
            <w:hideMark/>
          </w:tcPr>
          <w:p w14:paraId="36509B40"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r>
      <w:tr w:rsidR="001B4EB1" w:rsidRPr="001B4EB1" w14:paraId="3E35CE9F" w14:textId="77777777" w:rsidTr="00285359">
        <w:trPr>
          <w:gridAfter w:val="1"/>
          <w:wAfter w:w="18" w:type="dxa"/>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140F2005" w14:textId="77777777" w:rsidR="001B4EB1" w:rsidRPr="001B4EB1" w:rsidRDefault="001B4EB1" w:rsidP="001B4EB1">
            <w:pPr>
              <w:spacing w:after="0" w:line="240" w:lineRule="auto"/>
              <w:ind w:firstLineChars="400" w:firstLine="800"/>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Recurring</w:t>
            </w:r>
          </w:p>
        </w:tc>
        <w:tc>
          <w:tcPr>
            <w:tcW w:w="1170" w:type="dxa"/>
            <w:tcBorders>
              <w:top w:val="nil"/>
              <w:left w:val="nil"/>
              <w:bottom w:val="single" w:sz="4" w:space="0" w:color="auto"/>
              <w:right w:val="single" w:sz="4" w:space="0" w:color="auto"/>
            </w:tcBorders>
            <w:shd w:val="clear" w:color="auto" w:fill="auto"/>
            <w:noWrap/>
            <w:vAlign w:val="bottom"/>
            <w:hideMark/>
          </w:tcPr>
          <w:p w14:paraId="234C2C8C"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27" w:type="dxa"/>
            <w:tcBorders>
              <w:top w:val="nil"/>
              <w:left w:val="nil"/>
              <w:bottom w:val="single" w:sz="4" w:space="0" w:color="auto"/>
              <w:right w:val="single" w:sz="4" w:space="0" w:color="auto"/>
            </w:tcBorders>
            <w:shd w:val="clear" w:color="auto" w:fill="auto"/>
            <w:noWrap/>
            <w:vAlign w:val="bottom"/>
            <w:hideMark/>
          </w:tcPr>
          <w:p w14:paraId="3C55AA56"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66" w:type="dxa"/>
            <w:tcBorders>
              <w:top w:val="nil"/>
              <w:left w:val="nil"/>
              <w:bottom w:val="single" w:sz="4" w:space="0" w:color="auto"/>
              <w:right w:val="single" w:sz="4" w:space="0" w:color="auto"/>
            </w:tcBorders>
            <w:shd w:val="clear" w:color="auto" w:fill="auto"/>
            <w:noWrap/>
            <w:vAlign w:val="bottom"/>
            <w:hideMark/>
          </w:tcPr>
          <w:p w14:paraId="3D7476EA"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3802C866"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70" w:type="dxa"/>
            <w:tcBorders>
              <w:top w:val="nil"/>
              <w:left w:val="nil"/>
              <w:bottom w:val="single" w:sz="4" w:space="0" w:color="auto"/>
              <w:right w:val="single" w:sz="4" w:space="0" w:color="auto"/>
            </w:tcBorders>
            <w:shd w:val="clear" w:color="auto" w:fill="auto"/>
            <w:noWrap/>
            <w:vAlign w:val="bottom"/>
            <w:hideMark/>
          </w:tcPr>
          <w:p w14:paraId="5DCEBF47"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c>
          <w:tcPr>
            <w:tcW w:w="1127" w:type="dxa"/>
            <w:tcBorders>
              <w:top w:val="nil"/>
              <w:left w:val="nil"/>
              <w:bottom w:val="single" w:sz="4" w:space="0" w:color="auto"/>
              <w:right w:val="single" w:sz="4" w:space="0" w:color="auto"/>
            </w:tcBorders>
            <w:shd w:val="clear" w:color="auto" w:fill="auto"/>
            <w:noWrap/>
            <w:vAlign w:val="bottom"/>
            <w:hideMark/>
          </w:tcPr>
          <w:p w14:paraId="5F8CF8E8"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w:t>
            </w:r>
          </w:p>
        </w:tc>
      </w:tr>
      <w:tr w:rsidR="001B4EB1" w:rsidRPr="001B4EB1" w14:paraId="0FECFDE3" w14:textId="77777777" w:rsidTr="00285359">
        <w:trPr>
          <w:gridAfter w:val="1"/>
          <w:wAfter w:w="18" w:type="dxa"/>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31448AA5" w14:textId="77777777" w:rsidR="001B4EB1" w:rsidRPr="001B4EB1" w:rsidRDefault="001B4EB1" w:rsidP="001B4EB1">
            <w:pPr>
              <w:spacing w:after="0" w:line="240" w:lineRule="auto"/>
              <w:rPr>
                <w:rFonts w:ascii="Calibri" w:eastAsia="Times New Roman" w:hAnsi="Calibri" w:cs="Times New Roman"/>
                <w:b/>
                <w:bCs/>
                <w:color w:val="000000"/>
                <w:sz w:val="20"/>
                <w:szCs w:val="20"/>
              </w:rPr>
            </w:pPr>
            <w:r w:rsidRPr="001B4EB1">
              <w:rPr>
                <w:rFonts w:ascii="Calibri" w:eastAsia="Times New Roman" w:hAnsi="Calibri" w:cs="Times New Roman"/>
                <w:b/>
                <w:bCs/>
                <w:color w:val="000000"/>
                <w:sz w:val="20"/>
                <w:szCs w:val="20"/>
              </w:rPr>
              <w:t>Total: Present Expected Value</w:t>
            </w:r>
          </w:p>
        </w:tc>
        <w:tc>
          <w:tcPr>
            <w:tcW w:w="1170" w:type="dxa"/>
            <w:tcBorders>
              <w:top w:val="nil"/>
              <w:left w:val="nil"/>
              <w:bottom w:val="single" w:sz="4" w:space="0" w:color="auto"/>
              <w:right w:val="single" w:sz="4" w:space="0" w:color="auto"/>
            </w:tcBorders>
            <w:shd w:val="clear" w:color="auto" w:fill="auto"/>
            <w:noWrap/>
            <w:vAlign w:val="bottom"/>
            <w:hideMark/>
          </w:tcPr>
          <w:p w14:paraId="2D87B076"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27" w:type="dxa"/>
            <w:tcBorders>
              <w:top w:val="nil"/>
              <w:left w:val="nil"/>
              <w:bottom w:val="single" w:sz="4" w:space="0" w:color="auto"/>
              <w:right w:val="single" w:sz="4" w:space="0" w:color="auto"/>
            </w:tcBorders>
            <w:shd w:val="clear" w:color="auto" w:fill="auto"/>
            <w:noWrap/>
            <w:vAlign w:val="bottom"/>
            <w:hideMark/>
          </w:tcPr>
          <w:p w14:paraId="49897483"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66" w:type="dxa"/>
            <w:tcBorders>
              <w:top w:val="nil"/>
              <w:left w:val="nil"/>
              <w:bottom w:val="single" w:sz="4" w:space="0" w:color="auto"/>
              <w:right w:val="single" w:sz="4" w:space="0" w:color="auto"/>
            </w:tcBorders>
            <w:shd w:val="clear" w:color="auto" w:fill="auto"/>
            <w:noWrap/>
            <w:vAlign w:val="bottom"/>
            <w:hideMark/>
          </w:tcPr>
          <w:p w14:paraId="394790AB"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0985CA1D"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70" w:type="dxa"/>
            <w:tcBorders>
              <w:top w:val="nil"/>
              <w:left w:val="nil"/>
              <w:bottom w:val="single" w:sz="4" w:space="0" w:color="auto"/>
              <w:right w:val="single" w:sz="4" w:space="0" w:color="auto"/>
            </w:tcBorders>
            <w:shd w:val="clear" w:color="auto" w:fill="auto"/>
            <w:noWrap/>
            <w:vAlign w:val="bottom"/>
            <w:hideMark/>
          </w:tcPr>
          <w:p w14:paraId="6CA773C7"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27" w:type="dxa"/>
            <w:tcBorders>
              <w:top w:val="nil"/>
              <w:left w:val="nil"/>
              <w:bottom w:val="single" w:sz="4" w:space="0" w:color="auto"/>
              <w:right w:val="single" w:sz="4" w:space="0" w:color="auto"/>
            </w:tcBorders>
            <w:shd w:val="clear" w:color="auto" w:fill="auto"/>
            <w:noWrap/>
            <w:vAlign w:val="bottom"/>
            <w:hideMark/>
          </w:tcPr>
          <w:p w14:paraId="6F1190CD"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r>
      <w:tr w:rsidR="001B4EB1" w:rsidRPr="001B4EB1" w14:paraId="6DA90526" w14:textId="77777777" w:rsidTr="00285359">
        <w:trPr>
          <w:gridAfter w:val="1"/>
          <w:wAfter w:w="18" w:type="dxa"/>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11D4B938" w14:textId="77777777" w:rsidR="001B4EB1" w:rsidRPr="001B4EB1" w:rsidRDefault="001B4EB1" w:rsidP="001B4EB1">
            <w:pPr>
              <w:spacing w:after="0" w:line="240" w:lineRule="auto"/>
              <w:ind w:firstLineChars="200" w:firstLine="400"/>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Benefits</w:t>
            </w:r>
          </w:p>
        </w:tc>
        <w:tc>
          <w:tcPr>
            <w:tcW w:w="1170" w:type="dxa"/>
            <w:tcBorders>
              <w:top w:val="nil"/>
              <w:left w:val="nil"/>
              <w:bottom w:val="single" w:sz="4" w:space="0" w:color="auto"/>
              <w:right w:val="single" w:sz="4" w:space="0" w:color="auto"/>
            </w:tcBorders>
            <w:shd w:val="clear" w:color="auto" w:fill="auto"/>
            <w:noWrap/>
            <w:vAlign w:val="bottom"/>
            <w:hideMark/>
          </w:tcPr>
          <w:p w14:paraId="28D26553"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$2,717,764</w:t>
            </w:r>
          </w:p>
        </w:tc>
        <w:tc>
          <w:tcPr>
            <w:tcW w:w="1127" w:type="dxa"/>
            <w:tcBorders>
              <w:top w:val="nil"/>
              <w:left w:val="nil"/>
              <w:bottom w:val="single" w:sz="4" w:space="0" w:color="auto"/>
              <w:right w:val="single" w:sz="4" w:space="0" w:color="auto"/>
            </w:tcBorders>
            <w:shd w:val="clear" w:color="auto" w:fill="auto"/>
            <w:noWrap/>
            <w:vAlign w:val="bottom"/>
            <w:hideMark/>
          </w:tcPr>
          <w:p w14:paraId="2A85DBAC"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$1,763,266</w:t>
            </w:r>
          </w:p>
        </w:tc>
        <w:tc>
          <w:tcPr>
            <w:tcW w:w="1166" w:type="dxa"/>
            <w:tcBorders>
              <w:top w:val="nil"/>
              <w:left w:val="nil"/>
              <w:bottom w:val="single" w:sz="4" w:space="0" w:color="auto"/>
              <w:right w:val="single" w:sz="4" w:space="0" w:color="auto"/>
            </w:tcBorders>
            <w:shd w:val="clear" w:color="auto" w:fill="auto"/>
            <w:noWrap/>
            <w:vAlign w:val="bottom"/>
            <w:hideMark/>
          </w:tcPr>
          <w:p w14:paraId="6C492A00"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$3,649,709</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4DDD3E01"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$6,307,376</w:t>
            </w:r>
          </w:p>
        </w:tc>
        <w:tc>
          <w:tcPr>
            <w:tcW w:w="1170" w:type="dxa"/>
            <w:tcBorders>
              <w:top w:val="nil"/>
              <w:left w:val="nil"/>
              <w:bottom w:val="single" w:sz="4" w:space="0" w:color="auto"/>
              <w:right w:val="single" w:sz="4" w:space="0" w:color="auto"/>
            </w:tcBorders>
            <w:shd w:val="clear" w:color="auto" w:fill="auto"/>
            <w:noWrap/>
            <w:vAlign w:val="bottom"/>
            <w:hideMark/>
          </w:tcPr>
          <w:p w14:paraId="3BA09DE1"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$4,557,952</w:t>
            </w:r>
          </w:p>
        </w:tc>
        <w:tc>
          <w:tcPr>
            <w:tcW w:w="1127" w:type="dxa"/>
            <w:tcBorders>
              <w:top w:val="nil"/>
              <w:left w:val="nil"/>
              <w:bottom w:val="single" w:sz="4" w:space="0" w:color="auto"/>
              <w:right w:val="single" w:sz="4" w:space="0" w:color="auto"/>
            </w:tcBorders>
            <w:shd w:val="clear" w:color="auto" w:fill="auto"/>
            <w:noWrap/>
            <w:vAlign w:val="bottom"/>
            <w:hideMark/>
          </w:tcPr>
          <w:p w14:paraId="1BD5A1B3"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$7,929,330</w:t>
            </w:r>
          </w:p>
        </w:tc>
      </w:tr>
      <w:tr w:rsidR="001B4EB1" w:rsidRPr="001B4EB1" w14:paraId="72920866" w14:textId="77777777" w:rsidTr="00285359">
        <w:trPr>
          <w:gridAfter w:val="1"/>
          <w:wAfter w:w="18" w:type="dxa"/>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08377AB2" w14:textId="77777777" w:rsidR="001B4EB1" w:rsidRPr="001B4EB1" w:rsidRDefault="001B4EB1" w:rsidP="001B4EB1">
            <w:pPr>
              <w:spacing w:after="0" w:line="240" w:lineRule="auto"/>
              <w:ind w:firstLineChars="200" w:firstLine="400"/>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Costs</w:t>
            </w:r>
          </w:p>
        </w:tc>
        <w:tc>
          <w:tcPr>
            <w:tcW w:w="1170" w:type="dxa"/>
            <w:tcBorders>
              <w:top w:val="nil"/>
              <w:left w:val="nil"/>
              <w:bottom w:val="single" w:sz="4" w:space="0" w:color="auto"/>
              <w:right w:val="single" w:sz="4" w:space="0" w:color="auto"/>
            </w:tcBorders>
            <w:shd w:val="clear" w:color="auto" w:fill="auto"/>
            <w:noWrap/>
            <w:vAlign w:val="bottom"/>
            <w:hideMark/>
          </w:tcPr>
          <w:p w14:paraId="536AA3C1"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$3,500,000</w:t>
            </w:r>
          </w:p>
        </w:tc>
        <w:tc>
          <w:tcPr>
            <w:tcW w:w="1127" w:type="dxa"/>
            <w:tcBorders>
              <w:top w:val="nil"/>
              <w:left w:val="nil"/>
              <w:bottom w:val="single" w:sz="4" w:space="0" w:color="auto"/>
              <w:right w:val="single" w:sz="4" w:space="0" w:color="auto"/>
            </w:tcBorders>
            <w:shd w:val="clear" w:color="auto" w:fill="auto"/>
            <w:noWrap/>
            <w:vAlign w:val="bottom"/>
            <w:hideMark/>
          </w:tcPr>
          <w:p w14:paraId="3D18F995"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$3,455,304</w:t>
            </w:r>
          </w:p>
        </w:tc>
        <w:tc>
          <w:tcPr>
            <w:tcW w:w="1166" w:type="dxa"/>
            <w:tcBorders>
              <w:top w:val="nil"/>
              <w:left w:val="nil"/>
              <w:bottom w:val="single" w:sz="4" w:space="0" w:color="auto"/>
              <w:right w:val="single" w:sz="4" w:space="0" w:color="auto"/>
            </w:tcBorders>
            <w:shd w:val="clear" w:color="auto" w:fill="auto"/>
            <w:noWrap/>
            <w:vAlign w:val="bottom"/>
            <w:hideMark/>
          </w:tcPr>
          <w:p w14:paraId="022B9423"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$4,297,839</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5CDEAF5F"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$7,559,000</w:t>
            </w:r>
          </w:p>
        </w:tc>
        <w:tc>
          <w:tcPr>
            <w:tcW w:w="1170" w:type="dxa"/>
            <w:tcBorders>
              <w:top w:val="nil"/>
              <w:left w:val="nil"/>
              <w:bottom w:val="single" w:sz="4" w:space="0" w:color="auto"/>
              <w:right w:val="single" w:sz="4" w:space="0" w:color="auto"/>
            </w:tcBorders>
            <w:shd w:val="clear" w:color="auto" w:fill="auto"/>
            <w:noWrap/>
            <w:vAlign w:val="bottom"/>
            <w:hideMark/>
          </w:tcPr>
          <w:p w14:paraId="65FAB33E"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$7,495,841</w:t>
            </w:r>
          </w:p>
        </w:tc>
        <w:tc>
          <w:tcPr>
            <w:tcW w:w="1127" w:type="dxa"/>
            <w:tcBorders>
              <w:top w:val="nil"/>
              <w:left w:val="nil"/>
              <w:bottom w:val="single" w:sz="4" w:space="0" w:color="auto"/>
              <w:right w:val="single" w:sz="4" w:space="0" w:color="auto"/>
            </w:tcBorders>
            <w:shd w:val="clear" w:color="auto" w:fill="auto"/>
            <w:noWrap/>
            <w:vAlign w:val="bottom"/>
            <w:hideMark/>
          </w:tcPr>
          <w:p w14:paraId="5DBB394C"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$8,749,153</w:t>
            </w:r>
          </w:p>
        </w:tc>
      </w:tr>
      <w:tr w:rsidR="001B4EB1" w:rsidRPr="001B4EB1" w14:paraId="34CAE99D" w14:textId="77777777" w:rsidTr="00285359">
        <w:trPr>
          <w:gridAfter w:val="1"/>
          <w:wAfter w:w="18" w:type="dxa"/>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6759318E" w14:textId="77777777" w:rsidR="001B4EB1" w:rsidRPr="001B4EB1" w:rsidRDefault="001B4EB1" w:rsidP="001B4EB1">
            <w:pPr>
              <w:spacing w:after="0" w:line="240" w:lineRule="auto"/>
              <w:ind w:firstLineChars="200" w:firstLine="400"/>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Net</w:t>
            </w:r>
          </w:p>
        </w:tc>
        <w:tc>
          <w:tcPr>
            <w:tcW w:w="1170" w:type="dxa"/>
            <w:tcBorders>
              <w:top w:val="nil"/>
              <w:left w:val="nil"/>
              <w:bottom w:val="single" w:sz="4" w:space="0" w:color="auto"/>
              <w:right w:val="single" w:sz="4" w:space="0" w:color="auto"/>
            </w:tcBorders>
            <w:shd w:val="clear" w:color="auto" w:fill="auto"/>
            <w:noWrap/>
            <w:vAlign w:val="bottom"/>
            <w:hideMark/>
          </w:tcPr>
          <w:p w14:paraId="63CF0234"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FF0000"/>
                <w:sz w:val="20"/>
                <w:szCs w:val="20"/>
              </w:rPr>
              <w:t>$782,236</w:t>
            </w:r>
          </w:p>
        </w:tc>
        <w:tc>
          <w:tcPr>
            <w:tcW w:w="1127" w:type="dxa"/>
            <w:tcBorders>
              <w:top w:val="nil"/>
              <w:left w:val="nil"/>
              <w:bottom w:val="single" w:sz="4" w:space="0" w:color="auto"/>
              <w:right w:val="single" w:sz="4" w:space="0" w:color="auto"/>
            </w:tcBorders>
            <w:shd w:val="clear" w:color="auto" w:fill="auto"/>
            <w:noWrap/>
            <w:vAlign w:val="bottom"/>
            <w:hideMark/>
          </w:tcPr>
          <w:p w14:paraId="17947B21"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FF0000"/>
                <w:sz w:val="20"/>
                <w:szCs w:val="20"/>
              </w:rPr>
              <w:t>$2,149,233</w:t>
            </w:r>
          </w:p>
        </w:tc>
        <w:tc>
          <w:tcPr>
            <w:tcW w:w="1166" w:type="dxa"/>
            <w:tcBorders>
              <w:top w:val="nil"/>
              <w:left w:val="nil"/>
              <w:bottom w:val="single" w:sz="4" w:space="0" w:color="auto"/>
              <w:right w:val="single" w:sz="4" w:space="0" w:color="auto"/>
            </w:tcBorders>
            <w:shd w:val="clear" w:color="auto" w:fill="auto"/>
            <w:noWrap/>
            <w:vAlign w:val="bottom"/>
            <w:hideMark/>
          </w:tcPr>
          <w:p w14:paraId="36446C98"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FF0000"/>
                <w:sz w:val="20"/>
                <w:szCs w:val="20"/>
              </w:rPr>
              <w:t>$63,902</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7A06C142"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FF0000"/>
                <w:sz w:val="20"/>
                <w:szCs w:val="20"/>
              </w:rPr>
              <w:t>$1,251,624</w:t>
            </w:r>
          </w:p>
        </w:tc>
        <w:tc>
          <w:tcPr>
            <w:tcW w:w="1170" w:type="dxa"/>
            <w:tcBorders>
              <w:top w:val="nil"/>
              <w:left w:val="nil"/>
              <w:bottom w:val="single" w:sz="4" w:space="0" w:color="auto"/>
              <w:right w:val="single" w:sz="4" w:space="0" w:color="auto"/>
            </w:tcBorders>
            <w:shd w:val="clear" w:color="auto" w:fill="auto"/>
            <w:noWrap/>
            <w:vAlign w:val="bottom"/>
            <w:hideMark/>
          </w:tcPr>
          <w:p w14:paraId="7030EA19"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FF0000"/>
                <w:sz w:val="20"/>
                <w:szCs w:val="20"/>
              </w:rPr>
              <w:t>$3,562,479</w:t>
            </w:r>
          </w:p>
        </w:tc>
        <w:tc>
          <w:tcPr>
            <w:tcW w:w="1127" w:type="dxa"/>
            <w:tcBorders>
              <w:top w:val="nil"/>
              <w:left w:val="nil"/>
              <w:bottom w:val="single" w:sz="4" w:space="0" w:color="auto"/>
              <w:right w:val="single" w:sz="4" w:space="0" w:color="auto"/>
            </w:tcBorders>
            <w:shd w:val="clear" w:color="auto" w:fill="auto"/>
            <w:noWrap/>
            <w:vAlign w:val="bottom"/>
            <w:hideMark/>
          </w:tcPr>
          <w:p w14:paraId="1F91BB4B"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FF0000"/>
                <w:sz w:val="20"/>
                <w:szCs w:val="20"/>
              </w:rPr>
              <w:t>$31,779</w:t>
            </w:r>
          </w:p>
        </w:tc>
      </w:tr>
      <w:tr w:rsidR="001B4EB1" w:rsidRPr="001B4EB1" w14:paraId="6929E0DD" w14:textId="77777777" w:rsidTr="00285359">
        <w:trPr>
          <w:gridAfter w:val="1"/>
          <w:wAfter w:w="18" w:type="dxa"/>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6770FCCE" w14:textId="77777777" w:rsidR="001B4EB1" w:rsidRPr="001B4EB1" w:rsidRDefault="001B4EB1" w:rsidP="001B4EB1">
            <w:pPr>
              <w:spacing w:after="0" w:line="240" w:lineRule="auto"/>
              <w:ind w:firstLineChars="200" w:firstLine="400"/>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Net with Externalities</w:t>
            </w:r>
          </w:p>
        </w:tc>
        <w:tc>
          <w:tcPr>
            <w:tcW w:w="1170" w:type="dxa"/>
            <w:tcBorders>
              <w:top w:val="nil"/>
              <w:left w:val="nil"/>
              <w:bottom w:val="single" w:sz="4" w:space="0" w:color="auto"/>
              <w:right w:val="single" w:sz="4" w:space="0" w:color="auto"/>
            </w:tcBorders>
            <w:shd w:val="clear" w:color="auto" w:fill="auto"/>
            <w:noWrap/>
            <w:vAlign w:val="bottom"/>
            <w:hideMark/>
          </w:tcPr>
          <w:p w14:paraId="749F63B1"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FF0000"/>
                <w:sz w:val="20"/>
                <w:szCs w:val="20"/>
              </w:rPr>
              <w:t>$782,236</w:t>
            </w:r>
          </w:p>
        </w:tc>
        <w:tc>
          <w:tcPr>
            <w:tcW w:w="1127" w:type="dxa"/>
            <w:tcBorders>
              <w:top w:val="nil"/>
              <w:left w:val="nil"/>
              <w:bottom w:val="single" w:sz="4" w:space="0" w:color="auto"/>
              <w:right w:val="single" w:sz="4" w:space="0" w:color="auto"/>
            </w:tcBorders>
            <w:shd w:val="clear" w:color="auto" w:fill="auto"/>
            <w:noWrap/>
            <w:vAlign w:val="bottom"/>
            <w:hideMark/>
          </w:tcPr>
          <w:p w14:paraId="21C07CFB"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FF0000"/>
                <w:sz w:val="20"/>
                <w:szCs w:val="20"/>
              </w:rPr>
              <w:t>$2,149,233</w:t>
            </w:r>
          </w:p>
        </w:tc>
        <w:tc>
          <w:tcPr>
            <w:tcW w:w="1166" w:type="dxa"/>
            <w:tcBorders>
              <w:top w:val="nil"/>
              <w:left w:val="nil"/>
              <w:bottom w:val="single" w:sz="4" w:space="0" w:color="auto"/>
              <w:right w:val="single" w:sz="4" w:space="0" w:color="auto"/>
            </w:tcBorders>
            <w:shd w:val="clear" w:color="auto" w:fill="auto"/>
            <w:noWrap/>
            <w:vAlign w:val="bottom"/>
            <w:hideMark/>
          </w:tcPr>
          <w:p w14:paraId="70877070"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FF0000"/>
                <w:sz w:val="20"/>
                <w:szCs w:val="20"/>
              </w:rPr>
              <w:t>$63,902</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16F16EED"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$1,545,012</w:t>
            </w:r>
          </w:p>
        </w:tc>
        <w:tc>
          <w:tcPr>
            <w:tcW w:w="1170" w:type="dxa"/>
            <w:tcBorders>
              <w:top w:val="nil"/>
              <w:left w:val="nil"/>
              <w:bottom w:val="single" w:sz="4" w:space="0" w:color="auto"/>
              <w:right w:val="single" w:sz="4" w:space="0" w:color="auto"/>
            </w:tcBorders>
            <w:shd w:val="clear" w:color="auto" w:fill="auto"/>
            <w:noWrap/>
            <w:vAlign w:val="bottom"/>
            <w:hideMark/>
          </w:tcPr>
          <w:p w14:paraId="473945DA"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FF0000"/>
                <w:sz w:val="20"/>
                <w:szCs w:val="20"/>
              </w:rPr>
              <w:t>$960,569</w:t>
            </w:r>
          </w:p>
        </w:tc>
        <w:tc>
          <w:tcPr>
            <w:tcW w:w="1127" w:type="dxa"/>
            <w:tcBorders>
              <w:top w:val="nil"/>
              <w:left w:val="nil"/>
              <w:bottom w:val="single" w:sz="4" w:space="0" w:color="auto"/>
              <w:right w:val="single" w:sz="4" w:space="0" w:color="auto"/>
            </w:tcBorders>
            <w:shd w:val="clear" w:color="auto" w:fill="auto"/>
            <w:noWrap/>
            <w:vAlign w:val="bottom"/>
            <w:hideMark/>
          </w:tcPr>
          <w:p w14:paraId="7B39882B"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$2,825,505</w:t>
            </w:r>
          </w:p>
        </w:tc>
      </w:tr>
      <w:tr w:rsidR="001B4EB1" w:rsidRPr="001B4EB1" w14:paraId="6C4EAF69" w14:textId="77777777" w:rsidTr="00285359">
        <w:trPr>
          <w:gridAfter w:val="1"/>
          <w:wAfter w:w="18" w:type="dxa"/>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06A4793F" w14:textId="77777777" w:rsidR="001B4EB1" w:rsidRPr="001B4EB1" w:rsidRDefault="001B4EB1" w:rsidP="001B4EB1">
            <w:pPr>
              <w:spacing w:after="0" w:line="240" w:lineRule="auto"/>
              <w:rPr>
                <w:rFonts w:ascii="Calibri" w:eastAsia="Times New Roman" w:hAnsi="Calibri" w:cs="Times New Roman"/>
                <w:b/>
                <w:bCs/>
                <w:color w:val="000000"/>
                <w:sz w:val="20"/>
                <w:szCs w:val="20"/>
              </w:rPr>
            </w:pPr>
            <w:r w:rsidRPr="001B4EB1">
              <w:rPr>
                <w:rFonts w:ascii="Calibri" w:eastAsia="Times New Roman" w:hAnsi="Calibri" w:cs="Times New Roman"/>
                <w:b/>
                <w:bCs/>
                <w:color w:val="000000"/>
                <w:sz w:val="20"/>
                <w:szCs w:val="20"/>
              </w:rPr>
              <w:t>Other Economic Indicators</w:t>
            </w:r>
          </w:p>
        </w:tc>
        <w:tc>
          <w:tcPr>
            <w:tcW w:w="1170" w:type="dxa"/>
            <w:tcBorders>
              <w:top w:val="nil"/>
              <w:left w:val="nil"/>
              <w:bottom w:val="single" w:sz="4" w:space="0" w:color="auto"/>
              <w:right w:val="single" w:sz="4" w:space="0" w:color="auto"/>
            </w:tcBorders>
            <w:shd w:val="clear" w:color="auto" w:fill="auto"/>
            <w:noWrap/>
            <w:vAlign w:val="bottom"/>
            <w:hideMark/>
          </w:tcPr>
          <w:p w14:paraId="6ECC1C22"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27" w:type="dxa"/>
            <w:tcBorders>
              <w:top w:val="nil"/>
              <w:left w:val="nil"/>
              <w:bottom w:val="single" w:sz="4" w:space="0" w:color="auto"/>
              <w:right w:val="single" w:sz="4" w:space="0" w:color="auto"/>
            </w:tcBorders>
            <w:shd w:val="clear" w:color="auto" w:fill="auto"/>
            <w:noWrap/>
            <w:vAlign w:val="bottom"/>
            <w:hideMark/>
          </w:tcPr>
          <w:p w14:paraId="276031AC"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66" w:type="dxa"/>
            <w:tcBorders>
              <w:top w:val="nil"/>
              <w:left w:val="nil"/>
              <w:bottom w:val="single" w:sz="4" w:space="0" w:color="auto"/>
              <w:right w:val="single" w:sz="4" w:space="0" w:color="auto"/>
            </w:tcBorders>
            <w:shd w:val="clear" w:color="auto" w:fill="auto"/>
            <w:noWrap/>
            <w:vAlign w:val="bottom"/>
            <w:hideMark/>
          </w:tcPr>
          <w:p w14:paraId="305E6DED"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31ABD9CA"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70" w:type="dxa"/>
            <w:tcBorders>
              <w:top w:val="nil"/>
              <w:left w:val="nil"/>
              <w:bottom w:val="single" w:sz="4" w:space="0" w:color="auto"/>
              <w:right w:val="single" w:sz="4" w:space="0" w:color="auto"/>
            </w:tcBorders>
            <w:shd w:val="clear" w:color="auto" w:fill="auto"/>
            <w:noWrap/>
            <w:vAlign w:val="bottom"/>
            <w:hideMark/>
          </w:tcPr>
          <w:p w14:paraId="28CEF92B"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c>
          <w:tcPr>
            <w:tcW w:w="1127" w:type="dxa"/>
            <w:tcBorders>
              <w:top w:val="nil"/>
              <w:left w:val="nil"/>
              <w:bottom w:val="single" w:sz="4" w:space="0" w:color="auto"/>
              <w:right w:val="single" w:sz="4" w:space="0" w:color="auto"/>
            </w:tcBorders>
            <w:shd w:val="clear" w:color="auto" w:fill="auto"/>
            <w:noWrap/>
            <w:vAlign w:val="bottom"/>
            <w:hideMark/>
          </w:tcPr>
          <w:p w14:paraId="2739B7D8" w14:textId="77777777" w:rsidR="001B4EB1" w:rsidRPr="001B4EB1" w:rsidRDefault="001B4EB1" w:rsidP="001B4EB1">
            <w:pPr>
              <w:spacing w:after="0" w:line="240" w:lineRule="auto"/>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 </w:t>
            </w:r>
          </w:p>
        </w:tc>
      </w:tr>
      <w:tr w:rsidR="001B4EB1" w:rsidRPr="001B4EB1" w14:paraId="5D9603EE" w14:textId="77777777" w:rsidTr="00285359">
        <w:trPr>
          <w:gridAfter w:val="1"/>
          <w:wAfter w:w="18" w:type="dxa"/>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21AC3619" w14:textId="77777777" w:rsidR="001B4EB1" w:rsidRPr="001B4EB1" w:rsidRDefault="001B4EB1" w:rsidP="001B4EB1">
            <w:pPr>
              <w:spacing w:after="0" w:line="240" w:lineRule="auto"/>
              <w:ind w:firstLineChars="200" w:firstLine="400"/>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Savings-to-Investment Ratio</w:t>
            </w:r>
          </w:p>
        </w:tc>
        <w:tc>
          <w:tcPr>
            <w:tcW w:w="1170" w:type="dxa"/>
            <w:tcBorders>
              <w:top w:val="nil"/>
              <w:left w:val="nil"/>
              <w:bottom w:val="single" w:sz="4" w:space="0" w:color="auto"/>
              <w:right w:val="single" w:sz="4" w:space="0" w:color="auto"/>
            </w:tcBorders>
            <w:shd w:val="clear" w:color="auto" w:fill="auto"/>
            <w:noWrap/>
            <w:vAlign w:val="bottom"/>
            <w:hideMark/>
          </w:tcPr>
          <w:p w14:paraId="66A426BC"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-0.22</w:t>
            </w:r>
          </w:p>
        </w:tc>
        <w:tc>
          <w:tcPr>
            <w:tcW w:w="1127" w:type="dxa"/>
            <w:tcBorders>
              <w:top w:val="nil"/>
              <w:left w:val="nil"/>
              <w:bottom w:val="single" w:sz="4" w:space="0" w:color="auto"/>
              <w:right w:val="single" w:sz="4" w:space="0" w:color="auto"/>
            </w:tcBorders>
            <w:shd w:val="clear" w:color="auto" w:fill="auto"/>
            <w:noWrap/>
            <w:vAlign w:val="bottom"/>
            <w:hideMark/>
          </w:tcPr>
          <w:p w14:paraId="426EE957"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-0.54</w:t>
            </w:r>
          </w:p>
        </w:tc>
        <w:tc>
          <w:tcPr>
            <w:tcW w:w="1166" w:type="dxa"/>
            <w:tcBorders>
              <w:top w:val="nil"/>
              <w:left w:val="nil"/>
              <w:bottom w:val="single" w:sz="4" w:space="0" w:color="auto"/>
              <w:right w:val="single" w:sz="4" w:space="0" w:color="auto"/>
            </w:tcBorders>
            <w:shd w:val="clear" w:color="auto" w:fill="auto"/>
            <w:noWrap/>
            <w:vAlign w:val="bottom"/>
            <w:hideMark/>
          </w:tcPr>
          <w:p w14:paraId="33FA8FCA"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-0.02</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2E6B026A"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-0.18</w:t>
            </w:r>
          </w:p>
        </w:tc>
        <w:tc>
          <w:tcPr>
            <w:tcW w:w="1170" w:type="dxa"/>
            <w:tcBorders>
              <w:top w:val="nil"/>
              <w:left w:val="nil"/>
              <w:bottom w:val="single" w:sz="4" w:space="0" w:color="auto"/>
              <w:right w:val="single" w:sz="4" w:space="0" w:color="auto"/>
            </w:tcBorders>
            <w:shd w:val="clear" w:color="auto" w:fill="auto"/>
            <w:noWrap/>
            <w:vAlign w:val="bottom"/>
            <w:hideMark/>
          </w:tcPr>
          <w:p w14:paraId="5A4861AA"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-0.46</w:t>
            </w:r>
          </w:p>
        </w:tc>
        <w:tc>
          <w:tcPr>
            <w:tcW w:w="1127" w:type="dxa"/>
            <w:tcBorders>
              <w:top w:val="nil"/>
              <w:left w:val="nil"/>
              <w:bottom w:val="single" w:sz="4" w:space="0" w:color="auto"/>
              <w:right w:val="single" w:sz="4" w:space="0" w:color="auto"/>
            </w:tcBorders>
            <w:shd w:val="clear" w:color="auto" w:fill="auto"/>
            <w:noWrap/>
            <w:vAlign w:val="bottom"/>
            <w:hideMark/>
          </w:tcPr>
          <w:p w14:paraId="25D7A9B3"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0.00</w:t>
            </w:r>
          </w:p>
        </w:tc>
      </w:tr>
      <w:tr w:rsidR="001B4EB1" w:rsidRPr="001B4EB1" w14:paraId="4D2E5AA5" w14:textId="77777777" w:rsidTr="00285359">
        <w:trPr>
          <w:gridAfter w:val="1"/>
          <w:wAfter w:w="18" w:type="dxa"/>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5F219B60" w14:textId="77777777" w:rsidR="001B4EB1" w:rsidRPr="001B4EB1" w:rsidRDefault="001B4EB1" w:rsidP="001B4EB1">
            <w:pPr>
              <w:spacing w:after="0" w:line="240" w:lineRule="auto"/>
              <w:ind w:firstLineChars="200" w:firstLine="400"/>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Internal Rate of Return (%)</w:t>
            </w:r>
          </w:p>
        </w:tc>
        <w:tc>
          <w:tcPr>
            <w:tcW w:w="1170" w:type="dxa"/>
            <w:tcBorders>
              <w:top w:val="nil"/>
              <w:left w:val="nil"/>
              <w:bottom w:val="single" w:sz="4" w:space="0" w:color="auto"/>
              <w:right w:val="single" w:sz="4" w:space="0" w:color="auto"/>
            </w:tcBorders>
            <w:shd w:val="clear" w:color="auto" w:fill="auto"/>
            <w:noWrap/>
            <w:vAlign w:val="bottom"/>
            <w:hideMark/>
          </w:tcPr>
          <w:p w14:paraId="27528A84"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3.45</w:t>
            </w:r>
          </w:p>
        </w:tc>
        <w:tc>
          <w:tcPr>
            <w:tcW w:w="1127" w:type="dxa"/>
            <w:tcBorders>
              <w:top w:val="nil"/>
              <w:left w:val="nil"/>
              <w:bottom w:val="single" w:sz="4" w:space="0" w:color="auto"/>
              <w:right w:val="single" w:sz="4" w:space="0" w:color="auto"/>
            </w:tcBorders>
            <w:shd w:val="clear" w:color="auto" w:fill="auto"/>
            <w:noWrap/>
            <w:vAlign w:val="bottom"/>
            <w:hideMark/>
          </w:tcPr>
          <w:p w14:paraId="2498BF39"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0.84</w:t>
            </w:r>
          </w:p>
        </w:tc>
        <w:tc>
          <w:tcPr>
            <w:tcW w:w="1166" w:type="dxa"/>
            <w:tcBorders>
              <w:top w:val="nil"/>
              <w:left w:val="nil"/>
              <w:bottom w:val="single" w:sz="4" w:space="0" w:color="auto"/>
              <w:right w:val="single" w:sz="4" w:space="0" w:color="auto"/>
            </w:tcBorders>
            <w:shd w:val="clear" w:color="auto" w:fill="auto"/>
            <w:noWrap/>
            <w:vAlign w:val="bottom"/>
            <w:hideMark/>
          </w:tcPr>
          <w:p w14:paraId="12ECBC4F"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4.87</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1F00EAEF"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3.79</w:t>
            </w:r>
          </w:p>
        </w:tc>
        <w:tc>
          <w:tcPr>
            <w:tcW w:w="1170" w:type="dxa"/>
            <w:tcBorders>
              <w:top w:val="nil"/>
              <w:left w:val="nil"/>
              <w:bottom w:val="single" w:sz="4" w:space="0" w:color="auto"/>
              <w:right w:val="single" w:sz="4" w:space="0" w:color="auto"/>
            </w:tcBorders>
            <w:shd w:val="clear" w:color="auto" w:fill="auto"/>
            <w:noWrap/>
            <w:vAlign w:val="bottom"/>
            <w:hideMark/>
          </w:tcPr>
          <w:p w14:paraId="01418A33"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1.61</w:t>
            </w:r>
          </w:p>
        </w:tc>
        <w:tc>
          <w:tcPr>
            <w:tcW w:w="1127" w:type="dxa"/>
            <w:tcBorders>
              <w:top w:val="nil"/>
              <w:left w:val="nil"/>
              <w:bottom w:val="single" w:sz="4" w:space="0" w:color="auto"/>
              <w:right w:val="single" w:sz="4" w:space="0" w:color="auto"/>
            </w:tcBorders>
            <w:shd w:val="clear" w:color="auto" w:fill="auto"/>
            <w:noWrap/>
            <w:vAlign w:val="bottom"/>
            <w:hideMark/>
          </w:tcPr>
          <w:p w14:paraId="4A5F82EB"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4.97</w:t>
            </w:r>
          </w:p>
        </w:tc>
      </w:tr>
      <w:tr w:rsidR="001B4EB1" w:rsidRPr="001B4EB1" w14:paraId="2E82E4F9" w14:textId="77777777" w:rsidTr="00285359">
        <w:trPr>
          <w:gridAfter w:val="1"/>
          <w:wAfter w:w="18" w:type="dxa"/>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0658591E" w14:textId="77777777" w:rsidR="001B4EB1" w:rsidRPr="001B4EB1" w:rsidRDefault="001B4EB1" w:rsidP="001B4EB1">
            <w:pPr>
              <w:spacing w:after="0" w:line="240" w:lineRule="auto"/>
              <w:ind w:firstLineChars="200" w:firstLine="400"/>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Return on Investment (%)</w:t>
            </w:r>
          </w:p>
        </w:tc>
        <w:tc>
          <w:tcPr>
            <w:tcW w:w="1170" w:type="dxa"/>
            <w:tcBorders>
              <w:top w:val="nil"/>
              <w:left w:val="nil"/>
              <w:bottom w:val="single" w:sz="4" w:space="0" w:color="auto"/>
              <w:right w:val="single" w:sz="4" w:space="0" w:color="auto"/>
            </w:tcBorders>
            <w:shd w:val="clear" w:color="auto" w:fill="auto"/>
            <w:noWrap/>
            <w:vAlign w:val="bottom"/>
            <w:hideMark/>
          </w:tcPr>
          <w:p w14:paraId="065F79F7"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1.55</w:t>
            </w:r>
          </w:p>
        </w:tc>
        <w:tc>
          <w:tcPr>
            <w:tcW w:w="1127" w:type="dxa"/>
            <w:tcBorders>
              <w:top w:val="nil"/>
              <w:left w:val="nil"/>
              <w:bottom w:val="single" w:sz="4" w:space="0" w:color="auto"/>
              <w:right w:val="single" w:sz="4" w:space="0" w:color="auto"/>
            </w:tcBorders>
            <w:shd w:val="clear" w:color="auto" w:fill="auto"/>
            <w:noWrap/>
            <w:vAlign w:val="bottom"/>
            <w:hideMark/>
          </w:tcPr>
          <w:p w14:paraId="17D6B6B3"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0.92</w:t>
            </w:r>
          </w:p>
        </w:tc>
        <w:tc>
          <w:tcPr>
            <w:tcW w:w="1166" w:type="dxa"/>
            <w:tcBorders>
              <w:top w:val="nil"/>
              <w:left w:val="nil"/>
              <w:bottom w:val="single" w:sz="4" w:space="0" w:color="auto"/>
              <w:right w:val="single" w:sz="4" w:space="0" w:color="auto"/>
            </w:tcBorders>
            <w:shd w:val="clear" w:color="auto" w:fill="auto"/>
            <w:noWrap/>
            <w:vAlign w:val="bottom"/>
            <w:hideMark/>
          </w:tcPr>
          <w:p w14:paraId="232BACD2"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1.96</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5D91CC2E"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1.67</w:t>
            </w:r>
          </w:p>
        </w:tc>
        <w:tc>
          <w:tcPr>
            <w:tcW w:w="1170" w:type="dxa"/>
            <w:tcBorders>
              <w:top w:val="nil"/>
              <w:left w:val="nil"/>
              <w:bottom w:val="single" w:sz="4" w:space="0" w:color="auto"/>
              <w:right w:val="single" w:sz="4" w:space="0" w:color="auto"/>
            </w:tcBorders>
            <w:shd w:val="clear" w:color="auto" w:fill="auto"/>
            <w:noWrap/>
            <w:vAlign w:val="bottom"/>
            <w:hideMark/>
          </w:tcPr>
          <w:p w14:paraId="3D52DD06"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1.14</w:t>
            </w:r>
          </w:p>
        </w:tc>
        <w:tc>
          <w:tcPr>
            <w:tcW w:w="1127" w:type="dxa"/>
            <w:tcBorders>
              <w:top w:val="nil"/>
              <w:left w:val="nil"/>
              <w:bottom w:val="single" w:sz="4" w:space="0" w:color="auto"/>
              <w:right w:val="single" w:sz="4" w:space="0" w:color="auto"/>
            </w:tcBorders>
            <w:shd w:val="clear" w:color="auto" w:fill="auto"/>
            <w:noWrap/>
            <w:vAlign w:val="bottom"/>
            <w:hideMark/>
          </w:tcPr>
          <w:p w14:paraId="2EF600A1"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1.99</w:t>
            </w:r>
          </w:p>
        </w:tc>
      </w:tr>
      <w:tr w:rsidR="001B4EB1" w:rsidRPr="001B4EB1" w14:paraId="45693EDF" w14:textId="77777777" w:rsidTr="00285359">
        <w:trPr>
          <w:gridAfter w:val="1"/>
          <w:wAfter w:w="18" w:type="dxa"/>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6E96FF0B" w14:textId="77777777" w:rsidR="001B4EB1" w:rsidRPr="001B4EB1" w:rsidRDefault="001B4EB1" w:rsidP="001B4EB1">
            <w:pPr>
              <w:spacing w:after="0" w:line="240" w:lineRule="auto"/>
              <w:ind w:firstLineChars="200" w:firstLine="400"/>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Non-Disaster ROI (%)</w:t>
            </w:r>
          </w:p>
        </w:tc>
        <w:tc>
          <w:tcPr>
            <w:tcW w:w="1170" w:type="dxa"/>
            <w:tcBorders>
              <w:top w:val="nil"/>
              <w:left w:val="nil"/>
              <w:bottom w:val="single" w:sz="4" w:space="0" w:color="auto"/>
              <w:right w:val="single" w:sz="4" w:space="0" w:color="auto"/>
            </w:tcBorders>
            <w:shd w:val="clear" w:color="auto" w:fill="auto"/>
            <w:noWrap/>
            <w:vAlign w:val="bottom"/>
            <w:hideMark/>
          </w:tcPr>
          <w:p w14:paraId="31C339FD"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0.00</w:t>
            </w:r>
          </w:p>
        </w:tc>
        <w:tc>
          <w:tcPr>
            <w:tcW w:w="1127" w:type="dxa"/>
            <w:tcBorders>
              <w:top w:val="nil"/>
              <w:left w:val="nil"/>
              <w:bottom w:val="single" w:sz="4" w:space="0" w:color="auto"/>
              <w:right w:val="single" w:sz="4" w:space="0" w:color="auto"/>
            </w:tcBorders>
            <w:shd w:val="clear" w:color="auto" w:fill="auto"/>
            <w:noWrap/>
            <w:vAlign w:val="bottom"/>
            <w:hideMark/>
          </w:tcPr>
          <w:p w14:paraId="29947574"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0.00</w:t>
            </w:r>
          </w:p>
        </w:tc>
        <w:tc>
          <w:tcPr>
            <w:tcW w:w="1166" w:type="dxa"/>
            <w:tcBorders>
              <w:top w:val="nil"/>
              <w:left w:val="nil"/>
              <w:bottom w:val="single" w:sz="4" w:space="0" w:color="auto"/>
              <w:right w:val="single" w:sz="4" w:space="0" w:color="auto"/>
            </w:tcBorders>
            <w:shd w:val="clear" w:color="auto" w:fill="auto"/>
            <w:noWrap/>
            <w:vAlign w:val="bottom"/>
            <w:hideMark/>
          </w:tcPr>
          <w:p w14:paraId="3F6AB51D"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0.00</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7BB2E86E"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0.47</w:t>
            </w:r>
          </w:p>
        </w:tc>
        <w:tc>
          <w:tcPr>
            <w:tcW w:w="1170" w:type="dxa"/>
            <w:tcBorders>
              <w:top w:val="nil"/>
              <w:left w:val="nil"/>
              <w:bottom w:val="single" w:sz="4" w:space="0" w:color="auto"/>
              <w:right w:val="single" w:sz="4" w:space="0" w:color="auto"/>
            </w:tcBorders>
            <w:shd w:val="clear" w:color="auto" w:fill="auto"/>
            <w:noWrap/>
            <w:vAlign w:val="bottom"/>
            <w:hideMark/>
          </w:tcPr>
          <w:p w14:paraId="198BCE6E"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0.33</w:t>
            </w:r>
          </w:p>
        </w:tc>
        <w:tc>
          <w:tcPr>
            <w:tcW w:w="1127" w:type="dxa"/>
            <w:tcBorders>
              <w:top w:val="nil"/>
              <w:left w:val="nil"/>
              <w:bottom w:val="single" w:sz="4" w:space="0" w:color="auto"/>
              <w:right w:val="single" w:sz="4" w:space="0" w:color="auto"/>
            </w:tcBorders>
            <w:shd w:val="clear" w:color="auto" w:fill="auto"/>
            <w:noWrap/>
            <w:vAlign w:val="bottom"/>
            <w:hideMark/>
          </w:tcPr>
          <w:p w14:paraId="237B1F37" w14:textId="77777777" w:rsidR="001B4EB1" w:rsidRPr="001B4EB1" w:rsidRDefault="001B4EB1" w:rsidP="001B4EB1">
            <w:pPr>
              <w:spacing w:after="0" w:line="240" w:lineRule="auto"/>
              <w:jc w:val="right"/>
              <w:rPr>
                <w:rFonts w:ascii="Calibri" w:eastAsia="Times New Roman" w:hAnsi="Calibri" w:cs="Times New Roman"/>
                <w:color w:val="000000"/>
                <w:sz w:val="20"/>
                <w:szCs w:val="20"/>
              </w:rPr>
            </w:pPr>
            <w:r w:rsidRPr="001B4EB1">
              <w:rPr>
                <w:rFonts w:ascii="Calibri" w:eastAsia="Times New Roman" w:hAnsi="Calibri" w:cs="Times New Roman"/>
                <w:color w:val="000000"/>
                <w:sz w:val="20"/>
                <w:szCs w:val="20"/>
              </w:rPr>
              <w:t>0.51</w:t>
            </w:r>
          </w:p>
        </w:tc>
      </w:tr>
    </w:tbl>
    <w:p w14:paraId="3F8439DA" w14:textId="4EAC3876" w:rsidR="003B5C79" w:rsidRDefault="003B5C79" w:rsidP="002924AF"/>
    <w:p w14:paraId="0E4DDD92" w14:textId="58A550EF" w:rsidR="00C5744C" w:rsidRDefault="00C5744C" w:rsidP="002924AF">
      <w:pPr>
        <w:rPr>
          <w:b/>
        </w:rPr>
      </w:pPr>
      <w:r w:rsidRPr="00C5744C">
        <w:rPr>
          <w:b/>
        </w:rPr>
        <w:t>Notes on the Output Values</w:t>
      </w:r>
    </w:p>
    <w:p w14:paraId="591ED82F" w14:textId="331FE5AB" w:rsidR="00C5744C" w:rsidRPr="00285359" w:rsidRDefault="00285359" w:rsidP="002924AF">
      <w:r>
        <w:lastRenderedPageBreak/>
        <w:t xml:space="preserve">The output in </w:t>
      </w:r>
      <w:r>
        <w:fldChar w:fldCharType="begin"/>
      </w:r>
      <w:r>
        <w:instrText xml:space="preserve"> REF _Ref487793047 \h </w:instrText>
      </w:r>
      <w:r>
        <w:fldChar w:fldCharType="separate"/>
      </w:r>
      <w:r>
        <w:t xml:space="preserve">Table </w:t>
      </w:r>
      <w:r>
        <w:rPr>
          <w:noProof/>
        </w:rPr>
        <w:t>6</w:t>
      </w:r>
      <w:r>
        <w:fldChar w:fldCharType="end"/>
      </w:r>
      <w:r>
        <w:t xml:space="preserve"> displays the point estimate output, but now includes </w:t>
      </w:r>
      <w:r w:rsidR="007B0621">
        <w:t>interval</w:t>
      </w:r>
      <w:r w:rsidR="00C41A25">
        <w:t xml:space="preserve">s. </w:t>
      </w:r>
      <w:r w:rsidR="00A03A8D">
        <w:t>These intervals define the limits where 95 % of the simulation values lie, they are not confidence interval on the mean.</w:t>
      </w:r>
      <w:r w:rsidR="00C40315">
        <w:t xml:space="preserve"> </w:t>
      </w:r>
      <w:r w:rsidR="00C41A25">
        <w:t xml:space="preserve">One thing that is immediately noticeable is that the </w:t>
      </w:r>
      <w:r w:rsidR="007B0621">
        <w:t xml:space="preserve">intervals of </w:t>
      </w:r>
      <w:r w:rsidR="00AB1D0F">
        <w:t xml:space="preserve">many of the output </w:t>
      </w:r>
      <w:r w:rsidR="00C41A25">
        <w:t>values are skewed in relation to the point estimates. This is easiest seen in the cost categories. Since the underlying triangular distributions were heavily skewed towards the high end, the point estimate is below the mean, meaning the expected costs are likely to be higher than the point estimate.</w:t>
      </w:r>
      <w:r w:rsidR="00C40315">
        <w:t xml:space="preserve"> </w:t>
      </w:r>
    </w:p>
    <w:p w14:paraId="073F6215" w14:textId="3635C783" w:rsidR="00C40315" w:rsidRPr="00C40315" w:rsidRDefault="00C40315" w:rsidP="002924AF">
      <w:pPr>
        <w:rPr>
          <w:b/>
        </w:rPr>
      </w:pPr>
      <w:r>
        <w:rPr>
          <w:b/>
        </w:rPr>
        <w:t>Interpreting the Riverbend case</w:t>
      </w:r>
    </w:p>
    <w:p w14:paraId="3113F700" w14:textId="2B5F9C3D" w:rsidR="00C5744C" w:rsidRDefault="00C5744C" w:rsidP="002924AF">
      <w:r>
        <w:t>Adding uncertainty complicates interpretation.</w:t>
      </w:r>
      <w:r w:rsidR="00C40315">
        <w:t xml:space="preserve"> While the additional information more accurately reflects the potential range of outcomes, it also means that choices must be made balancing risk and desired outcome. For instance, an alternative with a higher mean </w:t>
      </w:r>
      <w:r w:rsidR="003A19C4" w:rsidRPr="003A19C4">
        <w:rPr>
          <w:i/>
        </w:rPr>
        <w:t>NPV</w:t>
      </w:r>
      <w:r w:rsidR="00C40315">
        <w:t xml:space="preserve"> but a large amount of uncertainty may not be as attractive as an alternative with a lower </w:t>
      </w:r>
      <w:r w:rsidR="003A19C4" w:rsidRPr="003A19C4">
        <w:rPr>
          <w:i/>
        </w:rPr>
        <w:t>NPV</w:t>
      </w:r>
      <w:r w:rsidR="003A19C4">
        <w:t xml:space="preserve"> </w:t>
      </w:r>
      <w:r w:rsidR="00C40315">
        <w:t xml:space="preserve">but a smaller amount of uncertainty. </w:t>
      </w:r>
    </w:p>
    <w:p w14:paraId="2C869541" w14:textId="6BF2201F" w:rsidR="00C40315" w:rsidRPr="00C8685C" w:rsidRDefault="00C40315" w:rsidP="002924AF">
      <w:r>
        <w:t>Looking at the Riverbend analysis</w:t>
      </w:r>
      <w:r w:rsidR="00AB1D0F">
        <w:t>,</w:t>
      </w:r>
      <w:r>
        <w:t xml:space="preserve"> </w:t>
      </w:r>
      <w:r w:rsidR="00AB1D0F">
        <w:t>while</w:t>
      </w:r>
      <w:r>
        <w:t xml:space="preserve"> the point estimate</w:t>
      </w:r>
      <w:r w:rsidR="00AB1D0F">
        <w:t xml:space="preserve"> for the </w:t>
      </w:r>
      <w:r w:rsidR="00AB1D0F">
        <w:rPr>
          <w:i/>
        </w:rPr>
        <w:t>New Bridge</w:t>
      </w:r>
      <w:r>
        <w:t xml:space="preserve"> is higher, there is also the potential that </w:t>
      </w:r>
      <w:r w:rsidR="00AB1D0F">
        <w:t>the result</w:t>
      </w:r>
      <w:r>
        <w:t xml:space="preserve"> would be worse than the point estimate of the </w:t>
      </w:r>
      <w:r w:rsidR="00AB1D0F">
        <w:rPr>
          <w:i/>
        </w:rPr>
        <w:t>Retrofit</w:t>
      </w:r>
      <w:r w:rsidR="00AB1D0F">
        <w:t xml:space="preserve">. At the same time, there is also the possibility that the </w:t>
      </w:r>
      <w:r w:rsidR="00AB1D0F">
        <w:rPr>
          <w:i/>
        </w:rPr>
        <w:t xml:space="preserve">New </w:t>
      </w:r>
      <w:r w:rsidR="00AB1D0F" w:rsidRPr="00AB1D0F">
        <w:t>Bridge</w:t>
      </w:r>
      <w:r w:rsidR="00AB1D0F">
        <w:t xml:space="preserve"> could be vastly superior </w:t>
      </w:r>
      <w:r w:rsidR="007B0621" w:rsidRPr="003A19C4">
        <w:rPr>
          <w:i/>
        </w:rPr>
        <w:t>NPV</w:t>
      </w:r>
      <w:r w:rsidR="007B0621">
        <w:rPr>
          <w:i/>
        </w:rPr>
        <w:t>-</w:t>
      </w:r>
      <w:r w:rsidR="00AB1D0F">
        <w:t xml:space="preserve">wise. </w:t>
      </w:r>
      <w:r w:rsidR="00AB1D0F" w:rsidRPr="00AB1D0F">
        <w:t>In</w:t>
      </w:r>
      <w:r w:rsidR="00AB1D0F">
        <w:t xml:space="preserve"> such cases the final decision is determined by the risk preference of the decision maker(s)</w:t>
      </w:r>
      <w:r w:rsidR="00AB1D0F">
        <w:rPr>
          <w:rStyle w:val="FootnoteReference"/>
        </w:rPr>
        <w:footnoteReference w:id="29"/>
      </w:r>
      <w:r w:rsidR="00AB1D0F">
        <w:t xml:space="preserve"> and how confident they are in the estimate. In this case, assuming externalities are included, the fact that the 95 % confidence </w:t>
      </w:r>
      <w:r w:rsidR="007B0621">
        <w:t>interval</w:t>
      </w:r>
      <w:r w:rsidR="00C8685C">
        <w:t xml:space="preserve"> indicates that a significant portion of the distribution of the </w:t>
      </w:r>
      <w:r w:rsidR="00C8685C">
        <w:rPr>
          <w:i/>
        </w:rPr>
        <w:t>New Bridge</w:t>
      </w:r>
      <w:r w:rsidR="00C8685C">
        <w:t xml:space="preserve"> simulations is better than the </w:t>
      </w:r>
      <w:r w:rsidR="00C8685C">
        <w:rPr>
          <w:i/>
        </w:rPr>
        <w:t>Retrofit</w:t>
      </w:r>
      <w:r w:rsidR="00C8685C">
        <w:t xml:space="preserve">, and that the </w:t>
      </w:r>
      <w:r w:rsidR="00C8685C">
        <w:rPr>
          <w:i/>
        </w:rPr>
        <w:t>New Bridge</w:t>
      </w:r>
      <w:r w:rsidR="00C8685C">
        <w:t xml:space="preserve"> also has a large portion of its distribution in the positive </w:t>
      </w:r>
      <w:r w:rsidR="007B0621" w:rsidRPr="003A19C4">
        <w:rPr>
          <w:i/>
        </w:rPr>
        <w:t>NPV</w:t>
      </w:r>
      <w:r w:rsidR="007B0621">
        <w:t xml:space="preserve"> </w:t>
      </w:r>
      <w:r w:rsidR="00C8685C">
        <w:t>range, it would appear</w:t>
      </w:r>
      <w:r w:rsidR="00C8685C">
        <w:rPr>
          <w:rStyle w:val="FootnoteReference"/>
        </w:rPr>
        <w:footnoteReference w:id="30"/>
      </w:r>
      <w:r w:rsidR="00C8685C">
        <w:t xml:space="preserve"> be the preferable option.</w:t>
      </w:r>
    </w:p>
    <w:sectPr w:rsidR="00C40315" w:rsidRPr="00C8685C" w:rsidSect="00BF0C8F">
      <w:headerReference w:type="default" r:id="rId7"/>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F32969" w14:textId="77777777" w:rsidR="00E10552" w:rsidRDefault="00E10552" w:rsidP="00E45706">
      <w:pPr>
        <w:spacing w:after="0" w:line="240" w:lineRule="auto"/>
      </w:pPr>
      <w:r>
        <w:separator/>
      </w:r>
    </w:p>
  </w:endnote>
  <w:endnote w:type="continuationSeparator" w:id="0">
    <w:p w14:paraId="735813E0" w14:textId="77777777" w:rsidR="00E10552" w:rsidRDefault="00E10552" w:rsidP="00E45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283904"/>
      <w:docPartObj>
        <w:docPartGallery w:val="Page Numbers (Bottom of Page)"/>
        <w:docPartUnique/>
      </w:docPartObj>
    </w:sdtPr>
    <w:sdtContent>
      <w:sdt>
        <w:sdtPr>
          <w:id w:val="-1769616900"/>
          <w:docPartObj>
            <w:docPartGallery w:val="Page Numbers (Top of Page)"/>
            <w:docPartUnique/>
          </w:docPartObj>
        </w:sdtPr>
        <w:sdtContent>
          <w:p w14:paraId="72D65C76" w14:textId="522F7ED6" w:rsidR="00BF0D51" w:rsidRDefault="00BF0D5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3562B">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3562B">
              <w:rPr>
                <w:b/>
                <w:bCs/>
                <w:noProof/>
              </w:rPr>
              <w:t>11</w:t>
            </w:r>
            <w:r>
              <w:rPr>
                <w:b/>
                <w:bCs/>
                <w:sz w:val="24"/>
                <w:szCs w:val="24"/>
              </w:rPr>
              <w:fldChar w:fldCharType="end"/>
            </w:r>
          </w:p>
        </w:sdtContent>
      </w:sdt>
    </w:sdtContent>
  </w:sdt>
  <w:p w14:paraId="1A161475" w14:textId="77777777" w:rsidR="00BF0D51" w:rsidRDefault="00BF0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E43821" w14:textId="77777777" w:rsidR="00E10552" w:rsidRDefault="00E10552" w:rsidP="00E45706">
      <w:pPr>
        <w:spacing w:after="0" w:line="240" w:lineRule="auto"/>
      </w:pPr>
      <w:r>
        <w:separator/>
      </w:r>
    </w:p>
  </w:footnote>
  <w:footnote w:type="continuationSeparator" w:id="0">
    <w:p w14:paraId="26594FB4" w14:textId="77777777" w:rsidR="00E10552" w:rsidRDefault="00E10552" w:rsidP="00E45706">
      <w:pPr>
        <w:spacing w:after="0" w:line="240" w:lineRule="auto"/>
      </w:pPr>
      <w:r>
        <w:continuationSeparator/>
      </w:r>
    </w:p>
  </w:footnote>
  <w:footnote w:id="1">
    <w:p w14:paraId="3E26AB4B" w14:textId="6EC11596" w:rsidR="00BF0D51" w:rsidRDefault="00BF0D51">
      <w:pPr>
        <w:pStyle w:val="FootnoteText"/>
      </w:pPr>
      <w:r>
        <w:rPr>
          <w:rStyle w:val="FootnoteReference"/>
        </w:rPr>
        <w:footnoteRef/>
      </w:r>
      <w:r>
        <w:t xml:space="preserve"> Based on estimate for bridge replacement for I-94 from Masonic Blvd. to M-29</w:t>
      </w:r>
    </w:p>
  </w:footnote>
  <w:footnote w:id="2">
    <w:p w14:paraId="7A0B1474" w14:textId="5FD783C2" w:rsidR="00BF0D51" w:rsidRDefault="00BF0D51">
      <w:pPr>
        <w:pStyle w:val="FootnoteText"/>
      </w:pPr>
      <w:r>
        <w:rPr>
          <w:rStyle w:val="FootnoteReference"/>
        </w:rPr>
        <w:footnoteRef/>
      </w:r>
      <w:r>
        <w:t xml:space="preserve"> Based on values from Bhatt and Martinez (2013). “Bridge Collapse Could Have Major Economic Implications for Region”. The Seattle Times. May 28</w:t>
      </w:r>
    </w:p>
  </w:footnote>
  <w:footnote w:id="3">
    <w:p w14:paraId="0662FC1A" w14:textId="77777777" w:rsidR="00BF0D51" w:rsidRDefault="00BF0D51">
      <w:pPr>
        <w:pStyle w:val="FootnoteText"/>
      </w:pPr>
      <w:r>
        <w:rPr>
          <w:rStyle w:val="FootnoteReference"/>
        </w:rPr>
        <w:footnoteRef/>
      </w:r>
      <w:r>
        <w:t xml:space="preserve"> </w:t>
      </w:r>
      <w:r w:rsidRPr="00E45706">
        <w:t>Flyvbjerg, Bent, Mette K. Skamris Holm, and Søren L. Buhl. "What causes cost overrun in transport infrastructure projects?." Transport reviews 24.1 (2004): 3-18.</w:t>
      </w:r>
    </w:p>
  </w:footnote>
  <w:footnote w:id="4">
    <w:p w14:paraId="1E6E2F90" w14:textId="1F45C697" w:rsidR="00BF0D51" w:rsidRDefault="00BF0D51">
      <w:pPr>
        <w:pStyle w:val="FootnoteText"/>
      </w:pPr>
      <w:r>
        <w:rPr>
          <w:rStyle w:val="FootnoteReference"/>
        </w:rPr>
        <w:footnoteRef/>
      </w:r>
      <w:r>
        <w:t xml:space="preserve"> More than likely there is dependence between the distributions of direct costs and indirect costs. If the direct cost increases, so too does the indirect cost. This is also true for the on-disaster benefit related categories and possibly the externalities. At present, such dependencies are not addressed in the EDGeS tool.</w:t>
      </w:r>
    </w:p>
  </w:footnote>
  <w:footnote w:id="5">
    <w:p w14:paraId="0423710C" w14:textId="09BD3F5E" w:rsidR="00BF0D51" w:rsidRDefault="00BF0D51">
      <w:pPr>
        <w:pStyle w:val="FootnoteText"/>
      </w:pPr>
      <w:r>
        <w:rPr>
          <w:rStyle w:val="FootnoteReference"/>
        </w:rPr>
        <w:footnoteRef/>
      </w:r>
      <w:r>
        <w:t xml:space="preserve"> The cost of completing this study is assumed already incurred, making it a sunk cost. Therefore, it is not included in the lifecycle cost analysis performed later.</w:t>
      </w:r>
    </w:p>
  </w:footnote>
  <w:footnote w:id="6">
    <w:p w14:paraId="7CC4F1F4" w14:textId="65CA04A1" w:rsidR="00BF0D51" w:rsidRDefault="00BF0D51">
      <w:pPr>
        <w:pStyle w:val="FootnoteText"/>
      </w:pPr>
      <w:r>
        <w:rPr>
          <w:rStyle w:val="FootnoteReference"/>
        </w:rPr>
        <w:footnoteRef/>
      </w:r>
      <w:r>
        <w:t xml:space="preserve"> Sometimes referred to as the normal distribution. </w:t>
      </w:r>
    </w:p>
  </w:footnote>
  <w:footnote w:id="7">
    <w:p w14:paraId="0FC6777B" w14:textId="63A2D9AA" w:rsidR="00BF0D51" w:rsidRDefault="00BF0D51">
      <w:pPr>
        <w:pStyle w:val="FootnoteText"/>
      </w:pPr>
      <w:r>
        <w:rPr>
          <w:rStyle w:val="FootnoteReference"/>
        </w:rPr>
        <w:footnoteRef/>
      </w:r>
      <w:r>
        <w:t xml:space="preserve"> Uncertainty around fatalities averted is being considered for a future iteration of the EDGeS Tool. Uncertainty output for fatalities averted in the current version of the tool is related to uncertainty in the recurrence rate.</w:t>
      </w:r>
    </w:p>
  </w:footnote>
  <w:footnote w:id="8">
    <w:p w14:paraId="5EB482A5" w14:textId="653437D9" w:rsidR="00BF0D51" w:rsidRDefault="00BF0D51">
      <w:pPr>
        <w:pStyle w:val="FootnoteText"/>
      </w:pPr>
      <w:r>
        <w:rPr>
          <w:rStyle w:val="FootnoteReference"/>
        </w:rPr>
        <w:footnoteRef/>
      </w:r>
      <w:r>
        <w:t xml:space="preserve"> Realistically there would be externalities; noise due to construction activity, or increased confidence in the bridge’s safety, for instance. Construction externalities are omitted due to their relatively short duration compared to the overall planning horizon for both alternatives. Whether this is reasonable may be project or jurisdiction dependent.</w:t>
      </w:r>
    </w:p>
  </w:footnote>
  <w:footnote w:id="9">
    <w:p w14:paraId="0CA9CBC2" w14:textId="2122728F" w:rsidR="00BF0D51" w:rsidRDefault="00BF0D51">
      <w:pPr>
        <w:pStyle w:val="FootnoteText"/>
      </w:pPr>
      <w:r>
        <w:rPr>
          <w:rStyle w:val="FootnoteReference"/>
        </w:rPr>
        <w:footnoteRef/>
      </w:r>
      <w:r>
        <w:t xml:space="preserve"> Based on estimate for bridge replacement for I-94 from Masonic Blvd. to M-29</w:t>
      </w:r>
    </w:p>
  </w:footnote>
  <w:footnote w:id="10">
    <w:p w14:paraId="65772436" w14:textId="14CF2A1D" w:rsidR="00BF0D51" w:rsidRDefault="00BF0D51">
      <w:pPr>
        <w:pStyle w:val="FootnoteText"/>
      </w:pPr>
      <w:r>
        <w:rPr>
          <w:rStyle w:val="FootnoteReference"/>
        </w:rPr>
        <w:footnoteRef/>
      </w:r>
      <w:r>
        <w:t xml:space="preserve"> Based on values from Bhatt and Martinez (2013). “Bridge Collapse Could Have Major Economic Implications for Region”. The Seattle Times. May 28</w:t>
      </w:r>
    </w:p>
  </w:footnote>
  <w:footnote w:id="11">
    <w:p w14:paraId="4D336815" w14:textId="13710CAF" w:rsidR="00BF0D51" w:rsidRDefault="00BF0D51">
      <w:pPr>
        <w:pStyle w:val="FootnoteText"/>
      </w:pPr>
      <w:r>
        <w:rPr>
          <w:rStyle w:val="FootnoteReference"/>
        </w:rPr>
        <w:footnoteRef/>
      </w:r>
      <w:r>
        <w:t xml:space="preserve"> Based on values provided in “Generic Cost Per Mile Models” from the Florida Dept. of Transportation, &lt;</w:t>
      </w:r>
      <w:r w:rsidRPr="00233DC9">
        <w:t xml:space="preserve"> http://www.fdot.gov/programmanagement/Estimates/LRE/CostPerMileModels/CPMSummary.shtm</w:t>
      </w:r>
      <w:r>
        <w:t xml:space="preserve">&gt; </w:t>
      </w:r>
    </w:p>
  </w:footnote>
  <w:footnote w:id="12">
    <w:p w14:paraId="6C97CE0C" w14:textId="0F365882" w:rsidR="00BF0D51" w:rsidRDefault="00BF0D51">
      <w:pPr>
        <w:pStyle w:val="FootnoteText"/>
      </w:pPr>
      <w:r>
        <w:rPr>
          <w:rStyle w:val="FootnoteReference"/>
        </w:rPr>
        <w:footnoteRef/>
      </w:r>
      <w:r>
        <w:t xml:space="preserve"> 6 % rate based on values provided on a Florida Office of Inspector General document from 2013. &lt;</w:t>
      </w:r>
      <w:r w:rsidRPr="004F5E0B">
        <w:t xml:space="preserve"> http://www.fdot.gov/ig/Reports/14I-6002.pdf</w:t>
      </w:r>
      <w:r>
        <w:t>&gt;</w:t>
      </w:r>
    </w:p>
  </w:footnote>
  <w:footnote w:id="13">
    <w:p w14:paraId="7851F666" w14:textId="2BDEC60A" w:rsidR="00BF0D51" w:rsidRDefault="00BF0D51">
      <w:pPr>
        <w:pStyle w:val="FootnoteText"/>
      </w:pPr>
      <w:r>
        <w:rPr>
          <w:rStyle w:val="FootnoteReference"/>
        </w:rPr>
        <w:footnoteRef/>
      </w:r>
      <w:r>
        <w:t xml:space="preserve"> Based on a Forest Service estimate for 2011. &lt;</w:t>
      </w:r>
      <w:r w:rsidRPr="004F5E0B">
        <w:t xml:space="preserve"> https://www.fs.usda.gov/Internet/FSE_DOCUMENTS/fseprd528063.pdf</w:t>
      </w:r>
      <w:r>
        <w:t>&gt;</w:t>
      </w:r>
    </w:p>
  </w:footnote>
  <w:footnote w:id="14">
    <w:p w14:paraId="3C03B892" w14:textId="1729EFD1" w:rsidR="00BF0D51" w:rsidRDefault="00BF0D51">
      <w:pPr>
        <w:pStyle w:val="FootnoteText"/>
      </w:pPr>
      <w:r>
        <w:rPr>
          <w:rStyle w:val="FootnoteReference"/>
        </w:rPr>
        <w:footnoteRef/>
      </w:r>
      <w:r>
        <w:t xml:space="preserve"> Indicating injuries and no deaths. </w:t>
      </w:r>
    </w:p>
  </w:footnote>
  <w:footnote w:id="15">
    <w:p w14:paraId="42336815" w14:textId="2589B313" w:rsidR="00BF0D51" w:rsidRDefault="00BF0D51">
      <w:pPr>
        <w:pStyle w:val="FootnoteText"/>
      </w:pPr>
      <w:r>
        <w:rPr>
          <w:rStyle w:val="FootnoteReference"/>
        </w:rPr>
        <w:footnoteRef/>
      </w:r>
      <w:r>
        <w:t xml:space="preserve"> This analysis assumes that traffic volume remains constant in both alternatives. In practice, a more efficient road network would attract more users and more regional or local growth.</w:t>
      </w:r>
    </w:p>
  </w:footnote>
  <w:footnote w:id="16">
    <w:p w14:paraId="2D11D29D" w14:textId="694D401C" w:rsidR="00BF0D51" w:rsidRDefault="00BF0D51" w:rsidP="00FB04A6">
      <w:pPr>
        <w:pStyle w:val="FootnoteText"/>
      </w:pPr>
      <w:r>
        <w:rPr>
          <w:rStyle w:val="FootnoteReference"/>
        </w:rPr>
        <w:footnoteRef/>
      </w:r>
      <w:r>
        <w:t xml:space="preserve"> </w:t>
      </w:r>
      <w:r w:rsidRPr="00FB04A6">
        <w:t xml:space="preserve">State of Queensland (Department of Transport and Main Roads) </w:t>
      </w:r>
      <w:r>
        <w:t xml:space="preserve">(2011). Cost-benefit Analysis Manual: Road projects. </w:t>
      </w:r>
    </w:p>
  </w:footnote>
  <w:footnote w:id="17">
    <w:p w14:paraId="78F49125" w14:textId="55A407AA" w:rsidR="00BF0D51" w:rsidRDefault="00BF0D51">
      <w:pPr>
        <w:pStyle w:val="FootnoteText"/>
      </w:pPr>
      <w:r>
        <w:rPr>
          <w:rStyle w:val="FootnoteReference"/>
        </w:rPr>
        <w:footnoteRef/>
      </w:r>
      <w:r>
        <w:t xml:space="preserve"> The definition of light and heavy freight comes from “Freight Facts and Figures” released by the U.S. Dept. of Transportation (2013). Capacity uses the mid-range from Table 3-8 in the document converted to metric tons.</w:t>
      </w:r>
    </w:p>
  </w:footnote>
  <w:footnote w:id="18">
    <w:p w14:paraId="216CC060" w14:textId="15EC75AB" w:rsidR="00BF0D51" w:rsidRDefault="00BF0D51">
      <w:pPr>
        <w:pStyle w:val="FootnoteText"/>
      </w:pPr>
      <w:r>
        <w:rPr>
          <w:rStyle w:val="FootnoteReference"/>
        </w:rPr>
        <w:footnoteRef/>
      </w:r>
      <w:r>
        <w:t xml:space="preserve"> </w:t>
      </w:r>
      <w:r w:rsidRPr="003B32FF">
        <w:t>Gilbert, S. W., Butry, D. T., Helgeson, J. F., &amp; Chapman, R. E. (2015). Community resilience economic decision guide for buildings and infrastructure systems. NIST Special Publication, 1197.</w:t>
      </w:r>
    </w:p>
  </w:footnote>
  <w:footnote w:id="19">
    <w:p w14:paraId="22695BE7" w14:textId="59AA2742" w:rsidR="00BF0D51" w:rsidRDefault="00BF0D51">
      <w:pPr>
        <w:pStyle w:val="FootnoteText"/>
      </w:pPr>
      <w:r>
        <w:rPr>
          <w:rStyle w:val="FootnoteReference"/>
        </w:rPr>
        <w:footnoteRef/>
      </w:r>
      <w:r>
        <w:t xml:space="preserve"> Not currently implemented in the EDGeS tool</w:t>
      </w:r>
    </w:p>
  </w:footnote>
  <w:footnote w:id="20">
    <w:p w14:paraId="048F4DF1" w14:textId="62E93D17" w:rsidR="00BF0D51" w:rsidRDefault="00BF0D51">
      <w:pPr>
        <w:pStyle w:val="FootnoteText"/>
      </w:pPr>
      <w:r>
        <w:rPr>
          <w:rStyle w:val="FootnoteReference"/>
        </w:rPr>
        <w:footnoteRef/>
      </w:r>
      <w:r>
        <w:t xml:space="preserve"> Not currently implemented in the EDGeS tool</w:t>
      </w:r>
    </w:p>
  </w:footnote>
  <w:footnote w:id="21">
    <w:p w14:paraId="4D1C00CB" w14:textId="015E240A" w:rsidR="00BF0D51" w:rsidRDefault="00BF0D51">
      <w:pPr>
        <w:pStyle w:val="FootnoteText"/>
      </w:pPr>
      <w:r>
        <w:rPr>
          <w:rStyle w:val="FootnoteReference"/>
        </w:rPr>
        <w:footnoteRef/>
      </w:r>
      <w:r>
        <w:t xml:space="preserve"> For brevity, any potential EDGeS tool inputs for which there were no values in the alternative are omitted</w:t>
      </w:r>
    </w:p>
  </w:footnote>
  <w:footnote w:id="22">
    <w:p w14:paraId="7FC24921" w14:textId="35FF01DC" w:rsidR="00BF0D51" w:rsidRDefault="00BF0D51">
      <w:pPr>
        <w:pStyle w:val="FootnoteText"/>
      </w:pPr>
      <w:r>
        <w:rPr>
          <w:rStyle w:val="FootnoteReference"/>
        </w:rPr>
        <w:footnoteRef/>
      </w:r>
      <w:r>
        <w:t xml:space="preserve"> Although this benefit occurs on-disaster, it is separated from the input for other on-disaster benefits to account for additional inputs.</w:t>
      </w:r>
    </w:p>
  </w:footnote>
  <w:footnote w:id="23">
    <w:p w14:paraId="49E25DF1" w14:textId="49039B47" w:rsidR="00BF0D51" w:rsidRDefault="00BF0D51">
      <w:pPr>
        <w:pStyle w:val="FootnoteText"/>
      </w:pPr>
      <w:r>
        <w:rPr>
          <w:rStyle w:val="FootnoteReference"/>
        </w:rPr>
        <w:footnoteRef/>
      </w:r>
      <w:r>
        <w:t xml:space="preserve"> For brevity, any potential EDGeS tool inputs for which there were no values in the alternative are omitted</w:t>
      </w:r>
    </w:p>
  </w:footnote>
  <w:footnote w:id="24">
    <w:p w14:paraId="2AA7A88C" w14:textId="26C8130C" w:rsidR="00BF0D51" w:rsidRDefault="00BF0D51" w:rsidP="00D22F96">
      <w:pPr>
        <w:pStyle w:val="FootnoteText"/>
      </w:pPr>
      <w:r>
        <w:rPr>
          <w:rStyle w:val="FootnoteReference"/>
        </w:rPr>
        <w:footnoteRef/>
      </w:r>
      <w:r>
        <w:t xml:space="preserve"> Although this benefit occurs on-disaster, it is separated from the input for other on-disaster benefits to account for additional inputs.</w:t>
      </w:r>
    </w:p>
  </w:footnote>
  <w:footnote w:id="25">
    <w:p w14:paraId="49FAE5FD" w14:textId="147D2DEC" w:rsidR="00BF0D51" w:rsidRDefault="00BF0D51">
      <w:pPr>
        <w:pStyle w:val="FootnoteText"/>
      </w:pPr>
      <w:r>
        <w:rPr>
          <w:rStyle w:val="FootnoteReference"/>
        </w:rPr>
        <w:footnoteRef/>
      </w:r>
      <w:r>
        <w:t xml:space="preserve"> These economic indicator calculations do not include externalities in this version of the EDGeS Tool.</w:t>
      </w:r>
    </w:p>
  </w:footnote>
  <w:footnote w:id="26">
    <w:p w14:paraId="19884312" w14:textId="4BFFD067" w:rsidR="00BF0D51" w:rsidRDefault="00BF0D51">
      <w:pPr>
        <w:pStyle w:val="FootnoteText"/>
      </w:pPr>
      <w:r>
        <w:rPr>
          <w:rStyle w:val="FootnoteReference"/>
        </w:rPr>
        <w:footnoteRef/>
      </w:r>
      <w:r>
        <w:t xml:space="preserve"> In this context “external” means outside of the parties whose costs are internalized in the analysis.</w:t>
      </w:r>
    </w:p>
  </w:footnote>
  <w:footnote w:id="27">
    <w:p w14:paraId="56169E29" w14:textId="77777777" w:rsidR="00BF0D51" w:rsidRDefault="00BF0D51" w:rsidP="00A23959">
      <w:pPr>
        <w:pStyle w:val="FootnoteText"/>
      </w:pPr>
      <w:r>
        <w:rPr>
          <w:rStyle w:val="FootnoteReference"/>
        </w:rPr>
        <w:footnoteRef/>
      </w:r>
      <w:r>
        <w:t xml:space="preserve"> Although this benefit occurs on-disaster, it is separated from the input for other on-disaster benefits to account for additional inputs.</w:t>
      </w:r>
    </w:p>
  </w:footnote>
  <w:footnote w:id="28">
    <w:p w14:paraId="64709225" w14:textId="77777777" w:rsidR="00BF0D51" w:rsidRDefault="00BF0D51" w:rsidP="00A23959">
      <w:pPr>
        <w:pStyle w:val="FootnoteText"/>
      </w:pPr>
      <w:r>
        <w:rPr>
          <w:rStyle w:val="FootnoteReference"/>
        </w:rPr>
        <w:footnoteRef/>
      </w:r>
      <w:r>
        <w:t xml:space="preserve"> Although this benefit occurs on-disaster, it is separated from the input for other on-disaster benefits to account for additional inputs.</w:t>
      </w:r>
    </w:p>
  </w:footnote>
  <w:footnote w:id="29">
    <w:p w14:paraId="65EBDB70" w14:textId="0E97A99D" w:rsidR="00BF0D51" w:rsidRDefault="00BF0D51">
      <w:pPr>
        <w:pStyle w:val="FootnoteText"/>
      </w:pPr>
      <w:r>
        <w:rPr>
          <w:rStyle w:val="FootnoteReference"/>
        </w:rPr>
        <w:footnoteRef/>
      </w:r>
      <w:r>
        <w:t xml:space="preserve"> Calculations based on risk preference are being considered for inclusion in a future version of the EDGeS Tool.</w:t>
      </w:r>
    </w:p>
  </w:footnote>
  <w:footnote w:id="30">
    <w:p w14:paraId="733CE16E" w14:textId="3754D273" w:rsidR="00BF0D51" w:rsidRPr="00C8685C" w:rsidRDefault="00BF0D51">
      <w:pPr>
        <w:pStyle w:val="FootnoteText"/>
      </w:pPr>
      <w:r>
        <w:rPr>
          <w:rStyle w:val="FootnoteReference"/>
        </w:rPr>
        <w:footnoteRef/>
      </w:r>
      <w:r>
        <w:t xml:space="preserve"> The use of “appear” is intentional. When making decisions under uncertainty, there is no way to know what the </w:t>
      </w:r>
      <w:r w:rsidRPr="003A19C4">
        <w:rPr>
          <w:i/>
        </w:rPr>
        <w:t>correct</w:t>
      </w:r>
      <w:r>
        <w:t xml:space="preserve"> decision is, the goal is to make the </w:t>
      </w:r>
      <w:r>
        <w:rPr>
          <w:i/>
        </w:rPr>
        <w:t>best</w:t>
      </w:r>
      <w:r>
        <w:t xml:space="preserve"> defensible decision given the information currently at hand.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2AB9F" w14:textId="7678FD69" w:rsidR="00BF0D51" w:rsidRDefault="00BF0D51">
    <w:pPr>
      <w:pStyle w:val="Header"/>
    </w:pPr>
    <w:r>
      <w:tab/>
    </w:r>
    <w:r>
      <w:tab/>
      <w:t>NIST, July 2017</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D42AC" w14:textId="4940E191" w:rsidR="00BF0D51" w:rsidRDefault="00BF0D51">
    <w:pPr>
      <w:pStyle w:val="Header"/>
    </w:pPr>
    <w:r>
      <w:tab/>
    </w:r>
    <w:r>
      <w:tab/>
      <w:t>NIST, July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CCF"/>
    <w:rsid w:val="00027E6B"/>
    <w:rsid w:val="00153837"/>
    <w:rsid w:val="001B4EB1"/>
    <w:rsid w:val="001D35E5"/>
    <w:rsid w:val="00233DC9"/>
    <w:rsid w:val="00283822"/>
    <w:rsid w:val="00285359"/>
    <w:rsid w:val="002924AF"/>
    <w:rsid w:val="00315298"/>
    <w:rsid w:val="00340A80"/>
    <w:rsid w:val="00342125"/>
    <w:rsid w:val="003A19C4"/>
    <w:rsid w:val="003B32FF"/>
    <w:rsid w:val="003B5C79"/>
    <w:rsid w:val="004373AD"/>
    <w:rsid w:val="00457CB5"/>
    <w:rsid w:val="00460E51"/>
    <w:rsid w:val="00471592"/>
    <w:rsid w:val="004C3329"/>
    <w:rsid w:val="004F5E0B"/>
    <w:rsid w:val="0050173C"/>
    <w:rsid w:val="005530FC"/>
    <w:rsid w:val="005C53FE"/>
    <w:rsid w:val="005C60F5"/>
    <w:rsid w:val="00611C8B"/>
    <w:rsid w:val="00673DE4"/>
    <w:rsid w:val="006F527F"/>
    <w:rsid w:val="0079013E"/>
    <w:rsid w:val="007B0621"/>
    <w:rsid w:val="007C2D6F"/>
    <w:rsid w:val="0081703F"/>
    <w:rsid w:val="00846E10"/>
    <w:rsid w:val="00896C35"/>
    <w:rsid w:val="009207A3"/>
    <w:rsid w:val="00965FD7"/>
    <w:rsid w:val="00A03A8D"/>
    <w:rsid w:val="00A23959"/>
    <w:rsid w:val="00A3562B"/>
    <w:rsid w:val="00A46CCF"/>
    <w:rsid w:val="00A80ACA"/>
    <w:rsid w:val="00A851AA"/>
    <w:rsid w:val="00AB1D0F"/>
    <w:rsid w:val="00AB7640"/>
    <w:rsid w:val="00AE4DAA"/>
    <w:rsid w:val="00AF6B77"/>
    <w:rsid w:val="00B43067"/>
    <w:rsid w:val="00BA4682"/>
    <w:rsid w:val="00BB6C5F"/>
    <w:rsid w:val="00BF0C8F"/>
    <w:rsid w:val="00BF0D51"/>
    <w:rsid w:val="00BF2610"/>
    <w:rsid w:val="00C04BB6"/>
    <w:rsid w:val="00C40315"/>
    <w:rsid w:val="00C41A25"/>
    <w:rsid w:val="00C5744C"/>
    <w:rsid w:val="00C8685C"/>
    <w:rsid w:val="00D15145"/>
    <w:rsid w:val="00D20FB0"/>
    <w:rsid w:val="00D22F96"/>
    <w:rsid w:val="00D46597"/>
    <w:rsid w:val="00D642BC"/>
    <w:rsid w:val="00D65B19"/>
    <w:rsid w:val="00E10552"/>
    <w:rsid w:val="00E45706"/>
    <w:rsid w:val="00FB04A6"/>
    <w:rsid w:val="00FF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F3D9"/>
  <w15:chartTrackingRefBased/>
  <w15:docId w15:val="{0648D2B6-DC76-4454-B68A-AE818128D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70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6CCF"/>
    <w:rPr>
      <w:sz w:val="16"/>
      <w:szCs w:val="16"/>
    </w:rPr>
  </w:style>
  <w:style w:type="paragraph" w:styleId="CommentText">
    <w:name w:val="annotation text"/>
    <w:basedOn w:val="Normal"/>
    <w:link w:val="CommentTextChar"/>
    <w:uiPriority w:val="99"/>
    <w:semiHidden/>
    <w:unhideWhenUsed/>
    <w:rsid w:val="00A46CCF"/>
    <w:pPr>
      <w:spacing w:line="240" w:lineRule="auto"/>
    </w:pPr>
    <w:rPr>
      <w:sz w:val="20"/>
      <w:szCs w:val="20"/>
    </w:rPr>
  </w:style>
  <w:style w:type="character" w:customStyle="1" w:styleId="CommentTextChar">
    <w:name w:val="Comment Text Char"/>
    <w:basedOn w:val="DefaultParagraphFont"/>
    <w:link w:val="CommentText"/>
    <w:uiPriority w:val="99"/>
    <w:semiHidden/>
    <w:rsid w:val="00A46CCF"/>
    <w:rPr>
      <w:sz w:val="20"/>
      <w:szCs w:val="20"/>
    </w:rPr>
  </w:style>
  <w:style w:type="paragraph" w:styleId="CommentSubject">
    <w:name w:val="annotation subject"/>
    <w:basedOn w:val="CommentText"/>
    <w:next w:val="CommentText"/>
    <w:link w:val="CommentSubjectChar"/>
    <w:uiPriority w:val="99"/>
    <w:semiHidden/>
    <w:unhideWhenUsed/>
    <w:rsid w:val="00A46CCF"/>
    <w:rPr>
      <w:b/>
      <w:bCs/>
    </w:rPr>
  </w:style>
  <w:style w:type="character" w:customStyle="1" w:styleId="CommentSubjectChar">
    <w:name w:val="Comment Subject Char"/>
    <w:basedOn w:val="CommentTextChar"/>
    <w:link w:val="CommentSubject"/>
    <w:uiPriority w:val="99"/>
    <w:semiHidden/>
    <w:rsid w:val="00A46CCF"/>
    <w:rPr>
      <w:b/>
      <w:bCs/>
      <w:sz w:val="20"/>
      <w:szCs w:val="20"/>
    </w:rPr>
  </w:style>
  <w:style w:type="paragraph" w:styleId="BalloonText">
    <w:name w:val="Balloon Text"/>
    <w:basedOn w:val="Normal"/>
    <w:link w:val="BalloonTextChar"/>
    <w:uiPriority w:val="99"/>
    <w:semiHidden/>
    <w:unhideWhenUsed/>
    <w:rsid w:val="00A46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6CCF"/>
    <w:rPr>
      <w:rFonts w:ascii="Segoe UI" w:hAnsi="Segoe UI" w:cs="Segoe UI"/>
      <w:sz w:val="18"/>
      <w:szCs w:val="18"/>
    </w:rPr>
  </w:style>
  <w:style w:type="character" w:customStyle="1" w:styleId="Heading1Char">
    <w:name w:val="Heading 1 Char"/>
    <w:basedOn w:val="DefaultParagraphFont"/>
    <w:link w:val="Heading1"/>
    <w:uiPriority w:val="9"/>
    <w:rsid w:val="00A46C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C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703F"/>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E457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5706"/>
    <w:rPr>
      <w:sz w:val="20"/>
      <w:szCs w:val="20"/>
    </w:rPr>
  </w:style>
  <w:style w:type="character" w:styleId="FootnoteReference">
    <w:name w:val="footnote reference"/>
    <w:basedOn w:val="DefaultParagraphFont"/>
    <w:uiPriority w:val="99"/>
    <w:semiHidden/>
    <w:unhideWhenUsed/>
    <w:rsid w:val="00E45706"/>
    <w:rPr>
      <w:vertAlign w:val="superscript"/>
    </w:rPr>
  </w:style>
  <w:style w:type="table" w:styleId="TableGrid">
    <w:name w:val="Table Grid"/>
    <w:basedOn w:val="TableNormal"/>
    <w:uiPriority w:val="39"/>
    <w:rsid w:val="003B3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0173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530FC"/>
    <w:rPr>
      <w:color w:val="808080"/>
    </w:rPr>
  </w:style>
  <w:style w:type="paragraph" w:styleId="Header">
    <w:name w:val="header"/>
    <w:basedOn w:val="Normal"/>
    <w:link w:val="HeaderChar"/>
    <w:uiPriority w:val="99"/>
    <w:unhideWhenUsed/>
    <w:rsid w:val="00BF0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C8F"/>
  </w:style>
  <w:style w:type="paragraph" w:styleId="Footer">
    <w:name w:val="footer"/>
    <w:basedOn w:val="Normal"/>
    <w:link w:val="FooterChar"/>
    <w:uiPriority w:val="99"/>
    <w:unhideWhenUsed/>
    <w:rsid w:val="00BF0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59229">
      <w:bodyDiv w:val="1"/>
      <w:marLeft w:val="0"/>
      <w:marRight w:val="0"/>
      <w:marTop w:val="0"/>
      <w:marBottom w:val="0"/>
      <w:divBdr>
        <w:top w:val="none" w:sz="0" w:space="0" w:color="auto"/>
        <w:left w:val="none" w:sz="0" w:space="0" w:color="auto"/>
        <w:bottom w:val="none" w:sz="0" w:space="0" w:color="auto"/>
        <w:right w:val="none" w:sz="0" w:space="0" w:color="auto"/>
      </w:divBdr>
    </w:div>
    <w:div w:id="5054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FACBB0-6870-455E-B74B-0B4E2A0E9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3497</Words>
  <Characters>19938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David H. (Fed)</dc:creator>
  <cp:keywords/>
  <dc:description/>
  <cp:lastModifiedBy>Grubb, Shannon A. (Fed)</cp:lastModifiedBy>
  <cp:revision>2</cp:revision>
  <dcterms:created xsi:type="dcterms:W3CDTF">2017-07-14T17:27:00Z</dcterms:created>
  <dcterms:modified xsi:type="dcterms:W3CDTF">2017-07-14T17:27:00Z</dcterms:modified>
</cp:coreProperties>
</file>