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8%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3.17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434,461,010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92,203,526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342,257,484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4.01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25.08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2.92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76,134,983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1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728"/>
          </w:tcPr>
          <w:p>
            <w:r>
              <w:t>Site 1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728"/>
          </w:tcPr>
          <w:p>
            <w:r>
              <w:t>Site 1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728"/>
          </w:tcPr>
          <w:p>
            <w:r>
              <w:t>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728"/>
          </w:tcPr>
          <w:p>
            <w:r>
              <w:t>Site 1: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271,155,620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1 Decommissioning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85,610,596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Worker relocation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-2,904,596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83,156,227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728"/>
          </w:tcPr>
          <w:p>
            <w:r>
              <w:t>Sale of old hospital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Fatalities averted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728"/>
          </w:tcPr>
          <w:p>
            <w:r>
              <w:t>Fatalities averted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728"/>
          </w:tcPr>
          <w:p>
            <w:r>
              <w:t>Fatalities averted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728"/>
          </w:tcPr>
          <w:p>
            <w:r>
              <w:t>Site 2 DRB correction Year 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728"/>
          </w:tcPr>
          <w:p>
            <w:r>
              <w:t>Site 2 DRB correction Year 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728"/>
          </w:tcPr>
          <w:p>
            <w:r>
              <w:t>Site 2 DRB correction Year 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728"/>
          </w:tcPr>
          <w:p>
            <w:r>
              <w:t>Site 2: Medical Error Reduction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Site 2: Decrease in nosocomial infections (non fatal)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728"/>
          </w:tcPr>
          <w:p>
            <w:r>
              <w:t>Site 2: Decrease in travel distance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269,130,230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92,203,526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 xml:space="preserve">Crime reduction 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2,867,628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