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6400.0 Monte-Carlo simulations were run.</w:t>
      </w:r>
    </w:p>
    <w:p>
      <w:r>
        <w:t>For Alt 2 (Alternative 2) 3200.0 Monte-Carlo simulations were run.</w:t>
      </w:r>
    </w:p>
    <w:p>
      <w:r>
        <w:t>The random number seed for these runs was 1346878136.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3.17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434,461,010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92,203,526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342,257,484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4.01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25.08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2.92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76,134,983</w:t>
            </w:r>
          </w:p>
        </w:tc>
      </w:tr>
    </w:tbl>
    <w:p>
      <w:r>
        <w:t>Alt 1 Direct Reduction: Triangular distribution with a min of 18750000 and a max of 26250000</w:t>
      </w:r>
    </w:p>
    <w:p>
      <w:r>
        <w:t>Alt 1 Indirect Reduction: Rectangular distribution with a min of 226980000 and a max of 277420000</w:t>
      </w:r>
    </w:p>
    <w:p>
      <w:r>
        <w:t>Alt 1 R&amp;R Reduction: Gaussian distribution with variance of 1205000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1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728"/>
          </w:tcPr>
          <w:p>
            <w:r>
              <w:t>Site 1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728"/>
          </w:tcPr>
          <w:p>
            <w:r>
              <w:t>Site 1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728"/>
          </w:tcPr>
          <w:p>
            <w:r>
              <w:t>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728"/>
          </w:tcPr>
          <w:p>
            <w:r>
              <w:t>Site 1: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271,155,620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1 Decommissioning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85,610,596</w:t>
            </w:r>
          </w:p>
        </w:tc>
      </w:tr>
    </w:tbl>
    <w:p>
      <w:r>
        <w:t>Alt  1 Direct: 25% chance of 44019000, 50% chance of 60300000, and 25% chance of 108540000</w:t>
      </w:r>
    </w:p>
    <w:p>
      <w:r>
        <w:t>Alt 1 Indirect: 25% chance of 13205700, 50% chance of 18090000, and 25% chance of 32562000</w:t>
      </w:r>
    </w:p>
    <w:p>
      <w:r>
        <w:t>Alt 1 Decommissioning: 25% chance of 1700000, 50% chance of 2000000, and 25% chance of 3000000</w:t>
      </w:r>
    </w:p>
    <w:p>
      <w:r>
        <w:t>Alt 1 OMR Recurring: Gaussian distribution with variance of 50000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Worker relocation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-2,904,596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83,156,227</w:t>
            </w:r>
          </w:p>
        </w:tc>
      </w:tr>
    </w:tbl>
    <w:p>
      <w:r>
        <w:t>Alt 2 Direct Reduction: Triangular distribution with a min of 22916666.67 and a max of 32083333.33</w:t>
      </w:r>
    </w:p>
    <w:p>
      <w:r>
        <w:t>Alt 2 Indirect Reduction: Rectangular distribution with a min of 248363636 and a max of 298036364</w:t>
      </w:r>
    </w:p>
    <w:p>
      <w:r>
        <w:t>Alt 2 R&amp;R Reduction: Gaussian distribution with variance of 1271667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2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728"/>
          </w:tcPr>
          <w:p>
            <w:r>
              <w:t>Site 2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728"/>
          </w:tcPr>
          <w:p>
            <w:r>
              <w:t>Site 2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728"/>
          </w:tcPr>
          <w:p>
            <w:r>
              <w:t>Site 2: 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Site 2: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728"/>
          </w:tcPr>
          <w:p>
            <w:r>
              <w:t>Site 2: Decrease in travel distance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269,130,230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92,203,526</w:t>
            </w:r>
          </w:p>
        </w:tc>
      </w:tr>
    </w:tbl>
    <w:p>
      <w:r>
        <w:t>Alt 2 Direct: 25% chance of 58446300, 50% chance of 65670000, and 25% chance of 157608000</w:t>
      </w:r>
    </w:p>
    <w:p>
      <w:r>
        <w:t>Alt 2 Indirect: 25% chance of 17533890, 50% chance of 19700000, and 25% chance of 47282400</w:t>
      </w:r>
    </w:p>
    <w:p>
      <w:r>
        <w:t>Alt 2 OMR One-Time: 25% chance of 1700000, 50% chance of 2000000, and 25% chance of 3000000</w:t>
      </w:r>
    </w:p>
    <w:p>
      <w:r>
        <w:t>Alt 2 OMR Recurring: Gaussian distribution with variance of 30000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 xml:space="preserve">Crime reduction 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